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82"/>
        <w:jc w:val="center"/>
        <w:rPr>
          <w:rFonts w:ascii="方正黑体_GBK" w:eastAsia="方正黑体_GBK" w:cs="方正小标宋_GBK"/>
          <w:szCs w:val="32"/>
        </w:rPr>
      </w:pPr>
      <w:bookmarkStart w:id="0" w:name="_Hlk25540369"/>
      <w:bookmarkStart w:id="1" w:name="cogw__正文__file"/>
      <w:bookmarkStart w:id="2" w:name="_GoBack"/>
      <w:r>
        <w:rPr>
          <w:rFonts w:ascii="方正小标宋_GBK" w:eastAsia="方正小标宋_GBK" w:cs="方正小标宋_GBK" w:hint="eastAsia"/>
          <w:sz w:val="44"/>
          <w:szCs w:val="44"/>
        </w:rPr>
        <w:t>南沙海关202</w:t>
      </w:r>
      <w:r>
        <w:rPr>
          <w:rFonts w:ascii="方正小标宋_GBK" w:eastAsia="方正小标宋_GBK" w:cs="方正小标宋_GBK"/>
          <w:sz w:val="44"/>
          <w:szCs w:val="44"/>
        </w:rPr>
        <w:t>3</w:t>
      </w:r>
      <w:r>
        <w:rPr>
          <w:rFonts w:ascii="方正小标宋_GBK" w:eastAsia="方正小标宋_GBK" w:cs="方正小标宋_GBK" w:hint="eastAsia"/>
          <w:sz w:val="44"/>
          <w:szCs w:val="44"/>
        </w:rPr>
        <w:t>年政府信息公开工作年度报告</w:t>
      </w:r>
      <w:bookmarkEnd w:id="0"/>
    </w:p>
    <w:p>
      <w:pPr>
        <w:pStyle w:val="25"/>
        <w:widowControl/>
        <w:shd w:val="clear" w:color="auto" w:fill="FFFFFF"/>
        <w:adjustRightInd w:val="0"/>
        <w:snapToGrid w:val="0"/>
        <w:spacing w:beforeAutospacing="0" w:afterAutospacing="0" w:line="560" w:lineRule="exact"/>
        <w:jc w:val="both"/>
        <w:rPr>
          <w:rFonts w:ascii="楷体_GB2312" w:eastAsia="楷体_GB2312" w:cs="楷体_GB2312"/>
          <w:bCs/>
          <w:sz w:val="32"/>
          <w:szCs w:val="32"/>
          <w:shd w:val="clear" w:color="auto" w:fill="FFFFFF"/>
        </w:rPr>
      </w:pPr>
      <w:bookmarkEnd w:id="2"/>
    </w:p>
    <w:p>
      <w:pPr>
        <w:pStyle w:val="26"/>
        <w:ind w:firstLineChars="200" w:firstLine="624"/>
        <w:rPr>
          <w:shd w:val="clear" w:color="auto" w:fill="FFFFFF"/>
        </w:rPr>
      </w:pPr>
      <w:r>
        <w:rPr>
          <w:rFonts w:hint="eastAsia"/>
          <w:shd w:val="clear" w:color="auto" w:fill="FFFFFF"/>
        </w:rPr>
        <w:t>根据《中华人民共和国政府信息公开条例》</w:t>
      </w:r>
      <w:r>
        <w:rPr>
          <w:spacing w:val="-8"/>
        </w:rPr>
        <w:t>《国务院办公厅政府信息与政务公开办公室关于政府信息公开工作年度报告有关事项的通知》《国务院办公厅政府信息与政务公开办公室关于印发〈中华人民共和国政府信息公开工作年度报告格式〉的通知》</w:t>
      </w:r>
      <w:r>
        <w:rPr>
          <w:rFonts w:hint="eastAsia"/>
          <w:shd w:val="clear" w:color="auto" w:fill="FFFFFF"/>
        </w:rPr>
        <w:t>等规定，梳理</w:t>
      </w:r>
      <w:r>
        <w:rPr>
          <w:shd w:val="clear" w:color="auto" w:fill="FFFFFF"/>
        </w:rPr>
        <w:t>编制</w:t>
      </w:r>
      <w:r>
        <w:rPr>
          <w:rFonts w:hint="eastAsia"/>
          <w:shd w:val="clear" w:color="auto" w:fill="FFFFFF"/>
        </w:rPr>
        <w:t>南沙海关2023年政府信息公开工作</w:t>
      </w:r>
      <w:r>
        <w:rPr>
          <w:shd w:val="clear" w:color="auto" w:fill="FFFFFF"/>
        </w:rPr>
        <w:t>年报</w:t>
      </w:r>
      <w:r>
        <w:rPr>
          <w:rFonts w:hint="eastAsia"/>
          <w:shd w:val="clear" w:color="auto" w:fill="FFFFFF"/>
        </w:rPr>
        <w:t>。</w:t>
      </w:r>
      <w:r>
        <w:rPr>
          <w:shd w:val="clear" w:color="auto" w:fill="FFFFFF"/>
        </w:rPr>
        <w:t>报告</w:t>
      </w:r>
      <w:r>
        <w:rPr>
          <w:rFonts w:hint="eastAsia"/>
          <w:shd w:val="clear" w:color="auto" w:fill="FFFFFF"/>
        </w:rPr>
        <w:t>中所列数据的统计期限，自2023年1月1日起至2023年12月31日止。如对本</w:t>
      </w:r>
      <w:r>
        <w:rPr>
          <w:shd w:val="clear" w:color="auto" w:fill="FFFFFF"/>
        </w:rPr>
        <w:t>报告</w:t>
      </w:r>
      <w:r>
        <w:rPr>
          <w:rFonts w:hint="eastAsia"/>
          <w:shd w:val="clear" w:color="auto" w:fill="FFFFFF"/>
        </w:rPr>
        <w:t>有疑问或有</w:t>
      </w:r>
      <w:r>
        <w:rPr>
          <w:shd w:val="clear" w:color="auto" w:fill="FFFFFF"/>
        </w:rPr>
        <w:t>任何</w:t>
      </w:r>
      <w:r>
        <w:rPr>
          <w:rFonts w:hint="eastAsia"/>
          <w:shd w:val="clear" w:color="auto" w:fill="FFFFFF"/>
        </w:rPr>
        <w:t>意见、建议，请联系南沙海关办公室。地址：广东省广州市南沙区南沙街进港大道618号，邮编：511458；电话：020-81135505；电子邮箱：nshg@customs.gov.cn。</w:t>
      </w:r>
    </w:p>
    <w:p>
      <w:pPr>
        <w:pStyle w:val="25"/>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shd w:val="clear" w:color="auto" w:fill="FFFFFF"/>
        </w:rPr>
        <w:t>一、总体情况</w:t>
      </w:r>
    </w:p>
    <w:p>
      <w:pPr>
        <w:pStyle w:val="71"/>
        <w:adjustRightInd w:val="0"/>
        <w:snapToGrid w:val="0"/>
        <w:spacing w:line="56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2023</w:t>
      </w:r>
      <w:r>
        <w:rPr>
          <w:rFonts w:ascii="Times New Roman" w:eastAsia="方正仿宋_GBK" w:hAnsi="Times New Roman" w:hint="eastAsia"/>
          <w:sz w:val="32"/>
          <w:szCs w:val="32"/>
        </w:rPr>
        <w:t>年，南沙海关坚持以习近平新时代中国特色社会主义思想为指导，深入学习贯彻党的二十大精神和习近平总书记给红其拉甫海关全体关员的重要回信，</w:t>
      </w:r>
      <w:r>
        <w:rPr>
          <w:rFonts w:ascii="Times New Roman" w:eastAsia="方正仿宋_GBK" w:cs="Arial" w:hAnsi="Times New Roman" w:hint="eastAsia"/>
          <w:sz w:val="32"/>
          <w:szCs w:val="32"/>
        </w:rPr>
        <w:t>严格贯彻落实《中华人民共和国政府信息公开条例》，对标上级任务要求</w:t>
      </w:r>
      <w:r>
        <w:rPr>
          <w:rFonts w:ascii="Times New Roman" w:eastAsia="方正仿宋_GBK" w:hAnsi="Times New Roman" w:hint="eastAsia"/>
          <w:sz w:val="32"/>
          <w:szCs w:val="32"/>
        </w:rPr>
        <w:t>，以“为民服务、利企便民”为原则，积极回应群众需求，加强政务公开平台建设，全面强化海关领域基层政务公开标准化规范化工作。</w:t>
      </w:r>
      <w:r>
        <w:rPr>
          <w:rFonts w:ascii="Times New Roman" w:eastAsia="方正仿宋_GBK" w:hAnsi="Times New Roman"/>
          <w:sz w:val="32"/>
          <w:szCs w:val="32"/>
        </w:rPr>
        <w:t>现将工作情况报告如下：</w:t>
      </w:r>
    </w:p>
    <w:p>
      <w:pPr>
        <w:pStyle w:val="71"/>
        <w:adjustRightInd w:val="0"/>
        <w:snapToGrid w:val="0"/>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b/>
          <w:bCs/>
          <w:sz w:val="32"/>
          <w:szCs w:val="32"/>
        </w:rPr>
        <w:t>（一）</w:t>
      </w:r>
      <w:r>
        <w:rPr>
          <w:rFonts w:ascii="Times New Roman" w:eastAsia="方正楷体_GBK" w:hAnsi="Times New Roman" w:hint="eastAsia"/>
          <w:b/>
          <w:bCs/>
          <w:sz w:val="32"/>
          <w:szCs w:val="32"/>
        </w:rPr>
        <w:t>落实法定主动公开职责</w:t>
      </w:r>
      <w:r>
        <w:rPr>
          <w:rFonts w:ascii="Times New Roman" w:eastAsia="方正楷体_GBK" w:hAnsi="Times New Roman"/>
          <w:b/>
          <w:bCs/>
          <w:sz w:val="32"/>
          <w:szCs w:val="32"/>
        </w:rPr>
        <w:t>。</w:t>
      </w:r>
    </w:p>
    <w:p>
      <w:pPr>
        <w:pStyle w:val="98"/>
        <w:adjustRightInd w:val="0"/>
        <w:snapToGrid w:val="0"/>
        <w:spacing w:line="560" w:lineRule="exact"/>
        <w:ind w:firstLineChars="200" w:firstLine="624"/>
        <w:rPr>
          <w:rFonts w:ascii="Times New Roman" w:eastAsia="方正仿宋_GBK" w:hAnsi="Times New Roman"/>
          <w:spacing w:val="-4"/>
          <w:sz w:val="32"/>
        </w:rPr>
      </w:pPr>
      <w:r>
        <w:rPr>
          <w:rFonts w:ascii="Times New Roman" w:eastAsia="方正仿宋_GBK" w:hAnsi="Times New Roman" w:hint="eastAsia"/>
          <w:spacing w:val="-4"/>
          <w:sz w:val="32"/>
        </w:rPr>
        <w:t>南沙海关坚持依法行政理念履行法定主动公开职责。根据机构设置调整情况，通过广州海关门户网站、办事大厅展板、电子屏对机构职能、机构设置、办事地址、联系方式、业务咨询渠道相关信息等进行及时调整更新；通过广州海关门户网站主动发布信息</w:t>
      </w:r>
      <w:r>
        <w:rPr>
          <w:rFonts w:ascii="Times New Roman" w:eastAsia="方正仿宋_GBK" w:hAnsi="Times New Roman"/>
          <w:spacing w:val="-4"/>
          <w:sz w:val="32"/>
        </w:rPr>
        <w:t>1688</w:t>
      </w:r>
      <w:r>
        <w:rPr>
          <w:rFonts w:ascii="Times New Roman" w:eastAsia="方正仿宋_GBK" w:hAnsi="Times New Roman" w:hint="eastAsia"/>
          <w:spacing w:val="-4"/>
          <w:sz w:val="32"/>
        </w:rPr>
        <w:t>条，其中行政许可、行政处罚信息</w:t>
      </w:r>
      <w:r>
        <w:rPr>
          <w:rFonts w:ascii="Times New Roman" w:eastAsia="方正仿宋_GBK" w:hAnsi="Times New Roman"/>
          <w:spacing w:val="-4"/>
          <w:sz w:val="32"/>
        </w:rPr>
        <w:t>1362</w:t>
      </w:r>
      <w:r>
        <w:rPr>
          <w:rFonts w:ascii="Times New Roman" w:eastAsia="方正仿宋_GBK" w:hAnsi="Times New Roman" w:hint="eastAsia"/>
          <w:spacing w:val="-4"/>
          <w:sz w:val="32"/>
        </w:rPr>
        <w:t>条</w:t>
      </w:r>
      <w:r>
        <w:rPr>
          <w:rFonts w:ascii="Times New Roman" w:eastAsia="方正仿宋_GBK" w:hAnsi="Times New Roman"/>
          <w:spacing w:val="-4"/>
          <w:sz w:val="32"/>
        </w:rPr>
        <w:t>、</w:t>
      </w:r>
      <w:r>
        <w:rPr>
          <w:rFonts w:ascii="Times New Roman" w:eastAsia="方正仿宋_GBK" w:hAnsi="Times New Roman" w:hint="eastAsia"/>
          <w:spacing w:val="-4"/>
          <w:sz w:val="32"/>
        </w:rPr>
        <w:t>“双随机、一公开”信息</w:t>
      </w:r>
      <w:r>
        <w:rPr>
          <w:rFonts w:ascii="Times New Roman" w:eastAsia="方正仿宋_GBK" w:hAnsi="Times New Roman"/>
          <w:spacing w:val="-4"/>
          <w:sz w:val="32"/>
        </w:rPr>
        <w:t>268</w:t>
      </w:r>
      <w:r>
        <w:rPr>
          <w:rFonts w:ascii="Times New Roman" w:eastAsia="方正仿宋_GBK" w:hAnsi="Times New Roman" w:hint="eastAsia"/>
          <w:spacing w:val="-4"/>
          <w:sz w:val="32"/>
        </w:rPr>
        <w:t>条</w:t>
      </w:r>
      <w:r>
        <w:rPr>
          <w:rFonts w:ascii="Times New Roman" w:eastAsia="方正仿宋_GBK" w:hAnsi="Times New Roman"/>
          <w:spacing w:val="-4"/>
          <w:sz w:val="32"/>
        </w:rPr>
        <w:t>、</w:t>
      </w:r>
      <w:r>
        <w:rPr>
          <w:rFonts w:ascii="Times New Roman" w:eastAsia="方正仿宋_GBK" w:hAnsi="Times New Roman" w:hint="eastAsia"/>
          <w:spacing w:val="-4"/>
          <w:sz w:val="32"/>
        </w:rPr>
        <w:t>行政处罚案件公告送达信息</w:t>
      </w:r>
      <w:r>
        <w:rPr>
          <w:rFonts w:ascii="Times New Roman" w:eastAsia="方正仿宋_GBK" w:hAnsi="Times New Roman"/>
          <w:spacing w:val="-4"/>
          <w:sz w:val="32"/>
        </w:rPr>
        <w:t>43</w:t>
      </w:r>
      <w:r>
        <w:rPr>
          <w:rFonts w:ascii="Times New Roman" w:eastAsia="方正仿宋_GBK" w:hAnsi="Times New Roman" w:hint="eastAsia"/>
          <w:spacing w:val="-4"/>
          <w:sz w:val="32"/>
        </w:rPr>
        <w:t>条</w:t>
      </w:r>
      <w:r>
        <w:rPr>
          <w:rFonts w:ascii="Times New Roman" w:eastAsia="方正仿宋_GBK" w:hAnsi="Times New Roman"/>
          <w:spacing w:val="-4"/>
          <w:sz w:val="32"/>
        </w:rPr>
        <w:t>、</w:t>
      </w:r>
      <w:r>
        <w:rPr>
          <w:rFonts w:ascii="Times New Roman" w:eastAsia="方正仿宋_GBK" w:hAnsi="Times New Roman" w:hint="eastAsia"/>
          <w:spacing w:val="-4"/>
          <w:sz w:val="32"/>
        </w:rPr>
        <w:t>财务预决算信息</w:t>
      </w:r>
      <w:r>
        <w:rPr>
          <w:rFonts w:ascii="Times New Roman" w:eastAsia="方正仿宋_GBK" w:hAnsi="Times New Roman"/>
          <w:spacing w:val="-4"/>
          <w:sz w:val="32"/>
        </w:rPr>
        <w:t>2</w:t>
      </w:r>
      <w:r>
        <w:rPr>
          <w:rFonts w:ascii="Times New Roman" w:eastAsia="方正仿宋_GBK" w:hAnsi="Times New Roman" w:hint="eastAsia"/>
          <w:spacing w:val="-4"/>
          <w:sz w:val="32"/>
        </w:rPr>
        <w:t>条</w:t>
      </w:r>
      <w:r>
        <w:rPr>
          <w:rFonts w:ascii="Times New Roman" w:eastAsia="方正仿宋_GBK" w:hAnsi="Times New Roman"/>
          <w:spacing w:val="-4"/>
          <w:sz w:val="32"/>
        </w:rPr>
        <w:t>，</w:t>
      </w:r>
      <w:r>
        <w:rPr>
          <w:rFonts w:ascii="Times New Roman" w:eastAsia="方正仿宋_GBK" w:hAnsi="Times New Roman" w:hint="eastAsia"/>
          <w:spacing w:val="-4"/>
          <w:sz w:val="32"/>
        </w:rPr>
        <w:t>做好信息公开发布审查。</w:t>
      </w:r>
    </w:p>
    <w:p>
      <w:pPr>
        <w:pStyle w:val="71"/>
        <w:adjustRightInd w:val="0"/>
        <w:snapToGrid w:val="0"/>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b/>
          <w:bCs/>
          <w:sz w:val="32"/>
          <w:szCs w:val="32"/>
        </w:rPr>
        <w:t>（二）</w:t>
      </w:r>
      <w:r>
        <w:rPr>
          <w:rFonts w:ascii="Times New Roman" w:eastAsia="方正楷体_GBK" w:hAnsi="Times New Roman" w:hint="eastAsia"/>
          <w:b/>
          <w:bCs/>
          <w:sz w:val="32"/>
          <w:szCs w:val="32"/>
        </w:rPr>
        <w:t>规范</w:t>
      </w:r>
      <w:bookmarkStart w:id="3" w:name="_Hlk156219036"/>
      <w:r>
        <w:rPr>
          <w:rFonts w:ascii="Times New Roman" w:eastAsia="方正楷体_GBK" w:hAnsi="Times New Roman"/>
          <w:b/>
          <w:bCs/>
          <w:sz w:val="32"/>
          <w:szCs w:val="32"/>
        </w:rPr>
        <w:t>依申请</w:t>
      </w:r>
      <w:r>
        <w:rPr>
          <w:rFonts w:ascii="Times New Roman" w:eastAsia="方正楷体_GBK" w:hAnsi="Times New Roman" w:hint="eastAsia"/>
          <w:b/>
          <w:bCs/>
          <w:sz w:val="32"/>
          <w:szCs w:val="32"/>
        </w:rPr>
        <w:t>公开</w:t>
      </w:r>
      <w:bookmarkEnd w:id="3"/>
      <w:r>
        <w:rPr>
          <w:rFonts w:ascii="Times New Roman" w:eastAsia="方正楷体_GBK" w:hAnsi="Times New Roman" w:hint="eastAsia"/>
          <w:b/>
          <w:bCs/>
          <w:sz w:val="32"/>
          <w:szCs w:val="32"/>
        </w:rPr>
        <w:t>办理</w:t>
      </w:r>
      <w:r>
        <w:rPr>
          <w:rFonts w:ascii="Times New Roman" w:eastAsia="方正楷体_GBK" w:hAnsi="Times New Roman"/>
          <w:b/>
          <w:bCs/>
          <w:sz w:val="32"/>
          <w:szCs w:val="32"/>
        </w:rPr>
        <w:t>。</w:t>
      </w:r>
    </w:p>
    <w:p>
      <w:pPr>
        <w:pStyle w:val="72"/>
        <w:adjustRightInd w:val="0"/>
        <w:snapToGrid w:val="0"/>
        <w:ind w:firstLineChars="200" w:firstLine="624"/>
        <w:rPr>
          <w:rFonts w:hint="eastAsia"/>
        </w:rPr>
      </w:pPr>
      <w:r>
        <w:t>增强服务意识，完善接收、办理、答复流程，</w:t>
      </w:r>
      <w:r>
        <w:rPr>
          <w:rFonts w:hint="eastAsia"/>
        </w:rPr>
        <w:t>认真学习新修订的《</w:t>
      </w:r>
      <w:r>
        <w:t>中华人民共和国</w:t>
      </w:r>
      <w:r>
        <w:rPr>
          <w:rFonts w:hint="eastAsia"/>
        </w:rPr>
        <w:t>行政复议法》涉及政府信息公开内容，加强业务培训，</w:t>
      </w:r>
      <w:r>
        <w:t>进一步推动依申请公开办理程序化、规范化。2023年，我关新收到政府信息公开申请23件</w:t>
      </w:r>
      <w:r>
        <w:rPr>
          <w:rFonts w:hint="eastAsia"/>
        </w:rPr>
        <w:t>，</w:t>
      </w:r>
      <w:r>
        <w:t>主要涉及进口食品领域；22件办结，其中</w:t>
      </w:r>
      <w:r>
        <w:rPr>
          <w:rFonts w:hint="eastAsia"/>
        </w:rPr>
        <w:t>予以</w:t>
      </w:r>
      <w:r>
        <w:t>公开4件、部分公开8件，1件结转下年度继续办理。</w:t>
      </w:r>
      <w:r>
        <w:rPr>
          <w:rFonts w:hint="eastAsia"/>
        </w:rPr>
        <w:t>2</w:t>
      </w:r>
      <w:r>
        <w:t>023</w:t>
      </w:r>
      <w:r>
        <w:rPr>
          <w:rFonts w:hint="eastAsia"/>
        </w:rPr>
        <w:t>年，我关共收到因政府信息公开引发的行政复议1起，已依法依规办理；收到依申请公开投诉2起，投诉人主动撤回。</w:t>
      </w:r>
    </w:p>
    <w:p>
      <w:pPr>
        <w:pStyle w:val="71"/>
        <w:adjustRightInd w:val="0"/>
        <w:snapToGrid w:val="0"/>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b/>
          <w:bCs/>
          <w:sz w:val="32"/>
          <w:szCs w:val="32"/>
        </w:rPr>
        <w:t>（三）</w:t>
      </w:r>
      <w:r>
        <w:rPr>
          <w:rFonts w:ascii="Times New Roman" w:eastAsia="方正楷体_GBK" w:hAnsi="Times New Roman" w:hint="eastAsia"/>
          <w:b/>
          <w:bCs/>
          <w:sz w:val="32"/>
          <w:szCs w:val="32"/>
        </w:rPr>
        <w:t>全面强化基层政务公开标准化规范化建设</w:t>
      </w:r>
      <w:r>
        <w:rPr>
          <w:rFonts w:ascii="Times New Roman" w:eastAsia="方正楷体_GBK" w:hAnsi="Times New Roman"/>
          <w:b/>
          <w:bCs/>
          <w:sz w:val="32"/>
          <w:szCs w:val="32"/>
        </w:rPr>
        <w:t>。</w:t>
      </w:r>
    </w:p>
    <w:p>
      <w:pPr>
        <w:pStyle w:val="71"/>
        <w:adjustRightInd w:val="0"/>
        <w:snapToGrid w:val="0"/>
        <w:spacing w:line="560" w:lineRule="exact"/>
        <w:ind w:firstLineChars="200" w:firstLine="624"/>
        <w:rPr>
          <w:rFonts w:ascii="Times New Roman" w:eastAsia="方正仿宋_GBK" w:hAnsi="Times New Roman"/>
          <w:spacing w:val="-4"/>
          <w:sz w:val="32"/>
        </w:rPr>
      </w:pPr>
      <w:r>
        <w:rPr>
          <w:rFonts w:ascii="Times New Roman" w:eastAsia="方正仿宋_GBK" w:hAnsi="Times New Roman" w:hint="eastAsia"/>
          <w:spacing w:val="-4"/>
          <w:sz w:val="32"/>
        </w:rPr>
        <w:t>以确保群众轻松、便捷、及时获取政府信息为目标，建成“穗关‘政’能量”</w:t>
      </w:r>
      <w:r>
        <w:rPr>
          <w:rFonts w:ascii="Times New Roman" w:eastAsia="方正仿宋_GBK" w:hAnsi="Times New Roman"/>
          <w:spacing w:val="-4"/>
          <w:sz w:val="32"/>
        </w:rPr>
        <w:t>基层</w:t>
      </w:r>
      <w:r>
        <w:rPr>
          <w:rFonts w:ascii="Times New Roman" w:eastAsia="方正仿宋_GBK" w:hAnsi="Times New Roman" w:hint="eastAsia"/>
          <w:spacing w:val="-4"/>
          <w:sz w:val="32"/>
        </w:rPr>
        <w:t>政务公开专区，打造具有南沙海关特色的政务公开品牌，为企业群众提供全面、便捷的政务服务。以制度促规范，及时更新《南沙海关政务公开标准事项目录》《南沙海关政府信息公开指南》。继续强化</w:t>
      </w:r>
      <w:r>
        <w:rPr>
          <w:rFonts w:ascii="Times New Roman" w:eastAsia="方正仿宋_GBK" w:hAnsi="Times New Roman"/>
          <w:spacing w:val="-4"/>
          <w:sz w:val="32"/>
        </w:rPr>
        <w:t>运行</w:t>
      </w:r>
      <w:r>
        <w:rPr>
          <w:rFonts w:ascii="Times New Roman" w:eastAsia="方正仿宋_GBK" w:hAnsi="Times New Roman" w:hint="eastAsia"/>
          <w:spacing w:val="-4"/>
          <w:sz w:val="32"/>
        </w:rPr>
        <w:t>“关长接待日”、通关疑难间题解决专窗、通关需求收集邮箱等疑难通关问题解决，新增“穗关‘政’能量”</w:t>
      </w:r>
      <w:r>
        <w:rPr>
          <w:rFonts w:ascii="Times New Roman" w:eastAsia="方正仿宋_GBK" w:hAnsi="Times New Roman"/>
          <w:spacing w:val="-4"/>
          <w:sz w:val="32"/>
        </w:rPr>
        <w:t>基层</w:t>
      </w:r>
      <w:r>
        <w:rPr>
          <w:rFonts w:ascii="Times New Roman" w:eastAsia="方正仿宋_GBK" w:hAnsi="Times New Roman" w:hint="eastAsia"/>
          <w:spacing w:val="-4"/>
          <w:sz w:val="32"/>
        </w:rPr>
        <w:t>政务公开专区“办不成事”兜底窗口，拓宽企业群众反映问题渠道。秉持“为民服务”理念，全年共开展“海关进企业</w:t>
      </w:r>
      <w:r>
        <w:rPr>
          <w:rFonts w:ascii="Times New Roman" w:eastAsia="方正仿宋_GBK" w:hAnsi="Times New Roman"/>
          <w:spacing w:val="-4"/>
          <w:sz w:val="32"/>
        </w:rPr>
        <w:t>、</w:t>
      </w:r>
      <w:r>
        <w:rPr>
          <w:rFonts w:ascii="Times New Roman" w:eastAsia="方正仿宋_GBK" w:hAnsi="Times New Roman" w:hint="eastAsia"/>
          <w:spacing w:val="-4"/>
          <w:sz w:val="32"/>
        </w:rPr>
        <w:t>海关进社区</w:t>
      </w:r>
      <w:r>
        <w:rPr>
          <w:rFonts w:ascii="Times New Roman" w:eastAsia="方正仿宋_GBK" w:hAnsi="Times New Roman"/>
          <w:spacing w:val="-4"/>
          <w:sz w:val="32"/>
        </w:rPr>
        <w:t>、</w:t>
      </w:r>
      <w:r>
        <w:rPr>
          <w:rFonts w:ascii="Times New Roman" w:eastAsia="方正仿宋_GBK" w:hAnsi="Times New Roman" w:hint="eastAsia"/>
          <w:spacing w:val="-4"/>
          <w:sz w:val="32"/>
        </w:rPr>
        <w:t>海关进校园”——“</w:t>
      </w:r>
      <w:r>
        <w:rPr>
          <w:rFonts w:ascii="Times New Roman" w:eastAsia="方正仿宋_GBK" w:hAnsi="Times New Roman"/>
          <w:spacing w:val="-4"/>
          <w:sz w:val="32"/>
        </w:rPr>
        <w:t>三进</w:t>
      </w:r>
      <w:r>
        <w:rPr>
          <w:rFonts w:ascii="Times New Roman" w:eastAsia="方正仿宋_GBK" w:hAnsi="Times New Roman" w:hint="eastAsia"/>
          <w:spacing w:val="-4"/>
          <w:sz w:val="32"/>
        </w:rPr>
        <w:t>”品牌活动</w:t>
      </w:r>
      <w:r>
        <w:rPr>
          <w:rFonts w:ascii="Times New Roman" w:eastAsia="方正仿宋_GBK" w:hAnsi="Times New Roman"/>
          <w:spacing w:val="-4"/>
          <w:sz w:val="32"/>
        </w:rPr>
        <w:t>60</w:t>
      </w:r>
      <w:r>
        <w:rPr>
          <w:rFonts w:ascii="Times New Roman" w:eastAsia="方正仿宋_GBK" w:hAnsi="Times New Roman" w:hint="eastAsia"/>
          <w:spacing w:val="-4"/>
          <w:sz w:val="32"/>
        </w:rPr>
        <w:t>余次，有针对性地为辖区企业提供货运通关相关政策宣讲服务</w:t>
      </w:r>
      <w:r>
        <w:rPr>
          <w:rFonts w:ascii="Times New Roman" w:eastAsia="方正仿宋_GBK" w:hAnsi="Times New Roman"/>
          <w:spacing w:val="-4"/>
          <w:sz w:val="32"/>
        </w:rPr>
        <w:t>，全年共</w:t>
      </w:r>
      <w:r>
        <w:rPr>
          <w:rFonts w:ascii="Times New Roman" w:eastAsia="方正仿宋_GBK" w:hAnsi="Times New Roman" w:hint="eastAsia"/>
          <w:spacing w:val="-4"/>
          <w:sz w:val="32"/>
        </w:rPr>
        <w:t>收到</w:t>
      </w:r>
      <w:r>
        <w:rPr>
          <w:rFonts w:ascii="Times New Roman" w:eastAsia="方正仿宋_GBK" w:hAnsi="Times New Roman"/>
          <w:spacing w:val="-4"/>
          <w:sz w:val="32"/>
        </w:rPr>
        <w:t>企业群众赠送</w:t>
      </w:r>
      <w:r>
        <w:rPr>
          <w:rFonts w:ascii="Times New Roman" w:eastAsia="方正仿宋_GBK" w:hAnsi="Times New Roman" w:hint="eastAsia"/>
          <w:spacing w:val="-4"/>
          <w:sz w:val="32"/>
        </w:rPr>
        <w:t>牌匾</w:t>
      </w:r>
      <w:r>
        <w:rPr>
          <w:rFonts w:ascii="Times New Roman" w:eastAsia="方正仿宋_GBK" w:hAnsi="Times New Roman"/>
          <w:spacing w:val="-4"/>
          <w:sz w:val="32"/>
        </w:rPr>
        <w:t>4块、感谢信8封、</w:t>
      </w:r>
      <w:r>
        <w:rPr>
          <w:rFonts w:ascii="Times New Roman" w:eastAsia="方正仿宋_GBK" w:hAnsi="Times New Roman" w:hint="eastAsia"/>
          <w:spacing w:val="-4"/>
          <w:sz w:val="32"/>
        </w:rPr>
        <w:t>锦旗</w:t>
      </w:r>
      <w:r>
        <w:rPr>
          <w:rFonts w:ascii="Times New Roman" w:eastAsia="方正仿宋_GBK" w:hAnsi="Times New Roman"/>
          <w:spacing w:val="-4"/>
          <w:sz w:val="32"/>
        </w:rPr>
        <w:t>26面</w:t>
      </w:r>
      <w:r>
        <w:rPr>
          <w:rFonts w:ascii="Times New Roman" w:eastAsia="方正仿宋_GBK" w:hAnsi="Times New Roman" w:hint="eastAsia"/>
          <w:spacing w:val="-4"/>
          <w:sz w:val="32"/>
        </w:rPr>
        <w:t>。</w:t>
      </w:r>
    </w:p>
    <w:p>
      <w:pPr>
        <w:pStyle w:val="33"/>
        <w:adjustRightInd w:val="0"/>
        <w:snapToGrid w:val="0"/>
        <w:spacing w:beforeLines="50" w:before="218" w:afterLines="50" w:after="218"/>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cBorders>
            <w:shd w:val="clear" w:color="auto" w:fill="auto"/>
            <w:vAlign w:val="center"/>
          </w:tcPr>
          <w:p>
            <w:pPr>
              <w:pStyle w:val="28"/>
              <w:widowControl/>
              <w:spacing w:line="560" w:lineRule="exact"/>
              <w:jc w:val="center"/>
              <w:rPr>
                <w:sz w:val="24"/>
                <w:szCs w:val="24"/>
              </w:rPr>
            </w:pPr>
            <w:r>
              <w:rPr>
                <w:rFonts w:ascii="宋体" w:cs="宋体" w:hint="eastAsia"/>
                <w:kern w:val="0"/>
                <w:sz w:val="24"/>
                <w:szCs w:val="24"/>
              </w:rPr>
              <w:t>现行有效件数</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5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5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5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2"/>
              <w:widowControl/>
              <w:adjustRightInd w:val="0"/>
              <w:snapToGrid w:val="0"/>
              <w:spacing w:line="5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5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63"/>
              <w:spacing w:line="560" w:lineRule="exact"/>
              <w:jc w:val="center"/>
              <w:rPr>
                <w:rFonts w:eastAsia="方正仿宋_GBK" w:cs="宋体"/>
                <w:sz w:val="24"/>
                <w:szCs w:val="24"/>
              </w:rPr>
            </w:pPr>
            <w:r>
              <w:rPr>
                <w:rFonts w:eastAsia="方正仿宋_GBK" w:cs="宋体"/>
                <w:sz w:val="24"/>
                <w:szCs w:val="24"/>
              </w:rPr>
              <w:t>12</w:t>
            </w:r>
          </w:p>
        </w:tc>
      </w:tr>
      <w:tr>
        <w:trPr>
          <w:trHeight w:val="40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5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5"/>
              <w:widowControl/>
              <w:adjustRightInd w:val="0"/>
              <w:snapToGrid w:val="0"/>
              <w:spacing w:line="560" w:lineRule="exact"/>
              <w:jc w:val="center"/>
              <w:rPr>
                <w:sz w:val="24"/>
                <w:szCs w:val="24"/>
              </w:rPr>
            </w:pPr>
            <w:r>
              <w:rPr>
                <w:rFonts w:ascii="宋体" w:cs="宋体" w:hint="eastAsia"/>
                <w:kern w:val="0"/>
                <w:sz w:val="24"/>
                <w:szCs w:val="24"/>
              </w:rPr>
              <w:t>本年处理决定数量</w:t>
            </w:r>
          </w:p>
        </w:tc>
      </w:tr>
      <w:tr>
        <w:trPr>
          <w:trHeight w:val="452"/>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5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s="宋体"/>
                <w:sz w:val="24"/>
                <w:szCs w:val="24"/>
              </w:rPr>
            </w:pPr>
            <w:r>
              <w:rPr>
                <w:rFonts w:eastAsia="方正仿宋_GBK" w:cs="宋体"/>
                <w:sz w:val="24"/>
                <w:szCs w:val="24"/>
              </w:rPr>
              <w:t>5131</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5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64"/>
              <w:spacing w:line="560" w:lineRule="exact"/>
              <w:jc w:val="center"/>
              <w:rPr>
                <w:rFonts w:eastAsia="方正仿宋_GBK" w:cs="宋体"/>
                <w:sz w:val="24"/>
                <w:szCs w:val="24"/>
              </w:rPr>
            </w:pPr>
            <w:r>
              <w:rPr>
                <w:rFonts w:eastAsia="方正仿宋_GBK" w:cs="宋体"/>
                <w:sz w:val="24"/>
                <w:szCs w:val="24"/>
              </w:rPr>
              <w:t>490</w:t>
            </w:r>
          </w:p>
        </w:tc>
      </w:tr>
      <w:tr>
        <w:trPr>
          <w:trHeight w:val="474"/>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5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59"/>
              <w:widowControl/>
              <w:adjustRightInd w:val="0"/>
              <w:snapToGrid w:val="0"/>
              <w:spacing w:line="560" w:lineRule="exact"/>
              <w:jc w:val="center"/>
              <w:rPr>
                <w:sz w:val="24"/>
                <w:szCs w:val="24"/>
              </w:rPr>
            </w:pPr>
            <w:r>
              <w:rPr>
                <w:rFonts w:ascii="宋体" w:cs="宋体" w:hint="eastAsia"/>
                <w:kern w:val="0"/>
                <w:sz w:val="24"/>
                <w:szCs w:val="24"/>
              </w:rPr>
              <w:t>本年收费金额（单位：万元）</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5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28"/>
              <w:spacing w:line="560" w:lineRule="exact"/>
              <w:jc w:val="center"/>
              <w:rPr>
                <w:rFonts w:eastAsia="方正仿宋_GBK" w:cs="宋体"/>
                <w:sz w:val="24"/>
                <w:szCs w:val="24"/>
              </w:rPr>
            </w:pPr>
            <w:r>
              <w:rPr>
                <w:rFonts w:eastAsia="方正仿宋_GBK" w:cs="宋体" w:hint="eastAsia"/>
                <w:sz w:val="24"/>
                <w:szCs w:val="24"/>
              </w:rPr>
              <w:t>0</w:t>
            </w:r>
          </w:p>
        </w:tc>
      </w:tr>
    </w:tbl>
    <w:p>
      <w:pPr>
        <w:pStyle w:val="25"/>
        <w:widowControl/>
        <w:shd w:val="clear" w:color="auto" w:fill="FFFFFF"/>
        <w:adjustRightInd w:val="0"/>
        <w:snapToGrid w:val="0"/>
        <w:spacing w:beforeAutospacing="0" w:afterLines="50" w:after="218"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633"/>
        <w:gridCol w:w="881"/>
        <w:gridCol w:w="765"/>
        <w:gridCol w:w="498"/>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pPr>
            <w:r>
              <w:rPr>
                <w:rFonts w:ascii="宋体" w:cs="宋体" w:hint="eastAsia"/>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pPr>
            <w:r>
              <w:rPr>
                <w:rFonts w:ascii="宋体" w:cs="宋体" w:hint="eastAsia"/>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pPr>
            <w:r>
              <w:rPr>
                <w:rFonts w:ascii="宋体" w:cs="宋体" w:hint="eastAsia"/>
                <w:kern w:val="0"/>
                <w:sz w:val="20"/>
                <w:szCs w:val="20"/>
              </w:rPr>
              <w:t>商业企业</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pPr>
            <w:r>
              <w:rPr>
                <w:rFonts w:ascii="宋体" w:cs="宋体" w:hint="eastAsia"/>
                <w:kern w:val="0"/>
                <w:sz w:val="20"/>
                <w:szCs w:val="20"/>
              </w:rPr>
              <w:t>科研机构</w:t>
            </w:r>
          </w:p>
        </w:tc>
        <w:tc>
          <w:tcPr>
            <w:tcW w:w="88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spacing w:line="560" w:lineRule="exact"/>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18</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5</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23</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spacing w:line="560" w:lineRule="exact"/>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0</w:t>
            </w:r>
          </w:p>
        </w:tc>
      </w:tr>
      <w:t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4</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4</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7</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1</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8</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3.危及“三安全一稳定”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3</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2</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5</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rPr>
          <w:trHeight w:val="810"/>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spacing w:line="560" w:lineRule="exact"/>
              <w:rPr>
                <w:rFonts w:ascii="楷体" w:eastAsia="楷体" w:cs="楷体"/>
                <w:kern w:val="0"/>
                <w:sz w:val="24"/>
                <w:szCs w:val="24"/>
              </w:rPr>
            </w:pPr>
            <w:r>
              <w:rPr>
                <w:rFonts w:ascii="楷体" w:eastAsia="楷体" w:cs="楷体" w:hint="eastAsia"/>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spacing w:line="560" w:lineRule="exact"/>
              <w:rPr>
                <w:rFonts w:ascii="楷体" w:eastAsia="楷体" w:cs="楷体"/>
                <w:kern w:val="0"/>
                <w:sz w:val="24"/>
                <w:szCs w:val="24"/>
              </w:rPr>
            </w:pPr>
            <w:r>
              <w:rPr>
                <w:rFonts w:ascii="楷体" w:eastAsia="楷体" w:cs="楷体" w:hint="eastAsia"/>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spacing w:line="560" w:lineRule="exact"/>
              <w:rPr>
                <w:rFonts w:ascii="楷体" w:eastAsia="楷体" w:cs="楷体"/>
                <w:kern w:val="0"/>
                <w:sz w:val="24"/>
                <w:szCs w:val="24"/>
              </w:rPr>
            </w:pPr>
            <w:r>
              <w:rPr>
                <w:rFonts w:ascii="楷体" w:eastAsia="楷体" w:cs="楷体" w:hint="eastAsia"/>
                <w:kern w:val="0"/>
                <w:sz w:val="24"/>
                <w:szCs w:val="24"/>
              </w:rPr>
              <w:t>3.咨询事项，指引咨询渠道</w:t>
            </w:r>
          </w:p>
        </w:tc>
        <w:tc>
          <w:tcPr>
            <w:tcW w:w="63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spacing w:line="560" w:lineRule="exact"/>
              <w:rPr>
                <w:rFonts w:ascii="楷体" w:eastAsia="楷体" w:cs="楷体"/>
                <w:kern w:val="0"/>
                <w:sz w:val="24"/>
                <w:szCs w:val="24"/>
              </w:rPr>
            </w:pPr>
            <w:r>
              <w:rPr>
                <w:rFonts w:ascii="楷体" w:eastAsia="楷体" w:cs="楷体" w:hint="eastAsia"/>
                <w:kern w:val="0"/>
                <w:sz w:val="24"/>
                <w:szCs w:val="24"/>
              </w:rPr>
              <w:t>4.申请人撤销申请</w:t>
            </w:r>
          </w:p>
        </w:tc>
        <w:tc>
          <w:tcPr>
            <w:tcW w:w="63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sz w:val="24"/>
                <w:szCs w:val="24"/>
              </w:rPr>
              <w:t>3</w:t>
            </w:r>
          </w:p>
        </w:tc>
        <w:tc>
          <w:tcPr>
            <w:tcW w:w="67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sz w:val="24"/>
                <w:szCs w:val="24"/>
              </w:rPr>
              <w:t>2</w:t>
            </w:r>
          </w:p>
        </w:tc>
        <w:tc>
          <w:tcPr>
            <w:tcW w:w="633"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sz w:val="24"/>
                <w:szCs w:val="24"/>
              </w:rPr>
            </w:pPr>
            <w:r>
              <w:rPr>
                <w:rFonts w:eastAsia="方正仿宋_GBK"/>
                <w:sz w:val="24"/>
                <w:szCs w:val="24"/>
              </w:rPr>
              <w:t>5</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17</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5</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22</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3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881"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sz w:val="24"/>
                <w:szCs w:val="24"/>
              </w:rPr>
            </w:pPr>
            <w:r>
              <w:rPr>
                <w:rFonts w:eastAsia="方正仿宋_GBK"/>
                <w:sz w:val="24"/>
                <w:szCs w:val="24"/>
              </w:rPr>
              <w:t>1</w:t>
            </w:r>
          </w:p>
        </w:tc>
      </w:tr>
    </w:tbl>
    <w:p>
      <w:pPr>
        <w:pStyle w:val="25"/>
        <w:widowControl/>
        <w:shd w:val="clear" w:color="auto" w:fill="FFFFFF"/>
        <w:spacing w:beforeLines="50" w:before="218" w:beforeAutospacing="0" w:afterAutospacing="0" w:line="560" w:lineRule="exact"/>
        <w:ind w:firstLineChars="200" w:firstLine="640"/>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行政诉讼</w:t>
            </w:r>
          </w:p>
        </w:tc>
      </w:tr>
      <w:t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复议后起诉</w:t>
            </w:r>
          </w:p>
        </w:tc>
      </w:tr>
      <w:t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4"/>
                <w:szCs w:val="24"/>
              </w:rPr>
            </w:pPr>
            <w:r>
              <w:rPr>
                <w:rFonts w:ascii="宋体" w:cs="宋体" w:hint="eastAsia"/>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8"/>
                <w:szCs w:val="28"/>
              </w:rPr>
            </w:pPr>
            <w:r>
              <w:rPr>
                <w:sz w:val="28"/>
                <w:szCs w:val="28"/>
              </w:rPr>
              <w:t>1</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8"/>
                <w:szCs w:val="28"/>
              </w:rPr>
            </w:pPr>
            <w:r>
              <w:rPr>
                <w:rFonts w:hint="eastAsia"/>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8"/>
                <w:szCs w:val="28"/>
              </w:rPr>
            </w:pPr>
            <w:r>
              <w:rPr>
                <w:sz w:val="28"/>
                <w:szCs w:val="28"/>
              </w:rPr>
              <w:t>1</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sz w:val="28"/>
                <w:szCs w:val="28"/>
              </w:rPr>
            </w:pPr>
            <w:r>
              <w:rPr>
                <w:rFonts w:hint="eastAsia"/>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kern w:val="0"/>
                <w:sz w:val="28"/>
                <w:szCs w:val="28"/>
              </w:rPr>
            </w:pPr>
            <w:r>
              <w:rPr>
                <w:rFonts w:hint="eastAsia"/>
                <w:kern w:val="0"/>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kern w:val="0"/>
                <w:sz w:val="28"/>
                <w:szCs w:val="28"/>
              </w:rPr>
            </w:pPr>
            <w:r>
              <w:rPr>
                <w:rFonts w:hint="eastAsia"/>
                <w:kern w:val="0"/>
                <w:sz w:val="28"/>
                <w:szCs w:val="28"/>
              </w:rPr>
              <w:t>0</w:t>
            </w:r>
          </w:p>
        </w:tc>
      </w:tr>
    </w:tbl>
    <w:p>
      <w:pPr>
        <w:pStyle w:val="25"/>
        <w:widowControl/>
        <w:shd w:val="clear" w:color="auto" w:fill="FFFFFF"/>
        <w:spacing w:beforeLines="50" w:before="218"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pPr>
        <w:pStyle w:val="16"/>
        <w:tabs>
          <w:tab w:val="center" w:pos="4153"/>
          <w:tab w:val="right" w:pos="8306"/>
        </w:tabs>
        <w:spacing w:line="560" w:lineRule="exact"/>
        <w:ind w:firstLineChars="200" w:firstLine="624"/>
        <w:rPr>
          <w:rFonts w:ascii="方正楷体_GBK" w:eastAsia="方正楷体_GBK"/>
          <w:b/>
          <w:bCs/>
          <w:spacing w:val="-4"/>
          <w:sz w:val="32"/>
          <w:szCs w:val="20"/>
        </w:rPr>
      </w:pPr>
      <w:r>
        <w:rPr>
          <w:rFonts w:ascii="方正楷体_GBK" w:eastAsia="方正楷体_GBK" w:hint="eastAsia"/>
          <w:b/>
          <w:bCs/>
          <w:spacing w:val="-4"/>
          <w:sz w:val="32"/>
          <w:szCs w:val="20"/>
        </w:rPr>
        <w:t>（一）</w:t>
      </w:r>
      <w:r>
        <w:rPr>
          <w:rFonts w:ascii="方正楷体_GBK" w:eastAsia="方正楷体_GBK"/>
          <w:b/>
          <w:bCs/>
          <w:spacing w:val="-4"/>
          <w:sz w:val="32"/>
          <w:szCs w:val="20"/>
        </w:rPr>
        <w:t>2022</w:t>
      </w:r>
      <w:r>
        <w:rPr>
          <w:rFonts w:ascii="方正楷体_GBK" w:eastAsia="方正楷体_GBK" w:hint="eastAsia"/>
          <w:b/>
          <w:bCs/>
          <w:spacing w:val="-4"/>
          <w:sz w:val="32"/>
          <w:szCs w:val="20"/>
        </w:rPr>
        <w:t>年年报中所提问题整改情况。</w:t>
      </w:r>
    </w:p>
    <w:p>
      <w:pPr>
        <w:pStyle w:val="16"/>
        <w:tabs>
          <w:tab w:val="center" w:pos="4153"/>
          <w:tab w:val="right" w:pos="8306"/>
        </w:tabs>
        <w:spacing w:line="560" w:lineRule="exact"/>
        <w:ind w:firstLineChars="200" w:firstLine="624"/>
        <w:rPr>
          <w:spacing w:val="-4"/>
          <w:sz w:val="32"/>
          <w:szCs w:val="20"/>
        </w:rPr>
      </w:pPr>
      <w:r>
        <w:rPr>
          <w:spacing w:val="-4"/>
          <w:sz w:val="32"/>
          <w:szCs w:val="28"/>
        </w:rPr>
        <w:t>南沙海关</w:t>
      </w:r>
      <w:r>
        <w:rPr>
          <w:rFonts w:hint="eastAsia"/>
          <w:spacing w:val="-4"/>
          <w:sz w:val="32"/>
          <w:szCs w:val="28"/>
        </w:rPr>
        <w:t>2022年年报中提出以下问题：</w:t>
      </w:r>
      <w:r>
        <w:rPr>
          <w:rFonts w:hint="eastAsia"/>
          <w:b/>
          <w:bCs/>
          <w:spacing w:val="-4"/>
          <w:sz w:val="32"/>
          <w:szCs w:val="28"/>
        </w:rPr>
        <w:t>一是</w:t>
      </w:r>
      <w:r>
        <w:rPr>
          <w:rFonts w:hint="eastAsia"/>
          <w:spacing w:val="-4"/>
          <w:sz w:val="32"/>
          <w:szCs w:val="28"/>
        </w:rPr>
        <w:t>随着关区各项业务的快速发展，2022年业务现场对外咨询量较2021年度增长明显，需进一步提升咨询解答效率；</w:t>
      </w:r>
      <w:r>
        <w:rPr>
          <w:rFonts w:hint="eastAsia"/>
          <w:b/>
          <w:bCs/>
          <w:spacing w:val="-4"/>
          <w:sz w:val="32"/>
          <w:szCs w:val="28"/>
        </w:rPr>
        <w:t>二是</w:t>
      </w:r>
      <w:r>
        <w:rPr>
          <w:rFonts w:hint="eastAsia"/>
          <w:spacing w:val="-4"/>
          <w:sz w:val="32"/>
          <w:szCs w:val="28"/>
        </w:rPr>
        <w:t>基层海关政务公开标准化规范化工作的全面推进，对关区政务公开工作水平提出了更高要求，对照关区业务体量，在人才梯队培养方面仍需加强。</w:t>
      </w:r>
    </w:p>
    <w:p>
      <w:pPr>
        <w:pStyle w:val="16"/>
        <w:tabs>
          <w:tab w:val="center" w:pos="4153"/>
          <w:tab w:val="right" w:pos="8306"/>
        </w:tabs>
        <w:spacing w:line="560" w:lineRule="exact"/>
        <w:ind w:firstLineChars="200" w:firstLine="624"/>
        <w:rPr>
          <w:bCs/>
          <w:spacing w:val="-4"/>
          <w:sz w:val="32"/>
          <w:szCs w:val="20"/>
        </w:rPr>
      </w:pPr>
      <w:r>
        <w:rPr>
          <w:rFonts w:hint="eastAsia"/>
          <w:bCs/>
          <w:spacing w:val="-4"/>
          <w:sz w:val="32"/>
          <w:szCs w:val="20"/>
        </w:rPr>
        <w:t>上述问题在2023年均已采取措施完成整改：</w:t>
      </w:r>
      <w:r>
        <w:rPr>
          <w:rFonts w:hint="eastAsia"/>
          <w:b/>
          <w:bCs/>
          <w:spacing w:val="-4"/>
          <w:sz w:val="32"/>
          <w:szCs w:val="20"/>
        </w:rPr>
        <w:t>一是</w:t>
      </w:r>
      <w:r>
        <w:rPr>
          <w:rFonts w:hint="eastAsia"/>
          <w:bCs/>
          <w:spacing w:val="-4"/>
          <w:sz w:val="32"/>
          <w:szCs w:val="20"/>
        </w:rPr>
        <w:t>设立3个“通关疑难业务问题诉求解决专窗”集中收集处理企业和群众的业务政策咨询及疑难问题诉求事项，畅通政务服务热线和通关需求收集邮箱，</w:t>
      </w:r>
      <w:r>
        <w:rPr>
          <w:rFonts w:hint="eastAsia"/>
          <w:spacing w:val="-4"/>
          <w:sz w:val="32"/>
        </w:rPr>
        <w:t>增设“办不成事”兜底窗口，</w:t>
      </w:r>
      <w:r>
        <w:rPr>
          <w:rFonts w:hint="eastAsia"/>
          <w:bCs/>
          <w:spacing w:val="-4"/>
          <w:sz w:val="32"/>
          <w:szCs w:val="20"/>
        </w:rPr>
        <w:t>多渠道收集企业和群众诉求，解答效率较</w:t>
      </w:r>
      <w:r>
        <w:rPr>
          <w:bCs/>
          <w:spacing w:val="-4"/>
          <w:sz w:val="32"/>
          <w:szCs w:val="20"/>
        </w:rPr>
        <w:t>2022</w:t>
      </w:r>
      <w:r>
        <w:rPr>
          <w:rFonts w:hint="eastAsia"/>
          <w:bCs/>
          <w:spacing w:val="-4"/>
          <w:sz w:val="32"/>
          <w:szCs w:val="20"/>
        </w:rPr>
        <w:t>年度大幅提升。</w:t>
      </w:r>
      <w:r>
        <w:rPr>
          <w:rFonts w:hint="eastAsia"/>
          <w:b/>
          <w:bCs/>
          <w:spacing w:val="-4"/>
          <w:sz w:val="32"/>
          <w:szCs w:val="20"/>
        </w:rPr>
        <w:t>二是</w:t>
      </w:r>
      <w:r>
        <w:rPr>
          <w:rFonts w:hint="eastAsia"/>
          <w:bCs/>
          <w:spacing w:val="-4"/>
          <w:sz w:val="32"/>
          <w:szCs w:val="20"/>
        </w:rPr>
        <w:t>吸纳</w:t>
      </w:r>
      <w:r>
        <w:rPr>
          <w:bCs/>
          <w:spacing w:val="-4"/>
          <w:sz w:val="32"/>
          <w:szCs w:val="20"/>
        </w:rPr>
        <w:t>年轻干部</w:t>
      </w:r>
      <w:r>
        <w:rPr>
          <w:rFonts w:hint="eastAsia"/>
          <w:bCs/>
          <w:spacing w:val="-4"/>
          <w:sz w:val="32"/>
          <w:szCs w:val="20"/>
        </w:rPr>
        <w:t>加入政务公开队伍，加强人才梯队建设。</w:t>
      </w:r>
    </w:p>
    <w:p>
      <w:pPr>
        <w:pStyle w:val="34"/>
        <w:adjustRightInd w:val="0"/>
        <w:snapToGrid w:val="0"/>
        <w:ind w:firstLineChars="200" w:firstLine="624"/>
        <w:rPr>
          <w:rFonts w:ascii="方正楷体_GBK" w:eastAsia="方正楷体_GBK"/>
          <w:b/>
          <w:bCs/>
        </w:rPr>
      </w:pPr>
      <w:r>
        <w:rPr>
          <w:rFonts w:ascii="方正楷体_GBK" w:eastAsia="方正楷体_GBK" w:hint="eastAsia"/>
          <w:b/>
          <w:bCs/>
        </w:rPr>
        <w:t>（二）目前存在问题。</w:t>
      </w:r>
    </w:p>
    <w:p>
      <w:pPr>
        <w:pStyle w:val="34"/>
        <w:adjustRightInd w:val="0"/>
        <w:snapToGrid w:val="0"/>
        <w:ind w:firstLineChars="200" w:firstLine="624"/>
      </w:pPr>
      <w:r>
        <w:rPr>
          <w:b/>
          <w:bCs/>
        </w:rPr>
        <w:t>一是</w:t>
      </w:r>
      <w:r>
        <w:t>随着关区业务量快速增长，2023年</w:t>
      </w:r>
      <w:r>
        <w:rPr>
          <w:rFonts w:hint="eastAsia"/>
        </w:rPr>
        <w:t>政府信息</w:t>
      </w:r>
      <w:r>
        <w:t>公开</w:t>
      </w:r>
      <w:r>
        <w:rPr>
          <w:rFonts w:hint="eastAsia"/>
        </w:rPr>
        <w:t>申请</w:t>
      </w:r>
      <w:r>
        <w:t>数量大幅增长，需全面提升依申请公开</w:t>
      </w:r>
      <w:r>
        <w:rPr>
          <w:rFonts w:hint="eastAsia"/>
        </w:rPr>
        <w:t>办理</w:t>
      </w:r>
      <w:r>
        <w:t>规范性</w:t>
      </w:r>
      <w:r>
        <w:rPr>
          <w:rFonts w:hint="eastAsia"/>
        </w:rPr>
        <w:t>，依法依规满足</w:t>
      </w:r>
      <w:r>
        <w:t>公</w:t>
      </w:r>
      <w:r>
        <w:rPr>
          <w:rFonts w:hint="eastAsia"/>
        </w:rPr>
        <w:t>众需求</w:t>
      </w:r>
      <w:r>
        <w:t>；</w:t>
      </w:r>
      <w:r>
        <w:rPr>
          <w:b/>
          <w:bCs/>
        </w:rPr>
        <w:t>二是</w:t>
      </w:r>
      <w:r>
        <w:t>随着基层海关政务公开标准化规范化工作深入开展，需加强对政务公开人员的专业能力培养，提升队伍的综合素质。</w:t>
      </w:r>
    </w:p>
    <w:p>
      <w:pPr>
        <w:pStyle w:val="25"/>
        <w:widowControl/>
        <w:shd w:val="clear" w:color="auto" w:fill="FFFFFF"/>
        <w:spacing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六、其他需要报告的事项</w:t>
      </w:r>
      <w:bookmarkEnd w:id="1"/>
    </w:p>
    <w:p>
      <w:pPr>
        <w:pStyle w:val="77"/>
        <w:tabs>
          <w:tab w:val="center" w:pos="4153"/>
          <w:tab w:val="right" w:pos="8306"/>
        </w:tabs>
        <w:spacing w:line="560" w:lineRule="exact"/>
        <w:ind w:firstLineChars="200" w:firstLine="624"/>
        <w:rPr>
          <w:bCs/>
          <w:spacing w:val="-4"/>
          <w:sz w:val="32"/>
          <w:szCs w:val="20"/>
        </w:rPr>
      </w:pPr>
      <w:r>
        <w:rPr>
          <w:rFonts w:hint="eastAsia"/>
          <w:bCs/>
          <w:spacing w:val="-4"/>
          <w:sz w:val="32"/>
          <w:szCs w:val="20"/>
        </w:rPr>
        <w:t>南沙海关</w:t>
      </w:r>
      <w:r>
        <w:rPr>
          <w:bCs/>
          <w:spacing w:val="-4"/>
          <w:sz w:val="32"/>
          <w:szCs w:val="20"/>
        </w:rPr>
        <w:t>严格按照</w:t>
      </w:r>
      <w:r>
        <w:rPr>
          <w:rFonts w:hint="eastAsia"/>
          <w:bCs/>
          <w:spacing w:val="-4"/>
          <w:sz w:val="32"/>
          <w:szCs w:val="20"/>
        </w:rPr>
        <w:t>《国务院办公厅关于印发〈政府信息公开信息处理费管理办法〉的通知》</w:t>
      </w:r>
      <w:r>
        <w:rPr>
          <w:rFonts w:eastAsia="方正仿宋_GBK"/>
          <w:sz w:val="32"/>
          <w:szCs w:val="32"/>
        </w:rPr>
        <w:t>，规范政府信息公开信息处理费收取工作</w:t>
      </w:r>
      <w:r>
        <w:rPr>
          <w:bCs/>
          <w:spacing w:val="-4"/>
          <w:sz w:val="32"/>
          <w:szCs w:val="20"/>
        </w:rPr>
        <w:t>，2023年未收取</w:t>
      </w:r>
      <w:r>
        <w:rPr>
          <w:rFonts w:hint="eastAsia"/>
          <w:bCs/>
          <w:spacing w:val="-4"/>
          <w:sz w:val="32"/>
          <w:szCs w:val="20"/>
        </w:rPr>
        <w:t>政府信息公开</w:t>
      </w:r>
      <w:r>
        <w:rPr>
          <w:bCs/>
          <w:spacing w:val="-4"/>
          <w:sz w:val="32"/>
          <w:szCs w:val="20"/>
        </w:rPr>
        <w:t>信息处理费。</w:t>
      </w:r>
    </w:p>
    <w:sectPr>
      <w:footerReference w:type="default" r:id="rId2"/>
      <w:footerReference w:type="even" r:id="rId3"/>
      <w:footerReference w:type="first" r:id="rId4"/>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altName w:val="微软雅黑"/>
    <w:panose1 w:val="00000000000000000000"/>
    <w:charset w:val="86"/>
    <w:family w:val="script"/>
    <w:pitch w:val="variable"/>
    <w:sig w:usb0="00000001" w:usb1="080E0000" w:usb2="00000010" w:usb3="00000000" w:csb0="00040000" w:csb1="00000000"/>
  </w:font>
  <w:font w:name="方正黑体_GBK">
    <w:altName w:val="微软雅黑"/>
    <w:panose1 w:val="00000000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方正仿宋_GBK">
    <w:altName w:val="微软雅黑"/>
    <w:panose1 w:val="00000000000000000000"/>
    <w:charset w:val="86"/>
    <w:family w:val="script"/>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楷体_GBK">
    <w:altName w:val="微软雅黑"/>
    <w:panose1 w:val="00000000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- 1 -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- 2 -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7</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bordersDoNotSurroundHeader/>
  <w:bordersDoNotSurroundFooter/>
  <w:trackRevisions/>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styleId="19">
    <w:name w:val="index 5"/>
    <w:basedOn w:val="0"/>
    <w:autoRedefine/>
    <w:next w:val="0"/>
    <w:pPr>
      <w:ind w:left="1680"/>
    </w:pPr>
  </w:style>
  <w:style w:type="paragraph" w:styleId="20">
    <w:name w:val="index 6"/>
    <w:basedOn w:val="0"/>
    <w:autoRedefine/>
    <w:next w:val="0"/>
    <w:pPr>
      <w:ind w:left="2100"/>
    </w:pPr>
  </w:style>
  <w:style w:type="paragraph" w:styleId="21">
    <w:name w:val="index 7"/>
    <w:basedOn w:val="0"/>
    <w:autoRedefine/>
    <w:next w:val="0"/>
    <w:pPr>
      <w:ind w:left="2520"/>
    </w:pPr>
  </w:style>
  <w:style w:type="paragraph" w:styleId="22">
    <w:name w:val="index 8"/>
    <w:basedOn w:val="0"/>
    <w:autoRedefine/>
    <w:next w:val="0"/>
    <w:pPr>
      <w:ind w:left="2940"/>
    </w:pPr>
  </w:style>
  <w:style w:type="paragraph" w:styleId="23">
    <w:name w:val="toc 1"/>
    <w:basedOn w:val="0"/>
    <w:autoRedefine/>
    <w:next w:val="0"/>
  </w:style>
  <w:style w:type="paragraph" w:styleId="24">
    <w:name w:val="toc 2"/>
    <w:basedOn w:val="0"/>
    <w:autoRedefine/>
    <w:next w:val="0"/>
    <w:pPr>
      <w:ind w:left="420"/>
    </w:pPr>
  </w:style>
  <w:style w:type="paragraph" w:styleId="25">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6">
    <w:name w:val="样式 1 三号"/>
    <w:next w:val="23"/>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0"/>
    <w:pPr>
      <w:widowControl w:val="0"/>
    </w:pPr>
    <w:rPr>
      <w:rFonts w:ascii="宋体" w:eastAsia="宋体" w:cs="Times New Roman"/>
      <w:kern w:val="2"/>
      <w:sz w:val="24"/>
      <w:lang w:val="en-US" w:eastAsia="zh-CN" w:bidi="ar-SA"/>
    </w:rPr>
  </w:style>
  <w:style w:type="paragraph" w:customStyle="1" w:styleId="30">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
    <w:name w:val="样式 20 小四"/>
    <w:next w:val="1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12 三号"/>
    <w:next w:val="22"/>
    <w:pPr>
      <w:widowControl w:val="0"/>
      <w:jc w:val="both"/>
    </w:pPr>
    <w:rPr>
      <w:rFonts w:ascii="Times New Roman" w:eastAsia="方正仿宋_GBK" w:cs="Times New Roman" w:hAnsi="Times New Roman"/>
      <w:kern w:val="2"/>
      <w:sz w:val="32"/>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5">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2">
    <w:name w:val="样式 小四"/>
    <w:pPr>
      <w:widowControl w:val="0"/>
    </w:pPr>
    <w:rPr>
      <w:rFonts w:ascii="宋体" w:eastAsia="宋体" w:cs="Times New Roman"/>
      <w:kern w:val="2"/>
      <w:sz w:val="24"/>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0">
    <w:name w:val="样式 3 小四"/>
    <w:pPr>
      <w:widowControl w:val="0"/>
    </w:pPr>
    <w:rPr>
      <w:rFonts w:ascii="宋体" w:eastAsia="宋体" w:cs="Times New Roman"/>
      <w:kern w:val="2"/>
      <w:sz w:val="24"/>
      <w:lang w:val="en-US" w:eastAsia="zh-CN" w:bidi="ar-SA"/>
    </w:rPr>
  </w:style>
  <w:style w:type="paragraph" w:styleId="51">
    <w:name w:val="List Number 2"/>
    <w:basedOn w:val="0"/>
    <w:pPr>
      <w:tabs>
        <w:tab w:val="left" w:pos="780"/>
      </w:tabs>
      <w:ind w:left="780" w:hanging="360"/>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styleId="68">
    <w:name w:val="annotation text"/>
    <w:pPr>
      <w:widowControl w:val="0"/>
    </w:pPr>
    <w:rPr>
      <w:rFonts w:ascii="Times New Roman" w:eastAsia="方正仿宋_GBK" w:cs="Times New Roman" w:hAnsi="Times New Roman"/>
      <w:kern w:val="2"/>
      <w:sz w:val="32"/>
      <w:szCs w:val="22"/>
      <w:lang w:val="en-US" w:eastAsia="zh-CN" w:bidi="ar-SA"/>
    </w:rPr>
  </w:style>
  <w:style w:type="character" w:styleId="69">
    <w:name w:val="footnote reference"/>
    <w:basedOn w:val="10"/>
    <w:rPr>
      <w:vertAlign w:val="superscript"/>
    </w:rPr>
  </w:style>
  <w:style w:type="paragraph" w:styleId="70">
    <w:name w:val="Balloon Text"/>
    <w:basedOn w:val="0"/>
    <w:rPr>
      <w:sz w:val="18"/>
      <w:szCs w:val="18"/>
    </w:rPr>
  </w:style>
  <w:style w:type="paragraph" w:customStyle="1" w:styleId="71">
    <w:name w:val="样式 4 小四"/>
    <w:pPr>
      <w:widowControl w:val="0"/>
    </w:pPr>
    <w:rPr>
      <w:rFonts w:ascii="宋体" w:eastAsia="宋体" w:cs="Times New Roman"/>
      <w:kern w:val="2"/>
      <w:sz w:val="24"/>
      <w:lang w:val="en-US" w:eastAsia="zh-CN" w:bidi="ar-SA"/>
    </w:rPr>
  </w:style>
  <w:style w:type="paragraph" w:customStyle="1" w:styleId="72">
    <w:name w:val="样式 29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3">
    <w:name w:val="样式 3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styleId="74">
    <w:name w:val="footnote text"/>
    <w:basedOn w:val="0"/>
    <w:pPr>
      <w:snapToGrid w:val="0"/>
      <w:jc w:val="left"/>
    </w:pPr>
    <w:rPr>
      <w:sz w:val="18"/>
    </w:rPr>
  </w:style>
  <w:style w:type="paragraph" w:customStyle="1" w:styleId="75">
    <w:name w:val="样式 1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6">
    <w:name w:val="样式 14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77">
    <w:name w:val="样式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styleId="78">
    <w:name w:val="annotation subject"/>
    <w:basedOn w:val="68"/>
    <w:next w:val="68"/>
    <w:rPr>
      <w:b/>
    </w:rPr>
  </w:style>
  <w:style w:type="paragraph" w:customStyle="1" w:styleId="79">
    <w:name w:val="样式 1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0">
    <w:name w:val="样式 1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1">
    <w:name w:val="样式 1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82">
    <w:name w:val="样式 39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83">
    <w:name w:val="样式 5 小四"/>
    <w:pPr>
      <w:widowControl w:val="0"/>
    </w:pPr>
    <w:rPr>
      <w:rFonts w:ascii="宋体" w:eastAsia="宋体" w:cs="Times New Roman"/>
      <w:kern w:val="2"/>
      <w:sz w:val="24"/>
      <w:lang w:val="en-US" w:eastAsia="zh-CN" w:bidi="ar-SA"/>
    </w:rPr>
  </w:style>
  <w:style w:type="paragraph" w:customStyle="1" w:styleId="84">
    <w:name w:val="样式 2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85">
    <w:name w:val="样式 1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6">
    <w:name w:val="Revision"/>
    <w:rPr>
      <w:rFonts w:ascii="Times New Roman" w:eastAsia="方正仿宋_GBK" w:cs="Times New Roman" w:hAnsi="Times New Roman"/>
      <w:kern w:val="2"/>
      <w:sz w:val="32"/>
      <w:lang w:val="en-US" w:eastAsia="zh-CN" w:bidi="ar-SA"/>
    </w:rPr>
  </w:style>
  <w:style w:type="paragraph" w:customStyle="1" w:styleId="87">
    <w:name w:val="样式 7 小四"/>
    <w:pPr>
      <w:widowControl w:val="0"/>
    </w:pPr>
    <w:rPr>
      <w:rFonts w:ascii="宋体" w:eastAsia="宋体" w:cs="Times New Roman"/>
      <w:kern w:val="2"/>
      <w:sz w:val="24"/>
      <w:lang w:val="en-US" w:eastAsia="zh-CN" w:bidi="ar-SA"/>
    </w:rPr>
  </w:style>
  <w:style w:type="paragraph" w:customStyle="1" w:styleId="88">
    <w:name w:val="样式 8 小四"/>
    <w:pPr>
      <w:widowControl w:val="0"/>
    </w:pPr>
    <w:rPr>
      <w:rFonts w:ascii="宋体" w:eastAsia="宋体" w:cs="Times New Roman"/>
      <w:kern w:val="2"/>
      <w:sz w:val="24"/>
      <w:lang w:val="en-US" w:eastAsia="zh-CN" w:bidi="ar-SA"/>
    </w:rPr>
  </w:style>
  <w:style w:type="paragraph" w:customStyle="1" w:styleId="89">
    <w:name w:val="样式 9 小四"/>
    <w:pPr>
      <w:widowControl w:val="0"/>
    </w:pPr>
    <w:rPr>
      <w:rFonts w:ascii="宋体" w:eastAsia="宋体" w:cs="Times New Roman"/>
      <w:kern w:val="2"/>
      <w:sz w:val="24"/>
      <w:lang w:val="en-US" w:eastAsia="zh-CN" w:bidi="ar-SA"/>
    </w:rPr>
  </w:style>
  <w:style w:type="paragraph" w:customStyle="1" w:styleId="90">
    <w:name w:val="样式 10 小四"/>
    <w:pPr>
      <w:widowControl w:val="0"/>
    </w:pPr>
    <w:rPr>
      <w:rFonts w:ascii="宋体" w:eastAsia="宋体" w:cs="Times New Roman"/>
      <w:kern w:val="2"/>
      <w:sz w:val="24"/>
      <w:lang w:val="en-US" w:eastAsia="zh-CN" w:bidi="ar-SA"/>
    </w:rPr>
  </w:style>
  <w:style w:type="paragraph" w:customStyle="1" w:styleId="91">
    <w:name w:val="样式 11 小四"/>
    <w:pPr>
      <w:widowControl w:val="0"/>
    </w:pPr>
    <w:rPr>
      <w:rFonts w:ascii="宋体" w:eastAsia="宋体" w:cs="Times New Roman"/>
      <w:kern w:val="2"/>
      <w:sz w:val="24"/>
      <w:lang w:val="en-US" w:eastAsia="zh-CN" w:bidi="ar-SA"/>
    </w:rPr>
  </w:style>
  <w:style w:type="paragraph" w:customStyle="1" w:styleId="92">
    <w:name w:val="样式 12 小四"/>
    <w:pPr>
      <w:widowControl w:val="0"/>
    </w:pPr>
    <w:rPr>
      <w:rFonts w:ascii="宋体" w:eastAsia="宋体" w:cs="Times New Roman"/>
      <w:kern w:val="2"/>
      <w:sz w:val="24"/>
      <w:lang w:val="en-US" w:eastAsia="zh-CN" w:bidi="ar-SA"/>
    </w:rPr>
  </w:style>
  <w:style w:type="paragraph" w:customStyle="1" w:styleId="93">
    <w:name w:val="样式 1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94">
    <w:name w:val="样式 19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95">
    <w:name w:val="样式 2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96">
    <w:name w:val="样式 3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97">
    <w:name w:val="样式 13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98">
    <w:name w:val="样式 14 小四"/>
    <w:pPr>
      <w:widowControl w:val="0"/>
    </w:pPr>
    <w:rPr>
      <w:rFonts w:ascii="宋体"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1254</TotalTime>
  <Application>Yozo_Office</Application>
  <Pages>1</Pages>
  <Words>18</Words>
  <Characters>21</Characters>
  <Lines>1</Lines>
  <Paragraphs>1</Paragraphs>
  <CharactersWithSpaces>21</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191</cp:revision>
  <cp:lastPrinted>2024-01-15T07:31:00Z</cp:lastPrinted>
  <dcterms:created xsi:type="dcterms:W3CDTF">2023-01-04T01:46:00Z</dcterms:created>
  <dcterms:modified xsi:type="dcterms:W3CDTF">2024-01-26T02:14:40Z</dcterms:modified>
</cp:coreProperties>
</file>