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Style w:val="331"/>
          <w:rFonts w:ascii="方正小标宋_GBK" w:eastAsia="方正小标宋_GBK"/>
          <w:color w:val="000000"/>
          <w:sz w:val="48"/>
          <w:szCs w:val="48"/>
        </w:rPr>
      </w:pPr>
      <w:bookmarkStart w:id="0" w:name="_GoBack"/>
      <w:r>
        <w:rPr>
          <w:rStyle w:val="331"/>
          <w:rFonts w:ascii="方正小标宋_GBK" w:eastAsia="方正小标宋_GBK" w:hint="eastAsia"/>
          <w:color w:val="000000"/>
          <w:sz w:val="48"/>
          <w:szCs w:val="48"/>
        </w:rPr>
        <w:t>广州会展中心海关2023年政府信息公开</w:t>
      </w:r>
    </w:p>
    <w:p>
      <w:pPr>
        <w:spacing w:line="560" w:lineRule="exact"/>
        <w:jc w:val="center"/>
        <w:rPr>
          <w:rStyle w:val="331"/>
          <w:rFonts w:ascii="方正小标宋_GBK" w:eastAsia="方正小标宋_GBK"/>
          <w:color w:val="000000"/>
          <w:sz w:val="48"/>
          <w:szCs w:val="48"/>
        </w:rPr>
      </w:pPr>
      <w:r>
        <w:rPr>
          <w:rStyle w:val="331"/>
          <w:rFonts w:ascii="方正小标宋_GBK" w:eastAsia="方正小标宋_GBK" w:hint="eastAsia"/>
          <w:color w:val="000000"/>
          <w:sz w:val="48"/>
          <w:szCs w:val="48"/>
        </w:rPr>
        <w:t>工作年度报告</w:t>
      </w:r>
    </w:p>
    <w:p>
      <w:pPr>
        <w:spacing w:line="560" w:lineRule="exact"/>
        <w:rPr>
          <w:rStyle w:val="331"/>
          <w:color w:val="000000"/>
          <w:szCs w:val="32"/>
        </w:rPr>
      </w:pPr>
      <w:bookmarkEnd w:id="0"/>
      <w:r>
        <w:rPr>
          <w:rStyle w:val="331"/>
          <w:color w:val="000000"/>
          <w:szCs w:val="32"/>
        </w:rPr>
        <w:t xml:space="preserve"> </w:t>
      </w:r>
    </w:p>
    <w:p>
      <w:pPr>
        <w:spacing w:line="560" w:lineRule="exact"/>
        <w:ind w:firstLineChars="200" w:firstLine="632"/>
        <w:rPr>
          <w:rStyle w:val="331"/>
          <w:color w:val="000000"/>
          <w:szCs w:val="32"/>
        </w:rPr>
      </w:pPr>
      <w:r>
        <w:rPr>
          <w:rStyle w:val="331"/>
          <w:rFonts w:hint="eastAsia"/>
          <w:color w:val="000000"/>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2023年广州会展中心海关政府信息公开工作年报。年报中所列数据的统计期限，自2023年1月1日起至2023年12月31日止。如对本年报有疑问或有任何意见、建议，请联系广州会展中心海关办公室。地址：广东省广州市海珠区新港东路1088号中洲六元素体验天地北写字楼17楼，邮编：510335；电话：020- 81134380；电子邮箱：hzzx@customs.gov.cn。</w:t>
      </w:r>
    </w:p>
    <w:p>
      <w:pPr>
        <w:spacing w:line="560" w:lineRule="exact"/>
        <w:ind w:firstLineChars="250" w:firstLine="790"/>
        <w:rPr>
          <w:rStyle w:val="331"/>
          <w:rFonts w:ascii="方正黑体_GBK" w:eastAsia="方正黑体_GBK"/>
          <w:color w:val="000000"/>
          <w:szCs w:val="32"/>
        </w:rPr>
      </w:pPr>
      <w:r>
        <w:rPr>
          <w:rStyle w:val="331"/>
          <w:rFonts w:ascii="方正黑体_GBK" w:eastAsia="方正黑体_GBK" w:hint="eastAsia"/>
          <w:color w:val="000000"/>
          <w:szCs w:val="32"/>
        </w:rPr>
        <w:t>一、总体情况</w:t>
      </w:r>
    </w:p>
    <w:p>
      <w:pPr>
        <w:spacing w:line="560" w:lineRule="exact"/>
        <w:ind w:firstLineChars="200" w:firstLine="632"/>
        <w:rPr>
          <w:rStyle w:val="331"/>
          <w:color w:val="000000"/>
          <w:szCs w:val="32"/>
        </w:rPr>
      </w:pPr>
      <w:r>
        <w:rPr>
          <w:rStyle w:val="331"/>
          <w:rFonts w:hint="eastAsia"/>
          <w:color w:val="000000"/>
          <w:szCs w:val="32"/>
        </w:rPr>
        <w:t xml:space="preserve"> 2023年，广州会展中心海关深入学习贯彻党的二十大精神、习近平总书记给红其拉甫海关全体关员的重要回信精神，严格落实《中华人民共和国政府信息公开条例》要求，推进海关领域基层政务公开标准化规范化建设，提升海关工作透明度和公众参与度，推动粤港澳大湾区会展业复苏和高质量发展，现将工作情况报告如下：</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（一）主动公开方面</w:t>
      </w:r>
    </w:p>
    <w:p>
      <w:pPr>
        <w:spacing w:line="560" w:lineRule="exact"/>
        <w:ind w:firstLineChars="200" w:firstLine="632"/>
        <w:rPr>
          <w:rStyle w:val="331"/>
          <w:color w:val="000000"/>
          <w:szCs w:val="32"/>
        </w:rPr>
      </w:pPr>
      <w:r>
        <w:rPr>
          <w:rStyle w:val="331"/>
          <w:color w:val="000000"/>
          <w:szCs w:val="32"/>
        </w:rPr>
        <w:t>通过</w:t>
      </w:r>
      <w:r>
        <w:rPr>
          <w:rStyle w:val="331"/>
          <w:rFonts w:hint="eastAsia"/>
          <w:color w:val="000000"/>
          <w:szCs w:val="32"/>
        </w:rPr>
        <w:t>广州海关门户网站、“广州海关12360”微信公众号、基层政务公开专区等渠道，实现对政务公开标准事项目录、机构概况、业务咨询渠道等信息</w:t>
      </w:r>
      <w:r>
        <w:rPr>
          <w:rStyle w:val="331"/>
          <w:color w:val="000000"/>
          <w:szCs w:val="32"/>
        </w:rPr>
        <w:t>的全面公开</w:t>
      </w:r>
      <w:r>
        <w:rPr>
          <w:rStyle w:val="331"/>
          <w:rFonts w:hint="eastAsia"/>
          <w:color w:val="000000"/>
          <w:szCs w:val="32"/>
        </w:rPr>
        <w:t>。创建“候鸟式”政务公开品牌，依托广州海关“海关进企业、海关进社区、海关进校园”（下称“三进”</w:t>
      </w:r>
      <w:r>
        <w:rPr>
          <w:rStyle w:val="331"/>
          <w:color w:val="000000"/>
          <w:szCs w:val="32"/>
        </w:rPr>
        <w:t>品牌</w:t>
      </w:r>
      <w:r>
        <w:rPr>
          <w:rStyle w:val="331"/>
          <w:rFonts w:hint="eastAsia"/>
          <w:color w:val="000000"/>
          <w:szCs w:val="32"/>
        </w:rPr>
        <w:t>）品牌，立足本关业务实际，擦亮“候鸟式”</w:t>
      </w:r>
      <w:r>
        <w:rPr>
          <w:rStyle w:val="331"/>
          <w:color w:val="000000"/>
          <w:szCs w:val="32"/>
        </w:rPr>
        <w:t>基层</w:t>
      </w:r>
      <w:r>
        <w:rPr>
          <w:rStyle w:val="331"/>
          <w:rFonts w:hint="eastAsia"/>
          <w:color w:val="000000"/>
          <w:szCs w:val="32"/>
        </w:rPr>
        <w:t>政务公开品牌，将业务办理、海关政策宣贯等服务“送进”各大展会及口岸，年内服务企业近3万家次、覆盖群众近8万人次，收到</w:t>
      </w:r>
      <w:r>
        <w:rPr>
          <w:rStyle w:val="331"/>
          <w:color w:val="000000"/>
          <w:szCs w:val="32"/>
        </w:rPr>
        <w:t>多封</w:t>
      </w:r>
      <w:r>
        <w:rPr>
          <w:rStyle w:val="331"/>
          <w:rFonts w:hint="eastAsia"/>
          <w:color w:val="000000"/>
          <w:szCs w:val="32"/>
        </w:rPr>
        <w:t>感谢信。与地方部门紧密协作，与商务、口岸等部门联合向省内30余家科研、医疗机构实地开展“进口展品税收优惠政策”解读。</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（二） 依申请公开方面</w:t>
      </w:r>
    </w:p>
    <w:p>
      <w:pPr>
        <w:spacing w:line="560" w:lineRule="exact"/>
        <w:ind w:firstLineChars="200" w:firstLine="632"/>
        <w:rPr>
          <w:rStyle w:val="331"/>
          <w:color w:val="000000"/>
          <w:szCs w:val="32"/>
        </w:rPr>
      </w:pPr>
      <w:r>
        <w:rPr>
          <w:rStyle w:val="331"/>
          <w:rFonts w:hint="eastAsia"/>
          <w:color w:val="000000"/>
          <w:szCs w:val="32"/>
        </w:rPr>
        <w:t>专员</w:t>
      </w:r>
      <w:r>
        <w:rPr>
          <w:rStyle w:val="331"/>
          <w:color w:val="000000"/>
          <w:szCs w:val="32"/>
        </w:rPr>
        <w:t>查看</w:t>
      </w:r>
      <w:r>
        <w:rPr>
          <w:rStyle w:val="331"/>
          <w:rFonts w:hint="eastAsia"/>
          <w:color w:val="000000"/>
          <w:szCs w:val="32"/>
        </w:rPr>
        <w:t>门户网站</w:t>
      </w:r>
      <w:r>
        <w:rPr>
          <w:rStyle w:val="331"/>
          <w:color w:val="000000"/>
          <w:szCs w:val="32"/>
        </w:rPr>
        <w:t>对外公开的信件</w:t>
      </w:r>
      <w:r>
        <w:rPr>
          <w:rStyle w:val="331"/>
          <w:rFonts w:hint="eastAsia"/>
          <w:color w:val="000000"/>
          <w:szCs w:val="32"/>
        </w:rPr>
        <w:t>、电话、电邮</w:t>
      </w:r>
      <w:r>
        <w:rPr>
          <w:rStyle w:val="331"/>
          <w:color w:val="000000"/>
          <w:szCs w:val="32"/>
        </w:rPr>
        <w:t>、</w:t>
      </w:r>
      <w:r>
        <w:rPr>
          <w:rStyle w:val="331"/>
          <w:rFonts w:hint="eastAsia"/>
          <w:color w:val="000000"/>
          <w:szCs w:val="32"/>
        </w:rPr>
        <w:t>传真等政府信息公开申请</w:t>
      </w:r>
      <w:r>
        <w:rPr>
          <w:rStyle w:val="331"/>
          <w:color w:val="000000"/>
          <w:szCs w:val="32"/>
        </w:rPr>
        <w:t>受理</w:t>
      </w:r>
      <w:r>
        <w:rPr>
          <w:rStyle w:val="331"/>
          <w:rFonts w:hint="eastAsia"/>
          <w:color w:val="000000"/>
          <w:szCs w:val="32"/>
        </w:rPr>
        <w:t>渠道，确保及时接收政府信息公开申请</w:t>
      </w:r>
      <w:r>
        <w:rPr>
          <w:rStyle w:val="331"/>
          <w:color w:val="000000"/>
          <w:szCs w:val="32"/>
        </w:rPr>
        <w:t>。</w:t>
      </w:r>
      <w:r>
        <w:rPr>
          <w:rStyle w:val="331"/>
          <w:rFonts w:hint="eastAsia"/>
          <w:color w:val="000000"/>
          <w:szCs w:val="32"/>
        </w:rPr>
        <w:t>通过组织依申请公开实战演练，熟悉依申请办理全流程。2023年，广州会展中心海关未收到政府信息公开申请。</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（三） 政府信息管理方面</w:t>
      </w:r>
    </w:p>
    <w:p>
      <w:pPr>
        <w:spacing w:line="560" w:lineRule="exact"/>
        <w:ind w:firstLineChars="200" w:firstLine="632"/>
        <w:rPr>
          <w:rStyle w:val="331"/>
          <w:rFonts w:hint="eastAsia"/>
          <w:color w:val="000000"/>
          <w:szCs w:val="32"/>
        </w:rPr>
      </w:pPr>
      <w:r>
        <w:rPr>
          <w:rStyle w:val="331"/>
          <w:rFonts w:hint="eastAsia"/>
          <w:color w:val="000000"/>
          <w:szCs w:val="32"/>
        </w:rPr>
        <w:t>针对新增业务、科室调整等新情况，在规定期限内动态更新相关政府信息；严格做好信息发布公开审查，做好审查材料纸本及电子存档；实行信息发布“回头看”机制，确保对外发布信息格式、内容无误。</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（四） 政府信息公开平台建设方面</w:t>
      </w:r>
    </w:p>
    <w:p>
      <w:pPr>
        <w:spacing w:line="560" w:lineRule="exact"/>
        <w:ind w:firstLineChars="200" w:firstLine="632"/>
        <w:rPr>
          <w:rStyle w:val="331"/>
          <w:color w:val="000000"/>
          <w:szCs w:val="32"/>
        </w:rPr>
      </w:pPr>
      <w:r>
        <w:rPr>
          <w:rStyle w:val="331"/>
          <w:rFonts w:hint="eastAsia"/>
          <w:color w:val="000000"/>
          <w:szCs w:val="32"/>
        </w:rPr>
        <w:t>搭建“候鸟式”</w:t>
      </w:r>
      <w:r>
        <w:rPr>
          <w:rStyle w:val="331"/>
          <w:color w:val="000000"/>
          <w:szCs w:val="32"/>
        </w:rPr>
        <w:t>基层</w:t>
      </w:r>
      <w:r>
        <w:rPr>
          <w:rStyle w:val="331"/>
          <w:rFonts w:hint="eastAsia"/>
          <w:color w:val="000000"/>
          <w:szCs w:val="32"/>
        </w:rPr>
        <w:t>政务公开专区。在广交会、美博会等大型展会及琶洲港澳客运口岸设置</w:t>
      </w:r>
      <w:r>
        <w:rPr>
          <w:rStyle w:val="331"/>
          <w:color w:val="000000"/>
          <w:szCs w:val="32"/>
        </w:rPr>
        <w:t>基层</w:t>
      </w:r>
      <w:r>
        <w:rPr>
          <w:rStyle w:val="331"/>
          <w:rFonts w:hint="eastAsia"/>
          <w:color w:val="000000"/>
          <w:szCs w:val="32"/>
        </w:rPr>
        <w:t>政务公开专区。专区内，实现政务公开标准事项目录、业务咨询渠道、电子大屏等要素公开，为企业群众提供全方位咨询及业务办理服务，进一步展现“穗关‘政’能量”。开辟云端服务平台，利用“会展e通”信息化系统，实现全程展会业务全流程线上办理；设立“广交会海关之窗”平台，外接广交会官网，内联“广州海关12360”对外服务热线平台、广州海关门户网站等渠道，在线为企业提供咨询服务；维护广州海关门户网站“第134届广交会专题”，集成展示相关海关政策、海关服务保障广交会相关举措等内容；针对高频咨询及时点热点，陆续推出涵盖展会政策、节假日通关流程等主题的政策解读稿件。</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（五） 监督保障方面</w:t>
      </w:r>
    </w:p>
    <w:p>
      <w:pPr>
        <w:spacing w:line="560" w:lineRule="exact"/>
        <w:ind w:firstLineChars="200" w:firstLine="632"/>
        <w:rPr>
          <w:rStyle w:val="331"/>
          <w:rFonts w:hint="eastAsia"/>
          <w:color w:val="000000"/>
          <w:szCs w:val="32"/>
        </w:rPr>
      </w:pPr>
      <w:r>
        <w:rPr>
          <w:rStyle w:val="331"/>
          <w:rFonts w:hint="eastAsia"/>
          <w:color w:val="000000"/>
          <w:szCs w:val="32"/>
        </w:rPr>
        <w:t>建立政务公开月度汇报机制，关领导定期听取政务公开工作汇报，各科室紧密协作，同向发力确保工作逐项落实；深化“关长联系企业”机制，开展“关长接待日”工作，畅通政民交互渠道，关领导通过实地走访、座谈交流会等形式了解企业需求，协助解决留购展品享惠手续办理、进境文物展转展困难等问题；设置政务公开工作专岗专员，通过以干代培、知识问卷等形式开展关内政务公开工作培训。</w:t>
      </w:r>
    </w:p>
    <w:p>
      <w:pPr>
        <w:pStyle w:val="34"/>
        <w:adjustRightInd w:val="0"/>
        <w:snapToGrid w:val="0"/>
        <w:ind w:firstLineChars="200" w:firstLine="616"/>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5"/>
              <w:widowControl/>
              <w:spacing w:line="560" w:lineRule="exact"/>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5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5"/>
              <w:spacing w:line="560" w:lineRule="exact"/>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5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5"/>
              <w:spacing w:line="560" w:lineRule="exact"/>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5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
              <w:spacing w:line="560" w:lineRule="exact"/>
              <w:jc w:val="center"/>
              <w:rPr>
                <w:rFonts w:eastAsia="方正仿宋_GBK" w:cs="宋体"/>
                <w:sz w:val="24"/>
                <w:szCs w:val="24"/>
              </w:rPr>
            </w:pPr>
            <w:r>
              <w:rPr>
                <w:rFonts w:eastAsia="方正仿宋_GBK" w:cs="宋体"/>
                <w:sz w:val="24"/>
                <w:szCs w:val="24"/>
              </w:rPr>
              <w:t>5</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5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cs="宋体"/>
                <w:sz w:val="24"/>
                <w:szCs w:val="24"/>
              </w:rPr>
            </w:pPr>
            <w:r>
              <w:rPr>
                <w:rFonts w:eastAsia="方正仿宋_GBK" w:cs="宋体"/>
                <w:sz w:val="24"/>
                <w:szCs w:val="24"/>
              </w:rPr>
              <w:t>5</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5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cs="宋体"/>
                <w:sz w:val="24"/>
                <w:szCs w:val="24"/>
              </w:rPr>
            </w:pPr>
            <w:r>
              <w:rPr>
                <w:rFonts w:eastAsia="方正仿宋_GBK" w:cs="宋体"/>
                <w:sz w:val="24"/>
                <w:szCs w:val="24"/>
              </w:rPr>
              <w:t>2</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40"/>
              <w:widowControl/>
              <w:adjustRightInd w:val="0"/>
              <w:snapToGrid w:val="0"/>
              <w:spacing w:line="5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adjustRightInd w:val="0"/>
              <w:snapToGrid w:val="0"/>
              <w:spacing w:line="5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5"/>
              <w:spacing w:line="560" w:lineRule="exact"/>
              <w:jc w:val="center"/>
              <w:rPr>
                <w:rFonts w:eastAsia="方正仿宋_GBK" w:cs="宋体"/>
                <w:sz w:val="24"/>
                <w:szCs w:val="24"/>
              </w:rPr>
            </w:pPr>
            <w:r>
              <w:rPr>
                <w:rFonts w:eastAsia="方正仿宋_GBK" w:cs="宋体"/>
                <w:sz w:val="24"/>
                <w:szCs w:val="24"/>
              </w:rPr>
              <w:t>0</w:t>
            </w:r>
          </w:p>
        </w:tc>
      </w:tr>
    </w:tbl>
    <w:p>
      <w:pPr>
        <w:pStyle w:val="31"/>
        <w:widowControl/>
        <w:shd w:val="clear" w:color="auto" w:fill="FFFFFF"/>
        <w:adjustRightInd w:val="0"/>
        <w:snapToGrid w:val="0"/>
        <w:spacing w:beforeAutospacing="0" w:afterLines="50" w:after="290" w:afterAutospacing="0" w:line="560" w:lineRule="exact"/>
        <w:ind w:firstLineChars="200" w:firstLine="632"/>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5"/>
              <w:widowControl/>
              <w:spacing w:line="560" w:lineRule="exact"/>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5"/>
              <w:widowControl/>
              <w:spacing w:line="560" w:lineRule="exact"/>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2"/>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3"/>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6"/>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7"/>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8"/>
              <w:spacing w:line="560" w:lineRule="exact"/>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9"/>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4"/>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2"/>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3"/>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8"/>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9"/>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2"/>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3"/>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6"/>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9"/>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1"/>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2"/>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3"/>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6"/>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7"/>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8"/>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9"/>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3"/>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6"/>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7"/>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1"/>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2"/>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3"/>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7"/>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8"/>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9"/>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1"/>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6"/>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7"/>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8"/>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1"/>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3"/>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8"/>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9"/>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0"/>
              <w:spacing w:line="560" w:lineRule="exact"/>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1"/>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6"/>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7"/>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8"/>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9"/>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2"/>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3"/>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4"/>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5"/>
              <w:widowControl/>
              <w:spacing w:line="560" w:lineRule="exact"/>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6"/>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9"/>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1"/>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5"/>
              <w:widowControl/>
              <w:spacing w:line="560" w:lineRule="exact"/>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32"/>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33"/>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3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3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36"/>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37"/>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38"/>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5"/>
              <w:widowControl/>
              <w:spacing w:line="560" w:lineRule="exact"/>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39"/>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4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4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3"/>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4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45"/>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5"/>
              <w:widowControl/>
              <w:spacing w:line="560" w:lineRule="exact"/>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46"/>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47"/>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4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5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51"/>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52"/>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3"/>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7"/>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8"/>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9"/>
              <w:spacing w:line="560" w:lineRule="exact"/>
              <w:jc w:val="center"/>
              <w:rPr>
                <w:rFonts w:eastAsia="方正仿宋_GBK"/>
                <w:sz w:val="24"/>
                <w:szCs w:val="24"/>
              </w:rPr>
            </w:pPr>
            <w:r>
              <w:rPr>
                <w:rFonts w:eastAsia="方正仿宋_GBK"/>
                <w:sz w:val="24"/>
                <w:szCs w:val="24"/>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1"/>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6"/>
              <w:spacing w:line="560" w:lineRule="exact"/>
              <w:jc w:val="center"/>
              <w:rPr>
                <w:rFonts w:eastAsia="方正仿宋_GBK"/>
                <w:sz w:val="24"/>
                <w:szCs w:val="24"/>
              </w:rPr>
            </w:pPr>
            <w:r>
              <w:rPr>
                <w:rFonts w:eastAsia="方正仿宋_GBK"/>
                <w:sz w:val="24"/>
                <w:szCs w:val="24"/>
              </w:rPr>
              <w:t>0</w:t>
            </w:r>
          </w:p>
        </w:tc>
      </w:tr>
    </w:tbl>
    <w:p>
      <w:pPr>
        <w:pStyle w:val="31"/>
        <w:widowControl/>
        <w:shd w:val="clear" w:color="auto" w:fill="FFFFFF"/>
        <w:spacing w:beforeLines="50" w:before="290" w:beforeAutospacing="0" w:after="120" w:afterAutospacing="0" w:line="560" w:lineRule="exact"/>
        <w:ind w:firstLineChars="150" w:firstLine="474"/>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sz w:val="24"/>
                <w:szCs w:val="24"/>
              </w:rPr>
            </w:pPr>
            <w:r>
              <w:rPr>
                <w:sz w:val="24"/>
                <w:szCs w:val="24"/>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kern w:val="0"/>
                <w:sz w:val="24"/>
                <w:szCs w:val="24"/>
              </w:rPr>
            </w:pPr>
            <w:r>
              <w:rPr>
                <w:kern w:val="0"/>
                <w:sz w:val="24"/>
                <w:szCs w:val="24"/>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
              <w:widowControl/>
              <w:spacing w:line="560" w:lineRule="exact"/>
              <w:jc w:val="center"/>
              <w:rPr>
                <w:kern w:val="0"/>
                <w:sz w:val="24"/>
                <w:szCs w:val="24"/>
              </w:rPr>
            </w:pPr>
            <w:r>
              <w:rPr>
                <w:kern w:val="0"/>
                <w:sz w:val="24"/>
                <w:szCs w:val="24"/>
              </w:rPr>
              <w:t>0</w:t>
            </w:r>
          </w:p>
        </w:tc>
      </w:tr>
    </w:tbl>
    <w:p>
      <w:pPr>
        <w:pStyle w:val="31"/>
        <w:widowControl/>
        <w:shd w:val="clear" w:color="auto" w:fill="FFFFFF"/>
        <w:spacing w:beforeLines="50" w:before="290" w:beforeAutospacing="0" w:afterAutospacing="0" w:line="560" w:lineRule="exact"/>
        <w:ind w:firstLineChars="200" w:firstLine="632"/>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（一）2022年年报中所提问题整改情况。</w:t>
      </w:r>
    </w:p>
    <w:p>
      <w:pPr>
        <w:spacing w:line="560" w:lineRule="exact"/>
        <w:ind w:firstLineChars="200" w:firstLine="632"/>
        <w:rPr>
          <w:rStyle w:val="331"/>
          <w:color w:val="000000"/>
          <w:szCs w:val="32"/>
        </w:rPr>
      </w:pPr>
      <w:r>
        <w:rPr>
          <w:rStyle w:val="331"/>
          <w:rFonts w:hint="eastAsia"/>
          <w:color w:val="000000"/>
          <w:szCs w:val="32"/>
        </w:rPr>
        <w:t>广州会展中心海关2022年年报中提出以下问题：为适应2023年起各大展会恢复线下举办的趋势，作为基层海关在现场政务公开模式上、内容上需更加灵活创新，不断扩大社会影响力。</w:t>
      </w:r>
    </w:p>
    <w:p>
      <w:pPr>
        <w:spacing w:line="560" w:lineRule="exact"/>
        <w:ind w:firstLineChars="200" w:firstLine="632"/>
        <w:rPr>
          <w:rStyle w:val="331"/>
          <w:color w:val="000000"/>
          <w:szCs w:val="32"/>
        </w:rPr>
      </w:pPr>
      <w:r>
        <w:rPr>
          <w:rStyle w:val="331"/>
          <w:rFonts w:hint="eastAsia"/>
          <w:color w:val="000000"/>
          <w:szCs w:val="32"/>
        </w:rPr>
        <w:t>上述问题在2023年已采取措施完成整改：本关发挥“候鸟式”政务公开品牌、基层政务公开专区作用，为企业群众提供全方位咨询及业务办理服务，年内累计服务近3万家企业、8万人次。</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（二）目前存在问题。</w:t>
      </w:r>
    </w:p>
    <w:p>
      <w:pPr>
        <w:spacing w:line="560" w:lineRule="exact"/>
        <w:ind w:firstLineChars="200" w:firstLine="632"/>
        <w:rPr>
          <w:rStyle w:val="331"/>
          <w:color w:val="000000"/>
          <w:szCs w:val="32"/>
        </w:rPr>
      </w:pPr>
      <w:r>
        <w:rPr>
          <w:rStyle w:val="331"/>
          <w:rFonts w:hint="eastAsia"/>
          <w:color w:val="000000"/>
          <w:szCs w:val="32"/>
        </w:rPr>
        <w:t>年内，本关“三进”品牌活动主要集中于服务参展企业及校园，走进社区开展海关政策科普的活动较少。</w:t>
      </w:r>
    </w:p>
    <w:p>
      <w:pPr>
        <w:spacing w:line="560" w:lineRule="exact"/>
        <w:ind w:firstLineChars="200" w:firstLine="632"/>
        <w:rPr>
          <w:rStyle w:val="331"/>
          <w:rFonts w:ascii="方正黑体_GBK" w:eastAsia="方正黑体_GBK"/>
          <w:color w:val="000000"/>
          <w:szCs w:val="32"/>
        </w:rPr>
      </w:pPr>
      <w:r>
        <w:rPr>
          <w:rStyle w:val="331"/>
          <w:rFonts w:ascii="方正黑体_GBK" w:eastAsia="方正黑体_GBK" w:hint="eastAsia"/>
          <w:color w:val="000000"/>
          <w:szCs w:val="32"/>
        </w:rPr>
        <w:t>六、其他需要报告的事项</w:t>
      </w:r>
    </w:p>
    <w:p>
      <w:pPr>
        <w:spacing w:line="560" w:lineRule="exact"/>
        <w:ind w:firstLineChars="200" w:firstLine="632"/>
        <w:rPr>
          <w:szCs w:val="32"/>
        </w:rPr>
      </w:pPr>
      <w:r>
        <w:rPr>
          <w:rStyle w:val="331"/>
          <w:rFonts w:hint="eastAsia"/>
          <w:color w:val="000000"/>
          <w:szCs w:val="32"/>
        </w:rPr>
        <w:t>广州会展中心海关严格按照《国务院办公厅关于印发〈政府信息公开信息处理费管理办法〉的通知》</w:t>
      </w:r>
      <w:r>
        <w:rPr>
          <w:rFonts w:ascii="Times New Roman" w:eastAsia="方正仿宋_GBK" w:cs="Times New Roman" w:hAnsi="Times New Roman" w:hint="eastAsia"/>
          <w:kern w:val="2"/>
          <w:sz w:val="32"/>
          <w:szCs w:val="32"/>
          <w:lang w:val="en-US" w:eastAsia="zh-CN"/>
        </w:rPr>
        <w:t>，规范政府信息公开信息处理费收取工作</w:t>
      </w:r>
      <w:r>
        <w:rPr>
          <w:rStyle w:val="331"/>
          <w:rFonts w:hint="eastAsia"/>
          <w:color w:val="000000"/>
          <w:szCs w:val="32"/>
        </w:rPr>
        <w:t>，2023年未收取政府信息公开信息处理费。</w:t>
      </w:r>
    </w:p>
    <w:p>
      <w:pPr>
        <w:pStyle w:val="90"/>
        <w:tabs>
          <w:tab w:val="center" w:pos="4153"/>
          <w:tab w:val="right" w:pos="8306"/>
        </w:tabs>
        <w:spacing w:line="560" w:lineRule="exact"/>
        <w:ind w:firstLine="629"/>
        <w:rPr>
          <w:color w:val="000000"/>
          <w:sz w:val="32"/>
          <w:szCs w:val="32"/>
        </w:rPr>
      </w:pPr>
    </w:p>
    <w:p>
      <w:pPr>
        <w:spacing w:line="560" w:lineRule="exact"/>
        <w:jc w:val="left"/>
      </w:pPr>
    </w:p>
    <w:sectPr>
      <w:footerReference w:type="default" r:id="rId2"/>
      <w:pgSz w:w="11907" w:h="16840"/>
      <w:pgMar w:top="2098" w:right="1474" w:bottom="1985" w:left="1588" w:header="1814" w:footer="1474" w:gutter="0"/>
      <w:pgNumType w:start="0"/>
      <w:titlePg/>
      <w:docGrid w:type="linesAndChars" w:linePitch="580" w:charSpace="-841"/>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00007843" w:usb2="00000001" w:usb3="00000000" w:csb0="000001FF" w:csb1="00000000"/>
  </w:font>
  <w:font w:name="Arial">
    <w:panose1 w:val="020B0604020202020204"/>
    <w:charset w:val="00"/>
    <w:family w:val="swiss"/>
    <w:pitch w:val="variable"/>
    <w:sig w:usb0="E0002AFF" w:usb1="00007843" w:usb2="00000001" w:usb3="00000000" w:csb0="000001FF" w:csb1="00000000"/>
  </w:font>
  <w:font w:name="黑体">
    <w:altName w:val="SimHei"/>
    <w:panose1 w:val="02010609060101010101"/>
    <w:charset w:val="86"/>
    <w:family w:val="modern"/>
    <w:pitch w:val="variable"/>
    <w:sig w:usb0="00000001" w:usb1="080E0000" w:usb2="00000010" w:usb3="00000000" w:csb0="00040000" w:csb1="00000000"/>
  </w:font>
  <w:font w:name="Courier New">
    <w:panose1 w:val="02070309020205020404"/>
    <w:charset w:val="00"/>
    <w:family w:val="moder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6"/>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7</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index 8"/>
    <w:basedOn w:val="0"/>
    <w:autoRedefine/>
    <w:next w:val="0"/>
    <w:pPr>
      <w:ind w:left="2940"/>
    </w:pPr>
  </w:style>
  <w:style w:type="paragraph" w:styleId="16">
    <w:name w:val="toc 4"/>
    <w:basedOn w:val="0"/>
    <w:autoRedefine/>
    <w:next w:val="0"/>
    <w:pPr>
      <w:ind w:left="1260"/>
    </w:pPr>
  </w:style>
  <w:style w:type="paragraph" w:styleId="17">
    <w:name w:val="toc 7"/>
    <w:basedOn w:val="0"/>
    <w:autoRedefine/>
    <w:next w:val="0"/>
    <w:pPr>
      <w:ind w:left="2520"/>
    </w:pPr>
  </w:style>
  <w:style w:type="paragraph" w:styleId="18">
    <w:name w:val="toc 8"/>
    <w:basedOn w:val="0"/>
    <w:autoRedefine/>
    <w:next w:val="0"/>
    <w:pPr>
      <w:ind w:left="2940"/>
    </w:pPr>
  </w:style>
  <w:style w:type="paragraph" w:styleId="19">
    <w:name w:val="footnote text"/>
    <w:basedOn w:val="0"/>
    <w:pPr>
      <w:snapToGrid w:val="0"/>
      <w:jc w:val="left"/>
    </w:pPr>
    <w:rPr>
      <w:sz w:val="18"/>
    </w:rPr>
  </w:style>
  <w:style w:type="paragraph" w:styleId="20">
    <w:name w:val="header"/>
    <w:basedOn w:val="0"/>
    <w:pPr>
      <w:pBdr>
        <w:bottom w:val="single" w:sz="6" w:space="1" w:color="auto"/>
      </w:pBdr>
      <w:tabs>
        <w:tab w:val="center" w:pos="4153"/>
        <w:tab w:val="right" w:pos="8307"/>
      </w:tabs>
      <w:snapToGrid w:val="0"/>
      <w:jc w:val="center"/>
    </w:pPr>
    <w:rPr>
      <w:sz w:val="18"/>
    </w:rPr>
  </w:style>
  <w:style w:type="paragraph" w:styleId="21">
    <w:name w:val="footer"/>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styleId="22">
    <w:name w:val="table of authorities"/>
    <w:basedOn w:val="0"/>
    <w:next w:val="0"/>
    <w:pPr>
      <w:ind w:left="420"/>
    </w:pPr>
  </w:style>
  <w:style w:type="paragraph" w:styleId="23">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lang w:val="en-US" w:eastAsia="zh-CN" w:bidi="ar-SA"/>
    </w:rPr>
  </w:style>
  <w:style w:type="paragraph" w:styleId="24">
    <w:name w:val="toa heading"/>
    <w:basedOn w:val="0"/>
    <w:next w:val="0"/>
    <w:pPr>
      <w:spacing w:before="120"/>
    </w:pPr>
    <w:rPr>
      <w:rFonts w:ascii="Arial" w:hAnsi="Arial"/>
      <w:sz w:val="24"/>
    </w:rPr>
  </w:style>
  <w:style w:type="paragraph" w:styleId="25">
    <w:name w:val="List Bullet 5"/>
    <w:basedOn w:val="0"/>
    <w:pPr>
      <w:tabs>
        <w:tab w:val="left" w:pos="2040"/>
      </w:tabs>
      <w:ind w:left="2040" w:hanging="360"/>
    </w:pPr>
  </w:style>
  <w:style w:type="paragraph" w:styleId="26">
    <w:name w:val="List Number 4"/>
    <w:basedOn w:val="0"/>
    <w:pPr>
      <w:tabs>
        <w:tab w:val="left" w:pos="1620"/>
      </w:tabs>
      <w:ind w:left="1620" w:hanging="360"/>
    </w:pPr>
  </w:style>
  <w:style w:type="paragraph" w:styleId="27">
    <w:name w:val="Signature"/>
    <w:basedOn w:val="0"/>
    <w:pPr>
      <w:ind w:left="4320"/>
    </w:pPr>
  </w:style>
  <w:style w:type="paragraph" w:styleId="28">
    <w:name w:val="List Continue 2"/>
    <w:basedOn w:val="0"/>
    <w:pPr>
      <w:spacing w:after="120"/>
      <w:ind w:left="840"/>
    </w:pPr>
  </w:style>
  <w:style w:type="paragraph" w:styleId="29">
    <w:name w:val="List Continue 3"/>
    <w:basedOn w:val="0"/>
    <w:pPr>
      <w:spacing w:after="120"/>
      <w:ind w:left="1260"/>
    </w:pPr>
  </w:style>
  <w:style w:type="character" w:styleId="30">
    <w:name w:val="Hyperlink"/>
    <w:rPr>
      <w:color w:val="0000FF"/>
      <w:u w:val="single"/>
    </w:rPr>
  </w:style>
  <w:style w:type="paragraph" w:styleId="31">
    <w:name w:val="Normal (Web)"/>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6 三号"/>
    <w:next w:val="22"/>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3">
    <w:name w:val="样式 1 小四"/>
    <w:next w:val="16"/>
    <w:pPr>
      <w:widowControl w:val="0"/>
    </w:pPr>
    <w:rPr>
      <w:rFonts w:ascii="宋体" w:eastAsia="宋体" w:cs="Times New Roman"/>
      <w:kern w:val="2"/>
      <w:sz w:val="24"/>
      <w:lang w:val="en-US" w:eastAsia="zh-CN" w:bidi="ar-SA"/>
    </w:rPr>
  </w:style>
  <w:style w:type="paragraph" w:customStyle="1" w:styleId="34">
    <w:name w:val="样式 50 三号"/>
    <w:next w:val="1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小三"/>
    <w:next w:val="19"/>
    <w:pPr>
      <w:widowControl w:val="0"/>
      <w:jc w:val="both"/>
    </w:pPr>
    <w:rPr>
      <w:rFonts w:ascii="Times New Roman" w:eastAsia="宋体" w:cs="Times New Roman" w:hAnsi="Times New Roman"/>
      <w:kern w:val="2"/>
      <w:sz w:val="30"/>
      <w:szCs w:val="30"/>
      <w:lang w:val="en-US" w:eastAsia="zh-CN" w:bidi="ar-SA"/>
    </w:rPr>
  </w:style>
  <w:style w:type="paragraph" w:customStyle="1" w:styleId="36">
    <w:name w:val="样式 5 小三"/>
    <w:next w:val="25"/>
    <w:pPr>
      <w:widowControl w:val="0"/>
      <w:jc w:val="both"/>
    </w:pPr>
    <w:rPr>
      <w:rFonts w:ascii="Times New Roman" w:eastAsia="宋体" w:cs="Times New Roman" w:hAnsi="Times New Roman"/>
      <w:kern w:val="2"/>
      <w:sz w:val="30"/>
      <w:szCs w:val="30"/>
      <w:lang w:val="en-US" w:eastAsia="zh-CN" w:bidi="ar-SA"/>
    </w:rPr>
  </w:style>
  <w:style w:type="paragraph" w:customStyle="1" w:styleId="37">
    <w:name w:val="样式 16 小三"/>
    <w:next w:val="28"/>
    <w:pPr>
      <w:widowControl w:val="0"/>
      <w:jc w:val="both"/>
    </w:pPr>
    <w:rPr>
      <w:rFonts w:ascii="Times New Roman" w:eastAsia="宋体" w:cs="Times New Roman" w:hAnsi="Times New Roman"/>
      <w:kern w:val="2"/>
      <w:sz w:val="30"/>
      <w:szCs w:val="30"/>
      <w:lang w:val="en-US" w:eastAsia="zh-CN" w:bidi="ar-SA"/>
    </w:rPr>
  </w:style>
  <w:style w:type="paragraph" w:customStyle="1" w:styleId="38">
    <w:name w:val="样式 8 小三"/>
    <w:next w:val="26"/>
    <w:pPr>
      <w:widowControl w:val="0"/>
      <w:jc w:val="both"/>
    </w:pPr>
    <w:rPr>
      <w:rFonts w:ascii="Times New Roman" w:eastAsia="宋体" w:cs="Times New Roman" w:hAnsi="Times New Roman"/>
      <w:kern w:val="2"/>
      <w:sz w:val="30"/>
      <w:szCs w:val="30"/>
      <w:lang w:val="en-US" w:eastAsia="zh-CN" w:bidi="ar-SA"/>
    </w:rPr>
  </w:style>
  <w:style w:type="paragraph" w:customStyle="1" w:styleId="39">
    <w:name w:val="样式 17 小三"/>
    <w:next w:val="29"/>
    <w:pPr>
      <w:widowControl w:val="0"/>
      <w:jc w:val="both"/>
    </w:pPr>
    <w:rPr>
      <w:rFonts w:ascii="Times New Roman" w:eastAsia="宋体" w:cs="Times New Roman" w:hAnsi="Times New Roman"/>
      <w:kern w:val="2"/>
      <w:sz w:val="30"/>
      <w:szCs w:val="30"/>
      <w:lang w:val="en-US" w:eastAsia="zh-CN" w:bidi="ar-SA"/>
    </w:rPr>
  </w:style>
  <w:style w:type="paragraph" w:customStyle="1" w:styleId="40">
    <w:name w:val="样式 12 小三"/>
    <w:next w:val="27"/>
    <w:pPr>
      <w:widowControl w:val="0"/>
      <w:jc w:val="both"/>
    </w:pPr>
    <w:rPr>
      <w:rFonts w:ascii="Times New Roman" w:eastAsia="宋体" w:cs="Times New Roman" w:hAnsi="Times New Roman"/>
      <w:kern w:val="2"/>
      <w:sz w:val="30"/>
      <w:szCs w:val="30"/>
      <w:lang w:val="en-US" w:eastAsia="zh-CN" w:bidi="ar-SA"/>
    </w:rPr>
  </w:style>
  <w:style w:type="paragraph" w:customStyle="1" w:styleId="41">
    <w:name w:val="样式 8 三号"/>
    <w:next w:val="24"/>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13 三号"/>
    <w:next w:val="18"/>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3">
    <w:name w:val="样式 7 三号"/>
    <w:next w:val="23"/>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4">
    <w:name w:val="样式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5">
    <w:name w:val="样式 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6">
    <w:name w:val="样式 143 10 磅"/>
    <w:next w:val="19"/>
    <w:pPr>
      <w:widowControl w:val="0"/>
      <w:jc w:val="both"/>
    </w:pPr>
    <w:rPr>
      <w:rFonts w:ascii="Calibri" w:eastAsia="宋体" w:cs="Arial" w:hAnsi="Calibri"/>
      <w:kern w:val="2"/>
      <w:sz w:val="21"/>
      <w:szCs w:val="22"/>
      <w:lang w:val="en-US" w:eastAsia="zh-CN" w:bidi="ar-SA"/>
    </w:rPr>
  </w:style>
  <w:style w:type="paragraph" w:customStyle="1" w:styleId="47">
    <w:name w:val="样式 9 小四"/>
    <w:next w:val="15"/>
    <w:pPr>
      <w:widowControl w:val="0"/>
    </w:pPr>
    <w:rPr>
      <w:rFonts w:ascii="宋体" w:eastAsia="宋体" w:cs="Times New Roman"/>
      <w:kern w:val="2"/>
      <w:sz w:val="24"/>
      <w:szCs w:val="21"/>
      <w:lang w:val="en-US" w:eastAsia="zh-CN" w:bidi="ar-SA"/>
    </w:rPr>
  </w:style>
  <w:style w:type="paragraph" w:customStyle="1" w:styleId="48">
    <w:name w:val="样式 小四"/>
    <w:pPr>
      <w:widowControl w:val="0"/>
    </w:pPr>
    <w:rPr>
      <w:rFonts w:ascii="宋体" w:eastAsia="宋体" w:cs="Times New Roman"/>
      <w:kern w:val="2"/>
      <w:sz w:val="24"/>
      <w:szCs w:val="21"/>
      <w:lang w:val="en-US" w:eastAsia="zh-CN" w:bidi="ar-SA"/>
    </w:rPr>
  </w:style>
  <w:style w:type="paragraph" w:customStyle="1" w:styleId="49">
    <w:name w:val="样式 10 磅"/>
    <w:pPr>
      <w:widowControl w:val="0"/>
      <w:jc w:val="both"/>
    </w:pPr>
    <w:rPr>
      <w:rFonts w:ascii="Calibri" w:eastAsia="宋体" w:cs="Arial" w:hAnsi="Calibri"/>
      <w:kern w:val="2"/>
      <w:sz w:val="21"/>
      <w:szCs w:val="22"/>
      <w:lang w:val="en-US" w:eastAsia="zh-CN" w:bidi="ar-SA"/>
    </w:rPr>
  </w:style>
  <w:style w:type="paragraph" w:customStyle="1" w:styleId="50">
    <w:name w:val="样式 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1">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2">
    <w:name w:val="样式 1 10 磅"/>
    <w:next w:val="26"/>
    <w:pPr>
      <w:widowControl w:val="0"/>
      <w:jc w:val="both"/>
    </w:pPr>
    <w:rPr>
      <w:rFonts w:ascii="Calibri" w:eastAsia="宋体" w:cs="Calibri" w:hAnsi="Calibri"/>
      <w:kern w:val="2"/>
      <w:sz w:val="21"/>
      <w:szCs w:val="21"/>
      <w:lang w:val="en-US" w:eastAsia="zh-CN" w:bidi="ar-SA"/>
    </w:rPr>
  </w:style>
  <w:style w:type="paragraph" w:customStyle="1" w:styleId="53">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4">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5">
    <w:name w:val="样式 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6">
    <w:name w:val="样式 1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7">
    <w:name w:val="样式 2 10 磅"/>
    <w:pPr>
      <w:widowControl w:val="0"/>
      <w:jc w:val="both"/>
    </w:pPr>
    <w:rPr>
      <w:rFonts w:ascii="Calibri" w:eastAsia="宋体" w:cs="Arial" w:hAnsi="Calibri"/>
      <w:kern w:val="2"/>
      <w:sz w:val="21"/>
      <w:szCs w:val="22"/>
      <w:lang w:val="en-US" w:eastAsia="zh-CN" w:bidi="ar-SA"/>
    </w:rPr>
  </w:style>
  <w:style w:type="paragraph" w:customStyle="1" w:styleId="58">
    <w:name w:val="样式 3 10 磅"/>
    <w:pPr>
      <w:widowControl w:val="0"/>
      <w:jc w:val="both"/>
    </w:pPr>
    <w:rPr>
      <w:rFonts w:ascii="Calibri" w:eastAsia="宋体" w:cs="Arial" w:hAnsi="Calibri"/>
      <w:kern w:val="2"/>
      <w:sz w:val="21"/>
      <w:szCs w:val="22"/>
      <w:lang w:val="en-US" w:eastAsia="zh-CN" w:bidi="ar-SA"/>
    </w:rPr>
  </w:style>
  <w:style w:type="paragraph" w:customStyle="1" w:styleId="59">
    <w:name w:val="样式 4 10 磅"/>
    <w:pPr>
      <w:widowControl w:val="0"/>
      <w:jc w:val="both"/>
    </w:pPr>
    <w:rPr>
      <w:rFonts w:ascii="Calibri" w:eastAsia="宋体" w:cs="Times New Roman" w:hAnsi="Calibri"/>
      <w:kern w:val="2"/>
      <w:sz w:val="21"/>
      <w:szCs w:val="22"/>
      <w:lang w:val="en-US" w:eastAsia="zh-CN" w:bidi="ar-SA"/>
    </w:rPr>
  </w:style>
  <w:style w:type="paragraph" w:customStyle="1" w:styleId="60">
    <w:name w:val="样式 5 10 磅"/>
    <w:pPr>
      <w:widowControl w:val="0"/>
      <w:jc w:val="both"/>
    </w:pPr>
    <w:rPr>
      <w:rFonts w:ascii="Calibri" w:eastAsia="宋体" w:cs="Times New Roman" w:hAnsi="Calibri"/>
      <w:kern w:val="2"/>
      <w:sz w:val="21"/>
      <w:szCs w:val="22"/>
      <w:lang w:val="en-US" w:eastAsia="zh-CN" w:bidi="ar-SA"/>
    </w:rPr>
  </w:style>
  <w:style w:type="paragraph" w:customStyle="1" w:styleId="61">
    <w:name w:val="样式 11 三号"/>
    <w:pPr>
      <w:widowControl w:val="0"/>
      <w:jc w:val="both"/>
    </w:pPr>
    <w:rPr>
      <w:rFonts w:ascii="Times New Roman" w:eastAsia="方正仿宋_GBK" w:cs="Times New Roman" w:hAnsi="Times New Roman"/>
      <w:kern w:val="2"/>
      <w:sz w:val="32"/>
      <w:szCs w:val="22"/>
      <w:lang w:val="en-US" w:eastAsia="zh-CN" w:bidi="ar-SA"/>
    </w:rPr>
  </w:style>
  <w:style w:type="paragraph" w:styleId="62">
    <w:name w:val="List Continue 4"/>
    <w:basedOn w:val="0"/>
    <w:pPr>
      <w:spacing w:after="120"/>
      <w:ind w:left="1680"/>
    </w:pPr>
  </w:style>
  <w:style w:type="paragraph" w:styleId="63">
    <w:name w:val="List Continue 5"/>
    <w:basedOn w:val="0"/>
    <w:pPr>
      <w:spacing w:after="120"/>
      <w:ind w:left="2100"/>
    </w:pPr>
  </w:style>
  <w:style w:type="paragraph" w:customStyle="1" w:styleId="64">
    <w:name w:val="样式 1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5">
    <w:name w:val="样式 2 小四"/>
    <w:pPr>
      <w:widowControl w:val="0"/>
      <w:spacing w:before="100" w:beforeAutospacing="1" w:after="100" w:afterAutospacing="1"/>
    </w:pPr>
    <w:rPr>
      <w:rFonts w:ascii="宋体" w:eastAsia="宋体" w:cs="Times New Roman"/>
      <w:kern w:val="2"/>
      <w:sz w:val="24"/>
      <w:szCs w:val="21"/>
      <w:lang w:val="en-US" w:eastAsia="zh-CN" w:bidi="ar-SA"/>
    </w:rPr>
  </w:style>
  <w:style w:type="paragraph" w:customStyle="1" w:styleId="66">
    <w:name w:val="样式 6 10 磅"/>
    <w:pPr>
      <w:widowControl w:val="0"/>
      <w:jc w:val="both"/>
    </w:pPr>
    <w:rPr>
      <w:rFonts w:ascii="Calibri" w:eastAsia="宋体" w:cs="Calibri" w:hAnsi="Calibri"/>
      <w:kern w:val="2"/>
      <w:sz w:val="21"/>
      <w:szCs w:val="21"/>
      <w:lang w:val="en-US" w:eastAsia="zh-CN" w:bidi="ar-SA"/>
    </w:rPr>
  </w:style>
  <w:style w:type="paragraph" w:customStyle="1" w:styleId="67">
    <w:name w:val="样式 7 10 磅"/>
    <w:pPr>
      <w:widowControl w:val="0"/>
      <w:jc w:val="both"/>
    </w:pPr>
    <w:rPr>
      <w:rFonts w:ascii="Calibri" w:eastAsia="宋体" w:cs="Calibri" w:hAnsi="Calibri"/>
      <w:kern w:val="2"/>
      <w:sz w:val="21"/>
      <w:szCs w:val="21"/>
      <w:lang w:val="en-US" w:eastAsia="zh-CN" w:bidi="ar-SA"/>
    </w:rPr>
  </w:style>
  <w:style w:type="paragraph" w:customStyle="1" w:styleId="68">
    <w:name w:val="样式 1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9">
    <w:name w:val="样式 8 10 磅"/>
    <w:pPr>
      <w:widowControl w:val="0"/>
      <w:jc w:val="both"/>
    </w:pPr>
    <w:rPr>
      <w:rFonts w:ascii="Calibri" w:eastAsia="宋体" w:cs="Arial" w:hAnsi="Calibri"/>
      <w:kern w:val="2"/>
      <w:sz w:val="21"/>
      <w:szCs w:val="22"/>
      <w:lang w:val="en-US" w:eastAsia="zh-CN" w:bidi="ar-SA"/>
    </w:rPr>
  </w:style>
  <w:style w:type="paragraph" w:customStyle="1" w:styleId="70">
    <w:name w:val="样式 9 10 磅"/>
    <w:pPr>
      <w:widowControl w:val="0"/>
      <w:jc w:val="both"/>
    </w:pPr>
    <w:rPr>
      <w:rFonts w:ascii="Calibri" w:eastAsia="宋体" w:cs="Calibri" w:hAnsi="Calibri"/>
      <w:kern w:val="2"/>
      <w:sz w:val="21"/>
      <w:szCs w:val="21"/>
      <w:lang w:val="en-US" w:eastAsia="zh-CN" w:bidi="ar-SA"/>
    </w:rPr>
  </w:style>
  <w:style w:type="paragraph" w:customStyle="1" w:styleId="71">
    <w:name w:val="样式 10 10 磅"/>
    <w:pPr>
      <w:widowControl w:val="0"/>
      <w:jc w:val="both"/>
    </w:pPr>
    <w:rPr>
      <w:rFonts w:ascii="Calibri" w:eastAsia="宋体" w:cs="Arial" w:hAnsi="Calibri"/>
      <w:kern w:val="2"/>
      <w:sz w:val="21"/>
      <w:szCs w:val="22"/>
      <w:lang w:val="en-US" w:eastAsia="zh-CN" w:bidi="ar-SA"/>
    </w:rPr>
  </w:style>
  <w:style w:type="paragraph" w:customStyle="1" w:styleId="72">
    <w:name w:val="样式 11 10 磅"/>
    <w:pPr>
      <w:widowControl w:val="0"/>
      <w:jc w:val="both"/>
    </w:pPr>
    <w:rPr>
      <w:rFonts w:ascii="Calibri" w:eastAsia="宋体" w:cs="Arial" w:hAnsi="Calibri"/>
      <w:kern w:val="2"/>
      <w:sz w:val="21"/>
      <w:szCs w:val="22"/>
      <w:lang w:val="en-US" w:eastAsia="zh-CN" w:bidi="ar-SA"/>
    </w:rPr>
  </w:style>
  <w:style w:type="paragraph" w:customStyle="1" w:styleId="73">
    <w:name w:val="样式 1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4">
    <w:name w:val="样式 1"/>
    <w:next w:val="63"/>
    <w:rPr>
      <w:rFonts w:ascii="Times New Roman" w:eastAsia="宋体" w:cs="Times New Roman" w:hAnsi="Times New Roman"/>
      <w:lang w:val="en-US" w:eastAsia="zh-CN" w:bidi="ar-SA"/>
    </w:rPr>
  </w:style>
  <w:style w:type="paragraph" w:customStyle="1" w:styleId="75">
    <w:name w:val="样式 4"/>
    <w:next w:val="66"/>
    <w:rPr>
      <w:rFonts w:ascii="Times New Roman" w:eastAsia="宋体" w:cs="Times New Roman" w:hAnsi="Times New Roman"/>
      <w:lang w:val="en-US" w:eastAsia="zh-CN" w:bidi="ar-SA"/>
    </w:rPr>
  </w:style>
  <w:style w:type="paragraph" w:customStyle="1" w:styleId="76">
    <w:name w:val="样式 22 10 磅"/>
    <w:next w:val="62"/>
    <w:pPr>
      <w:widowControl w:val="0"/>
      <w:jc w:val="both"/>
    </w:pPr>
    <w:rPr>
      <w:rFonts w:ascii="Calibri" w:eastAsia="宋体" w:cs="Arial" w:hAnsi="Calibri"/>
      <w:kern w:val="2"/>
      <w:sz w:val="21"/>
      <w:szCs w:val="22"/>
      <w:lang w:val="en-US" w:eastAsia="zh-CN" w:bidi="ar-SA"/>
    </w:rPr>
  </w:style>
  <w:style w:type="paragraph" w:customStyle="1" w:styleId="77">
    <w:name w:val="样式 12 10 磅"/>
    <w:pPr>
      <w:widowControl w:val="0"/>
      <w:jc w:val="both"/>
    </w:pPr>
    <w:rPr>
      <w:rFonts w:ascii="Calibri" w:eastAsia="宋体" w:cs="Arial" w:hAnsi="Calibri"/>
      <w:kern w:val="2"/>
      <w:sz w:val="21"/>
      <w:szCs w:val="22"/>
      <w:lang w:val="en-US" w:eastAsia="zh-CN" w:bidi="ar-SA"/>
    </w:rPr>
  </w:style>
  <w:style w:type="paragraph" w:customStyle="1" w:styleId="78">
    <w:name w:val="样式"/>
    <w:rPr>
      <w:rFonts w:ascii="Times New Roman" w:eastAsia="宋体" w:cs="Times New Roman" w:hAnsi="Times New Roman"/>
      <w:lang w:val="en-US" w:eastAsia="zh-CN" w:bidi="ar-SA"/>
    </w:rPr>
  </w:style>
  <w:style w:type="paragraph" w:customStyle="1" w:styleId="79">
    <w:name w:val="样式 3 小四"/>
    <w:pPr>
      <w:widowControl w:val="0"/>
    </w:pPr>
    <w:rPr>
      <w:rFonts w:ascii="宋体" w:eastAsia="宋体" w:cs="Times New Roman"/>
      <w:kern w:val="2"/>
      <w:sz w:val="24"/>
      <w:szCs w:val="21"/>
      <w:lang w:val="en-US" w:eastAsia="zh-CN" w:bidi="ar-SA"/>
    </w:rPr>
  </w:style>
  <w:style w:type="paragraph" w:customStyle="1" w:styleId="80">
    <w:name w:val="样式 13 10 磅"/>
    <w:pPr>
      <w:widowControl w:val="0"/>
      <w:jc w:val="both"/>
    </w:pPr>
    <w:rPr>
      <w:rFonts w:ascii="Calibri" w:eastAsia="宋体" w:cs="Arial" w:hAnsi="Calibri"/>
      <w:kern w:val="2"/>
      <w:sz w:val="21"/>
      <w:szCs w:val="22"/>
      <w:lang w:val="en-US" w:eastAsia="zh-CN" w:bidi="ar-SA"/>
    </w:rPr>
  </w:style>
  <w:style w:type="paragraph" w:customStyle="1" w:styleId="81">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2">
    <w:name w:val="样式 14 10 磅"/>
    <w:pPr>
      <w:widowControl w:val="0"/>
      <w:jc w:val="both"/>
    </w:pPr>
    <w:rPr>
      <w:rFonts w:ascii="Calibri" w:eastAsia="宋体" w:cs="Arial" w:hAnsi="Calibri"/>
      <w:kern w:val="2"/>
      <w:sz w:val="21"/>
      <w:szCs w:val="22"/>
      <w:lang w:val="en-US" w:eastAsia="zh-CN" w:bidi="ar-SA"/>
    </w:rPr>
  </w:style>
  <w:style w:type="paragraph" w:customStyle="1" w:styleId="83">
    <w:name w:val="样式 15 10 磅"/>
    <w:pPr>
      <w:widowControl w:val="0"/>
      <w:jc w:val="both"/>
    </w:pPr>
    <w:rPr>
      <w:rFonts w:ascii="Calibri" w:eastAsia="宋体" w:cs="Arial" w:hAnsi="Calibri"/>
      <w:kern w:val="2"/>
      <w:sz w:val="21"/>
      <w:szCs w:val="22"/>
      <w:lang w:val="en-US" w:eastAsia="zh-CN" w:bidi="ar-SA"/>
    </w:rPr>
  </w:style>
  <w:style w:type="paragraph" w:customStyle="1" w:styleId="84">
    <w:name w:val="样式 4 小四"/>
    <w:next w:val="78"/>
    <w:pPr>
      <w:widowControl w:val="0"/>
    </w:pPr>
    <w:rPr>
      <w:rFonts w:ascii="宋体" w:eastAsia="宋体" w:cs="Times New Roman"/>
      <w:kern w:val="2"/>
      <w:sz w:val="24"/>
      <w:lang w:val="en-US" w:eastAsia="zh-CN" w:bidi="ar-SA"/>
    </w:rPr>
  </w:style>
  <w:style w:type="paragraph" w:customStyle="1" w:styleId="85">
    <w:name w:val="样式 1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6">
    <w:name w:val="样式 1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7">
    <w:name w:val="样式 16 10 磅"/>
    <w:pPr>
      <w:widowControl w:val="0"/>
      <w:jc w:val="both"/>
    </w:pPr>
    <w:rPr>
      <w:rFonts w:ascii="Calibri" w:eastAsia="宋体" w:cs="Arial" w:hAnsi="Calibri"/>
      <w:kern w:val="2"/>
      <w:sz w:val="21"/>
      <w:szCs w:val="22"/>
      <w:lang w:val="en-US" w:eastAsia="zh-CN" w:bidi="ar-SA"/>
    </w:rPr>
  </w:style>
  <w:style w:type="paragraph" w:customStyle="1" w:styleId="88">
    <w:name w:val="样式 1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9">
    <w:name w:val="样式 2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0">
    <w:name w:val="样式 3 小五"/>
    <w:next w:val="49"/>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91">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92">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229">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230">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231">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232">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33">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34">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35">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37">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38">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39">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40">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41">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42">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243">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244">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245">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246">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247">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248">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249">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250">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251">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252">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253">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254">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255">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256">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257">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258">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259">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260">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261">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262">
    <w:name w:val="样式 176 小三"/>
    <w:pPr>
      <w:widowControl w:val="0"/>
      <w:jc w:val="both"/>
    </w:pPr>
    <w:rPr>
      <w:rFonts w:ascii="Times New Roman" w:eastAsia="宋体" w:cs="Times New Roman" w:hAnsi="Times New Roman"/>
      <w:kern w:val="2"/>
      <w:sz w:val="30"/>
      <w:szCs w:val="30"/>
      <w:lang w:val="en-US" w:eastAsia="zh-CN" w:bidi="ar-SA"/>
    </w:rPr>
  </w:style>
  <w:style w:type="paragraph" w:customStyle="1" w:styleId="263">
    <w:name w:val="样式 177 小三"/>
    <w:pPr>
      <w:widowControl w:val="0"/>
      <w:jc w:val="both"/>
    </w:pPr>
    <w:rPr>
      <w:rFonts w:ascii="Times New Roman" w:eastAsia="宋体" w:cs="Times New Roman" w:hAnsi="Times New Roman"/>
      <w:kern w:val="2"/>
      <w:sz w:val="30"/>
      <w:szCs w:val="30"/>
      <w:lang w:val="en-US" w:eastAsia="zh-CN" w:bidi="ar-SA"/>
    </w:rPr>
  </w:style>
  <w:style w:type="paragraph" w:customStyle="1" w:styleId="264">
    <w:name w:val="样式 178 小三"/>
    <w:pPr>
      <w:widowControl w:val="0"/>
      <w:jc w:val="both"/>
    </w:pPr>
    <w:rPr>
      <w:rFonts w:ascii="Times New Roman" w:eastAsia="宋体" w:cs="Times New Roman" w:hAnsi="Times New Roman"/>
      <w:kern w:val="2"/>
      <w:sz w:val="30"/>
      <w:szCs w:val="30"/>
      <w:lang w:val="en-US" w:eastAsia="zh-CN" w:bidi="ar-SA"/>
    </w:rPr>
  </w:style>
  <w:style w:type="paragraph" w:customStyle="1" w:styleId="265">
    <w:name w:val="样式 179 小三"/>
    <w:pPr>
      <w:widowControl w:val="0"/>
      <w:jc w:val="both"/>
    </w:pPr>
    <w:rPr>
      <w:rFonts w:ascii="Times New Roman" w:eastAsia="宋体" w:cs="Times New Roman" w:hAnsi="Times New Roman"/>
      <w:kern w:val="2"/>
      <w:sz w:val="30"/>
      <w:szCs w:val="30"/>
      <w:lang w:val="en-US" w:eastAsia="zh-CN" w:bidi="ar-SA"/>
    </w:rPr>
  </w:style>
  <w:style w:type="paragraph" w:customStyle="1" w:styleId="266">
    <w:name w:val="样式 180 小三"/>
    <w:pPr>
      <w:widowControl w:val="0"/>
      <w:jc w:val="both"/>
    </w:pPr>
    <w:rPr>
      <w:rFonts w:ascii="Times New Roman" w:eastAsia="宋体" w:cs="Times New Roman" w:hAnsi="Times New Roman"/>
      <w:kern w:val="2"/>
      <w:sz w:val="30"/>
      <w:szCs w:val="30"/>
      <w:lang w:val="en-US" w:eastAsia="zh-CN" w:bidi="ar-SA"/>
    </w:rPr>
  </w:style>
  <w:style w:type="character" w:styleId="267">
    <w:name w:val="FollowedHyperlink"/>
    <w:basedOn w:val="10"/>
    <w:rPr>
      <w:color w:val="800080"/>
      <w:u w:val="single"/>
    </w:rPr>
  </w:style>
  <w:style w:type="paragraph" w:customStyle="1" w:styleId="268">
    <w:name w:val="样式 21 小四"/>
    <w:next w:val="22"/>
    <w:pPr>
      <w:widowControl w:val="0"/>
    </w:pPr>
    <w:rPr>
      <w:rFonts w:ascii="宋体" w:eastAsia="宋体" w:cs="Times New Roman"/>
      <w:kern w:val="2"/>
      <w:sz w:val="24"/>
      <w:szCs w:val="21"/>
      <w:lang w:val="en-US" w:eastAsia="zh-CN" w:bidi="ar-SA"/>
    </w:rPr>
  </w:style>
  <w:style w:type="paragraph" w:customStyle="1" w:styleId="269">
    <w:name w:val="样式 5 小四"/>
    <w:pPr>
      <w:widowControl w:val="0"/>
    </w:pPr>
    <w:rPr>
      <w:rFonts w:ascii="宋体" w:eastAsia="宋体" w:cs="Times New Roman"/>
      <w:kern w:val="2"/>
      <w:sz w:val="24"/>
      <w:szCs w:val="21"/>
      <w:lang w:val="en-US" w:eastAsia="zh-CN" w:bidi="ar-SA"/>
    </w:rPr>
  </w:style>
  <w:style w:type="paragraph" w:customStyle="1" w:styleId="270">
    <w:name w:val="样式 2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71">
    <w:name w:val="样式 2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72">
    <w:name w:val="样式 2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73">
    <w:name w:val="样式 6 小四"/>
    <w:pPr>
      <w:widowControl w:val="0"/>
    </w:pPr>
    <w:rPr>
      <w:rFonts w:ascii="宋体" w:eastAsia="宋体" w:cs="Times New Roman"/>
      <w:kern w:val="2"/>
      <w:sz w:val="24"/>
      <w:szCs w:val="21"/>
      <w:lang w:val="en-US" w:eastAsia="zh-CN" w:bidi="ar-SA"/>
    </w:rPr>
  </w:style>
  <w:style w:type="paragraph" w:customStyle="1" w:styleId="274">
    <w:name w:val="样式 17 10 磅"/>
    <w:pPr>
      <w:widowControl w:val="0"/>
      <w:jc w:val="both"/>
    </w:pPr>
    <w:rPr>
      <w:rFonts w:ascii="Calibri" w:eastAsia="宋体" w:cs="Arial" w:hAnsi="Calibri"/>
      <w:kern w:val="2"/>
      <w:sz w:val="21"/>
      <w:szCs w:val="22"/>
      <w:lang w:val="en-US" w:eastAsia="zh-CN" w:bidi="ar-SA"/>
    </w:rPr>
  </w:style>
  <w:style w:type="paragraph" w:customStyle="1" w:styleId="275">
    <w:name w:val="样式 18 10 磅"/>
    <w:pPr>
      <w:widowControl w:val="0"/>
      <w:jc w:val="both"/>
    </w:pPr>
    <w:rPr>
      <w:rFonts w:ascii="Calibri" w:eastAsia="宋体" w:cs="Times New Roman" w:hAnsi="Calibri"/>
      <w:kern w:val="2"/>
      <w:sz w:val="21"/>
      <w:szCs w:val="22"/>
      <w:lang w:val="en-US" w:eastAsia="zh-CN" w:bidi="ar-SA"/>
    </w:rPr>
  </w:style>
  <w:style w:type="paragraph" w:customStyle="1" w:styleId="276">
    <w:name w:val="样式 2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77">
    <w:name w:val="样式 7 小四"/>
    <w:pPr>
      <w:widowControl w:val="0"/>
    </w:pPr>
    <w:rPr>
      <w:rFonts w:ascii="宋体" w:eastAsia="宋体" w:cs="Times New Roman"/>
      <w:kern w:val="2"/>
      <w:sz w:val="24"/>
      <w:szCs w:val="21"/>
      <w:lang w:val="en-US" w:eastAsia="zh-CN" w:bidi="ar-SA"/>
    </w:rPr>
  </w:style>
  <w:style w:type="paragraph" w:customStyle="1" w:styleId="278">
    <w:name w:val="样式 8 小四"/>
    <w:pPr>
      <w:widowControl w:val="0"/>
    </w:pPr>
    <w:rPr>
      <w:rFonts w:ascii="宋体" w:eastAsia="宋体" w:cs="Times New Roman"/>
      <w:kern w:val="2"/>
      <w:sz w:val="24"/>
      <w:szCs w:val="21"/>
      <w:lang w:val="en-US" w:eastAsia="zh-CN" w:bidi="ar-SA"/>
    </w:rPr>
  </w:style>
  <w:style w:type="paragraph" w:styleId="279">
    <w:name w:val="annotation text"/>
    <w:basedOn w:val="0"/>
    <w:pPr>
      <w:jc w:val="left"/>
    </w:pPr>
  </w:style>
  <w:style w:type="paragraph" w:styleId="280">
    <w:name w:val="annotation subject"/>
    <w:next w:val="279"/>
    <w:pPr>
      <w:widowControl w:val="0"/>
    </w:pPr>
    <w:rPr>
      <w:rFonts w:ascii="Times New Roman" w:eastAsia="方正仿宋_GBK" w:cs="Times New Roman" w:hAnsi="Times New Roman"/>
      <w:b/>
      <w:kern w:val="2"/>
      <w:sz w:val="32"/>
      <w:szCs w:val="22"/>
      <w:lang w:val="en-US" w:eastAsia="zh-CN" w:bidi="ar-SA"/>
    </w:rPr>
  </w:style>
  <w:style w:type="paragraph" w:customStyle="1" w:styleId="281">
    <w:name w:val="样式 10 小四"/>
    <w:pPr>
      <w:widowControl w:val="0"/>
    </w:pPr>
    <w:rPr>
      <w:rFonts w:ascii="宋体" w:eastAsia="宋体" w:cs="Times New Roman"/>
      <w:kern w:val="2"/>
      <w:sz w:val="24"/>
      <w:szCs w:val="21"/>
      <w:lang w:val="en-US" w:eastAsia="zh-CN" w:bidi="ar-SA"/>
    </w:rPr>
  </w:style>
  <w:style w:type="paragraph" w:customStyle="1" w:styleId="282">
    <w:name w:val="样式 2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3">
    <w:name w:val="样式 2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4">
    <w:name w:val="样式 2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5">
    <w:name w:val="样式 28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86">
    <w:name w:val="样式 11 小四"/>
    <w:pPr>
      <w:widowControl w:val="0"/>
    </w:pPr>
    <w:rPr>
      <w:rFonts w:ascii="宋体" w:eastAsia="宋体" w:cs="Times New Roman"/>
      <w:kern w:val="2"/>
      <w:sz w:val="24"/>
      <w:szCs w:val="21"/>
      <w:lang w:val="en-US" w:eastAsia="zh-CN" w:bidi="ar-SA"/>
    </w:rPr>
  </w:style>
  <w:style w:type="paragraph" w:customStyle="1" w:styleId="287">
    <w:name w:val="样式 29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88">
    <w:name w:val="样式 19 10 磅"/>
    <w:pPr>
      <w:widowControl w:val="0"/>
      <w:jc w:val="both"/>
    </w:pPr>
    <w:rPr>
      <w:rFonts w:ascii="Calibri" w:eastAsia="宋体" w:cs="Arial" w:hAnsi="Calibri"/>
      <w:kern w:val="2"/>
      <w:sz w:val="21"/>
      <w:szCs w:val="22"/>
      <w:lang w:val="en-US" w:eastAsia="zh-CN" w:bidi="ar-SA"/>
    </w:rPr>
  </w:style>
  <w:style w:type="paragraph" w:customStyle="1" w:styleId="289">
    <w:name w:val="样式 20 10 磅"/>
    <w:pPr>
      <w:widowControl w:val="0"/>
      <w:jc w:val="both"/>
    </w:pPr>
    <w:rPr>
      <w:rFonts w:ascii="Calibri" w:eastAsia="宋体" w:cs="Arial" w:hAnsi="Calibri"/>
      <w:kern w:val="2"/>
      <w:sz w:val="21"/>
      <w:szCs w:val="22"/>
      <w:lang w:val="en-US" w:eastAsia="zh-CN" w:bidi="ar-SA"/>
    </w:rPr>
  </w:style>
  <w:style w:type="paragraph" w:customStyle="1" w:styleId="290">
    <w:name w:val="样式 30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91">
    <w:name w:val="样式 21 10 磅"/>
    <w:pPr>
      <w:widowControl w:val="0"/>
      <w:jc w:val="both"/>
    </w:pPr>
    <w:rPr>
      <w:rFonts w:ascii="Calibri" w:eastAsia="宋体" w:cs="Times New Roman" w:hAnsi="Calibri"/>
      <w:kern w:val="2"/>
      <w:sz w:val="21"/>
      <w:szCs w:val="22"/>
      <w:lang w:val="en-US" w:eastAsia="zh-CN" w:bidi="ar-SA"/>
    </w:rPr>
  </w:style>
  <w:style w:type="paragraph" w:customStyle="1" w:styleId="292">
    <w:name w:val="样式 3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3">
    <w:name w:val="样式 3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4">
    <w:name w:val="样式 3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5">
    <w:name w:val="样式 23 10 磅"/>
    <w:pPr>
      <w:widowControl w:val="0"/>
      <w:jc w:val="both"/>
    </w:pPr>
    <w:rPr>
      <w:rFonts w:ascii="Calibri" w:eastAsia="宋体" w:cs="Times New Roman" w:hAnsi="Calibri"/>
      <w:kern w:val="2"/>
      <w:sz w:val="21"/>
      <w:szCs w:val="22"/>
      <w:lang w:val="en-US" w:eastAsia="zh-CN" w:bidi="ar-SA"/>
    </w:rPr>
  </w:style>
  <w:style w:type="paragraph" w:customStyle="1" w:styleId="296">
    <w:name w:val="样式 3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7">
    <w:name w:val="样式 3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8">
    <w:name w:val="样式 3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9">
    <w:name w:val="样式 3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0">
    <w:name w:val="样式 3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1">
    <w:name w:val="样式 3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2">
    <w:name w:val="样式 4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3">
    <w:name w:val="样式 4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4">
    <w:name w:val="样式 42 三号"/>
    <w:pPr>
      <w:widowControl w:val="0"/>
    </w:pPr>
    <w:rPr>
      <w:rFonts w:ascii="Times New Roman" w:eastAsia="方正仿宋_GBK" w:cs="Times New Roman" w:hAnsi="Times New Roman"/>
      <w:kern w:val="2"/>
      <w:sz w:val="32"/>
      <w:szCs w:val="22"/>
      <w:lang w:val="en-US" w:eastAsia="zh-CN" w:bidi="ar-SA"/>
    </w:rPr>
  </w:style>
  <w:style w:type="paragraph" w:customStyle="1" w:styleId="305">
    <w:name w:val="样式 4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6">
    <w:name w:val="样式 4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7">
    <w:name w:val="样式 24 10 磅"/>
    <w:pPr>
      <w:widowControl w:val="0"/>
      <w:jc w:val="both"/>
    </w:pPr>
    <w:rPr>
      <w:rFonts w:ascii="Calibri" w:eastAsia="宋体" w:cs="Times New Roman" w:hAnsi="Calibri"/>
      <w:kern w:val="2"/>
      <w:sz w:val="21"/>
      <w:szCs w:val="22"/>
      <w:lang w:val="en-US" w:eastAsia="zh-CN" w:bidi="ar-SA"/>
    </w:rPr>
  </w:style>
  <w:style w:type="paragraph" w:customStyle="1" w:styleId="308">
    <w:name w:val="样式 4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9">
    <w:name w:val="样式 4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0">
    <w:name w:val="样式 4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1">
    <w:name w:val="样式 4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2">
    <w:name w:val="样式 4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3">
    <w:name w:val="样式 5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4">
    <w:name w:val="样式 5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5">
    <w:name w:val="样式 5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6">
    <w:name w:val="样式 5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7">
    <w:name w:val="样式 5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8">
    <w:name w:val="样式 5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9">
    <w:name w:val="样式 5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0">
    <w:name w:val="样式 5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1">
    <w:name w:val="样式 5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2">
    <w:name w:val="样式 6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3">
    <w:name w:val="样式 6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4">
    <w:name w:val="样式 62 三号"/>
    <w:pPr>
      <w:widowControl w:val="0"/>
      <w:jc w:val="both"/>
    </w:pPr>
    <w:rPr>
      <w:rFonts w:ascii="Times New Roman" w:eastAsia="方正仿宋_GBK" w:cs="Times New Roman" w:hAnsi="Times New Roman"/>
      <w:kern w:val="2"/>
      <w:sz w:val="32"/>
      <w:szCs w:val="22"/>
      <w:lang w:val="en-US" w:eastAsia="zh-CN" w:bidi="ar-SA"/>
    </w:rPr>
  </w:style>
  <w:style w:type="character" w:styleId="325">
    <w:name w:val="annotation reference"/>
    <w:basedOn w:val="10"/>
    <w:rPr>
      <w:sz w:val="21"/>
      <w:szCs w:val="21"/>
    </w:rPr>
  </w:style>
  <w:style w:type="paragraph" w:styleId="326">
    <w:name w:val="Balloon Text"/>
    <w:basedOn w:val="0"/>
    <w:rPr>
      <w:sz w:val="18"/>
      <w:szCs w:val="18"/>
    </w:rPr>
  </w:style>
  <w:style w:type="paragraph" w:customStyle="1" w:styleId="327">
    <w:name w:val="样式 63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28">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329">
    <w:name w:val="样式 25 10 磅"/>
    <w:pPr>
      <w:widowControl w:val="0"/>
      <w:jc w:val="both"/>
    </w:pPr>
    <w:rPr>
      <w:rFonts w:ascii="Calibri" w:eastAsia="宋体" w:cs="Arial" w:hAnsi="Calibri"/>
      <w:kern w:val="2"/>
      <w:sz w:val="21"/>
      <w:szCs w:val="22"/>
      <w:lang w:val="en-US" w:eastAsia="zh-CN" w:bidi="ar-SA"/>
    </w:rPr>
  </w:style>
  <w:style w:type="paragraph" w:customStyle="1" w:styleId="330">
    <w:name w:val="样式 26 10 磅"/>
    <w:pPr>
      <w:widowControl w:val="0"/>
      <w:jc w:val="both"/>
    </w:pPr>
    <w:rPr>
      <w:rFonts w:ascii="Calibri" w:eastAsia="宋体" w:cs="Arial" w:hAnsi="Calibri"/>
      <w:kern w:val="2"/>
      <w:sz w:val="21"/>
      <w:szCs w:val="22"/>
      <w:lang w:val="en-US" w:eastAsia="zh-CN" w:bidi="ar-SA"/>
    </w:rPr>
  </w:style>
  <w:style w:type="character" w:customStyle="1" w:styleId="331">
    <w:name w:val="h-control-text-cont1"/>
    <w:basedOn w:val="10"/>
  </w:style>
  <w:style w:type="paragraph" w:customStyle="1" w:styleId="332">
    <w:name w:val="样式 6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0"/>
      <w:u w:val="none" w:color="auto"/>
      <w:shd w:val="clear" w:color="auto" w:fill="auto"/>
      <w:vertAlign w:val="baseline"/>
      <w:em w:val="none"/>
      <w:lang w:val="en-US" w:eastAsia="zh-CN" w:bidi="ar-SA"/>
    </w:rPr>
  </w:style>
  <w:style w:type="paragraph" w:customStyle="1" w:styleId="333">
    <w:name w:val="样式 "/>
    <w:rPr>
      <w:rFonts w:ascii="Times New Roman" w:eastAsia="宋体" w:cs="Times New Roman" w:hAnsi="Times New Roman"/>
      <w:lang w:val="en-US" w:eastAsia="zh-CN" w:bidi="ar-SA"/>
    </w:rPr>
  </w:style>
  <w:style w:type="paragraph" w:customStyle="1" w:styleId="334">
    <w:name w:val="样式 6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35">
    <w:name w:val="样式 1 "/>
    <w:rPr>
      <w:rFonts w:ascii="Times New Roman" w:eastAsia="宋体" w:cs="Times New Roman" w:hAnsi="Times New Roman"/>
      <w:lang w:val="en-US" w:eastAsia="zh-CN" w:bidi="ar-SA"/>
    </w:rPr>
  </w:style>
  <w:style w:type="paragraph" w:customStyle="1" w:styleId="336">
    <w:name w:val="样式 66 三号"/>
    <w:pPr>
      <w:widowControl w:val="0"/>
      <w:jc w:val="both"/>
    </w:pPr>
    <w:rPr>
      <w:rFonts w:ascii="Times New Roman" w:eastAsia="方正仿宋_GBK" w:cs="Times New Roman" w:hAnsi="Times New Roman"/>
      <w:kern w:val="2"/>
      <w:sz w:val="3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41</TotalTime>
  <Application>Yozo_Office</Application>
  <Pages>1</Pages>
  <Words>22</Words>
  <Characters>25</Characters>
  <Lines>2</Lines>
  <Paragraphs>2</Paragraphs>
  <CharactersWithSpaces>25</CharactersWithSpaces>
  <Company>ITianKong.Com</Company>
</Properties>
</file>

<file path=docProps/core.xml><?xml version="1.0" encoding="utf-8"?>
<cp:coreProperties xmlns:cp="http://schemas.openxmlformats.org/package/2006/metadata/core-properties" xmlns:dc="http://purl.org/dc/elements/1.1/" xmlns:dcterms="http://purl.org/dc/terms/" xmlns:xsi="http://www.w3.org/2001/XMLSchema-instance">
  <dc:creator>unis_user</dc:creator>
  <cp:lastModifiedBy>刘书华</cp:lastModifiedBy>
  <cp:revision>2</cp:revision>
  <dcterms:created xsi:type="dcterms:W3CDTF">2024-01-19T01:10:00Z</dcterms:created>
  <dcterms:modified xsi:type="dcterms:W3CDTF">2024-01-26T02:07:26Z</dcterms:modified>
</cp:coreProperties>
</file>