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6"/>
        <w:spacing w:line="580" w:lineRule="exact"/>
        <w:jc w:val="center"/>
        <w:rPr>
          <w:rFonts w:ascii="方正黑体_GBK" w:eastAsia="方正黑体_GBK" w:cs="Arial"/>
          <w:sz w:val="44"/>
          <w:szCs w:val="44"/>
        </w:rPr>
      </w:pPr>
      <w:bookmarkStart w:id="0" w:name="_Hlk25540369"/>
      <w:bookmarkStart w:id="1" w:name="cogw__正文__file"/>
      <w:r>
        <w:rPr>
          <w:rFonts w:ascii="方正小标宋_GBK" w:eastAsia="方正小标宋_GBK" w:cs="方正小标宋_GBK" w:hint="eastAsia"/>
          <w:sz w:val="44"/>
          <w:szCs w:val="44"/>
        </w:rPr>
        <w:t>佛山海关</w:t>
      </w:r>
      <w:r>
        <w:rPr>
          <w:rFonts w:ascii="方正小标宋_GBK" w:eastAsia="方正小标宋_GBK" w:cs="方正小标宋_GBK"/>
          <w:sz w:val="44"/>
          <w:szCs w:val="44"/>
        </w:rPr>
        <w:t>2023</w:t>
      </w:r>
      <w:r>
        <w:rPr>
          <w:rFonts w:ascii="方正小标宋_GBK" w:eastAsia="方正小标宋_GBK" w:cs="方正小标宋_GBK" w:hint="eastAsia"/>
          <w:sz w:val="44"/>
          <w:szCs w:val="44"/>
        </w:rPr>
        <w:t>年政府信息公开工作年度报告</w:t>
      </w:r>
      <w:bookmarkEnd w:id="0"/>
    </w:p>
    <w:p>
      <w:pPr>
        <w:widowControl/>
        <w:spacing w:line="560" w:lineRule="exact"/>
        <w:ind w:firstLineChars="200" w:firstLine="624"/>
        <w:rPr>
          <w:rFonts w:cs="Arial"/>
          <w:color w:val="000000"/>
          <w:spacing w:val="-4"/>
          <w:kern w:val="0"/>
        </w:rPr>
      </w:pPr>
    </w:p>
    <w:p>
      <w:pPr>
        <w:widowControl/>
        <w:spacing w:line="560" w:lineRule="exact"/>
        <w:ind w:firstLineChars="200" w:firstLine="624"/>
        <w:rPr>
          <w:rFonts w:cs="Arial"/>
          <w:color w:val="000000"/>
          <w:spacing w:val="-4"/>
          <w:kern w:val="0"/>
        </w:rPr>
      </w:pPr>
      <w:r>
        <w:rPr>
          <w:rFonts w:cs="方正仿宋_GBK" w:hint="eastAsia"/>
          <w:color w:val="000000"/>
          <w:spacing w:val="-4"/>
          <w:kern w:val="0"/>
        </w:rPr>
        <w:t>根据《中华人民共和国政府信息公开条例》</w:t>
      </w:r>
      <w:r>
        <w:rPr>
          <w:rFonts w:cs="方正仿宋_GBK" w:hint="eastAsia"/>
          <w:shd w:val="clear" w:color="auto" w:fill="FFFFFF"/>
        </w:rPr>
        <w:t>《国务院办公厅政府信息与政务公开办公室关于政府信息公开工作年度报告有关事项的通知》</w:t>
      </w:r>
      <w:r>
        <w:rPr>
          <w:rFonts w:cs="方正仿宋_GBK" w:hint="eastAsia"/>
          <w:color w:val="000000"/>
          <w:spacing w:val="-4"/>
          <w:kern w:val="0"/>
        </w:rPr>
        <w:t>《国务院办公厅政府信息与政务公开办公室关于印发〈中华人民共和国政府信息公开工作年度报告格式〉的通知》等规定，梳理编制佛山海关</w:t>
      </w:r>
      <w:r>
        <w:rPr>
          <w:color w:val="000000"/>
          <w:spacing w:val="-4"/>
          <w:kern w:val="0"/>
        </w:rPr>
        <w:t>2023</w:t>
      </w:r>
      <w:r>
        <w:rPr>
          <w:rFonts w:cs="方正仿宋_GBK" w:hint="eastAsia"/>
          <w:color w:val="000000"/>
          <w:spacing w:val="-4"/>
          <w:kern w:val="0"/>
        </w:rPr>
        <w:t>年政府信息公开工作年报。年报中所列数据的统计期限，自</w:t>
      </w:r>
      <w:r>
        <w:rPr>
          <w:color w:val="000000"/>
          <w:spacing w:val="-4"/>
          <w:kern w:val="0"/>
        </w:rPr>
        <w:t>2023</w:t>
      </w:r>
      <w:r>
        <w:rPr>
          <w:rFonts w:cs="方正仿宋_GBK" w:hint="eastAsia"/>
          <w:color w:val="000000"/>
          <w:spacing w:val="-4"/>
          <w:kern w:val="0"/>
        </w:rPr>
        <w:t>年</w:t>
      </w:r>
      <w:r>
        <w:rPr>
          <w:color w:val="000000"/>
          <w:spacing w:val="-4"/>
          <w:kern w:val="0"/>
        </w:rPr>
        <w:t>1</w:t>
      </w:r>
      <w:r>
        <w:rPr>
          <w:rFonts w:cs="方正仿宋_GBK" w:hint="eastAsia"/>
          <w:color w:val="000000"/>
          <w:spacing w:val="-4"/>
          <w:kern w:val="0"/>
        </w:rPr>
        <w:t>月</w:t>
      </w:r>
      <w:r>
        <w:rPr>
          <w:color w:val="000000"/>
          <w:spacing w:val="-4"/>
          <w:kern w:val="0"/>
        </w:rPr>
        <w:t>1</w:t>
      </w:r>
      <w:r>
        <w:rPr>
          <w:rFonts w:cs="方正仿宋_GBK" w:hint="eastAsia"/>
          <w:color w:val="000000"/>
          <w:spacing w:val="-4"/>
          <w:kern w:val="0"/>
        </w:rPr>
        <w:t>日起至</w:t>
      </w:r>
      <w:r>
        <w:rPr>
          <w:color w:val="000000"/>
          <w:spacing w:val="-4"/>
          <w:kern w:val="0"/>
        </w:rPr>
        <w:t>2023</w:t>
      </w:r>
      <w:r>
        <w:rPr>
          <w:rFonts w:cs="方正仿宋_GBK" w:hint="eastAsia"/>
          <w:color w:val="000000"/>
          <w:spacing w:val="-4"/>
          <w:kern w:val="0"/>
        </w:rPr>
        <w:t>年</w:t>
      </w:r>
      <w:r>
        <w:rPr>
          <w:color w:val="000000"/>
          <w:spacing w:val="-4"/>
          <w:kern w:val="0"/>
        </w:rPr>
        <w:t>12</w:t>
      </w:r>
      <w:r>
        <w:rPr>
          <w:rFonts w:cs="方正仿宋_GBK" w:hint="eastAsia"/>
          <w:color w:val="000000"/>
          <w:spacing w:val="-4"/>
          <w:kern w:val="0"/>
        </w:rPr>
        <w:t>月</w:t>
      </w:r>
      <w:r>
        <w:rPr>
          <w:color w:val="000000"/>
          <w:spacing w:val="-4"/>
          <w:kern w:val="0"/>
        </w:rPr>
        <w:t>31</w:t>
      </w:r>
      <w:r>
        <w:rPr>
          <w:rFonts w:cs="方正仿宋_GBK" w:hint="eastAsia"/>
          <w:color w:val="000000"/>
          <w:spacing w:val="-4"/>
          <w:kern w:val="0"/>
        </w:rPr>
        <w:t>日止。如对本年报有疑问或有任何意见、建议，请联系佛山海关办公室文秘科。地址：广东省佛山市禅城区五峰三路</w:t>
      </w:r>
      <w:r>
        <w:rPr>
          <w:color w:val="000000"/>
          <w:spacing w:val="-4"/>
          <w:kern w:val="0"/>
        </w:rPr>
        <w:t>10</w:t>
      </w:r>
      <w:r>
        <w:rPr>
          <w:rFonts w:cs="方正仿宋_GBK" w:hint="eastAsia"/>
          <w:color w:val="000000"/>
          <w:spacing w:val="-4"/>
          <w:kern w:val="0"/>
        </w:rPr>
        <w:t>号，邮编：</w:t>
      </w:r>
      <w:r>
        <w:rPr>
          <w:color w:val="000000"/>
          <w:spacing w:val="-4"/>
          <w:kern w:val="0"/>
        </w:rPr>
        <w:t>528000</w:t>
      </w:r>
      <w:r>
        <w:rPr>
          <w:rFonts w:cs="方正仿宋_GBK" w:hint="eastAsia"/>
          <w:color w:val="000000"/>
          <w:spacing w:val="-4"/>
          <w:kern w:val="0"/>
        </w:rPr>
        <w:t>；电话：</w:t>
      </w:r>
      <w:r>
        <w:rPr>
          <w:color w:val="000000"/>
          <w:spacing w:val="-4"/>
          <w:kern w:val="0"/>
        </w:rPr>
        <w:t>0757-80375310</w:t>
      </w:r>
      <w:r>
        <w:rPr>
          <w:rFonts w:cs="方正仿宋_GBK" w:hint="eastAsia"/>
          <w:color w:val="000000"/>
          <w:spacing w:val="-4"/>
          <w:kern w:val="0"/>
        </w:rPr>
        <w:t>；电子邮箱：</w:t>
      </w:r>
      <w:r>
        <w:rPr>
          <w:spacing w:val="-4"/>
          <w:kern w:val="0"/>
        </w:rPr>
        <w:t>foshanbgs@customs.gov.cn</w:t>
      </w:r>
      <w:r>
        <w:rPr>
          <w:rFonts w:cs="方正仿宋_GBK" w:hint="eastAsia"/>
          <w:color w:val="000000"/>
          <w:spacing w:val="-4"/>
          <w:kern w:val="0"/>
        </w:rPr>
        <w:t>。</w:t>
      </w:r>
    </w:p>
    <w:p>
      <w:pPr>
        <w:pStyle w:val="15"/>
        <w:widowControl/>
        <w:shd w:val="clear" w:color="auto" w:fill="FFFFFF"/>
        <w:adjustRightInd w:val="0"/>
        <w:snapToGrid w:val="0"/>
        <w:spacing w:before="0" w:beforeAutospacing="0" w:after="0" w:afterAutospacing="0" w:line="560" w:lineRule="exact"/>
        <w:ind w:firstLineChars="200" w:firstLine="640"/>
        <w:jc w:val="both"/>
        <w:rPr>
          <w:rFonts w:ascii="方正黑体_GBK" w:eastAsia="方正黑体_GBK" w:cs="Arial"/>
          <w:sz w:val="32"/>
          <w:szCs w:val="32"/>
        </w:rPr>
      </w:pPr>
      <w:r>
        <w:rPr>
          <w:rFonts w:ascii="方正黑体_GBK" w:eastAsia="方正黑体_GBK" w:cs="方正黑体_GBK" w:hint="eastAsia"/>
          <w:sz w:val="32"/>
          <w:szCs w:val="32"/>
          <w:shd w:val="clear" w:color="auto" w:fill="FFFFFF"/>
        </w:rPr>
        <w:t>一、总体情况</w:t>
      </w:r>
    </w:p>
    <w:p>
      <w:pPr>
        <w:pStyle w:val="18"/>
        <w:adjustRightInd w:val="0"/>
        <w:snapToGrid w:val="0"/>
        <w:ind w:firstLineChars="200" w:firstLine="624"/>
        <w:rPr>
          <w:rFonts w:cs="Arial"/>
        </w:rPr>
      </w:pPr>
      <w:r>
        <w:t>2023</w:t>
      </w:r>
      <w:r>
        <w:rPr>
          <w:rFonts w:cs="方正仿宋_GBK" w:hint="eastAsia"/>
        </w:rPr>
        <w:t>年，佛山海关坚持以习近平新时代中国特色社会主义思想为指导，深入学习</w:t>
      </w:r>
      <w:r>
        <w:rPr>
          <w:rFonts w:cs="方正仿宋_GBK"/>
        </w:rPr>
        <w:t>贯彻</w:t>
      </w:r>
      <w:r>
        <w:rPr>
          <w:rFonts w:cs="方正仿宋_GBK" w:hint="eastAsia"/>
        </w:rPr>
        <w:t>习近平总书记给红其拉甫海关全体关员的重要回信精神，坚持以人民为中心，</w:t>
      </w:r>
      <w:r>
        <w:rPr>
          <w:rFonts w:cs="方正仿宋_GBK"/>
        </w:rPr>
        <w:t>严格</w:t>
      </w:r>
      <w:r>
        <w:rPr>
          <w:rFonts w:cs="方正仿宋_GBK" w:hint="eastAsia"/>
        </w:rPr>
        <w:t>落实《中华人民共和国政府信息公开条例》。对标上级部门任务要求，结合关区实际，创新政务公开方式、提升政务服务工作实效，全面推进政务公开工作。</w:t>
      </w:r>
      <w:r>
        <w:rPr>
          <w:rFonts w:cs="方正仿宋_GBK"/>
        </w:rPr>
        <w:t>现将工作情况报告如下：</w:t>
      </w:r>
    </w:p>
    <w:p>
      <w:pPr>
        <w:pStyle w:val="18"/>
        <w:adjustRightInd w:val="0"/>
        <w:snapToGrid w:val="0"/>
        <w:ind w:firstLineChars="200" w:firstLine="640"/>
        <w:rPr>
          <w:rFonts w:ascii="方正楷体_GBK" w:eastAsia="方正楷体_GBK" w:cs="Arial"/>
          <w:b/>
          <w:bCs/>
        </w:rPr>
      </w:pPr>
      <w:r>
        <w:rPr>
          <w:rFonts w:ascii="方正楷体_GBK" w:eastAsia="方正楷体_GBK" w:cs="方正楷体_GBK" w:hint="eastAsia"/>
          <w:b/>
          <w:bCs/>
          <w:spacing w:val="0"/>
        </w:rPr>
        <w:t>（一）</w:t>
      </w:r>
      <w:r>
        <w:rPr>
          <w:rFonts w:ascii="方正楷体_GBK" w:eastAsia="方正楷体_GBK" w:cs="方正楷体_GBK" w:hint="eastAsia"/>
          <w:b/>
          <w:bCs/>
        </w:rPr>
        <w:t>主动公开情况</w:t>
      </w:r>
      <w:r>
        <w:rPr>
          <w:rFonts w:ascii="方正楷体_GBK" w:eastAsia="方正楷体_GBK" w:cs="方正楷体_GBK" w:hint="eastAsia"/>
          <w:b/>
          <w:bCs/>
          <w:spacing w:val="0"/>
        </w:rPr>
        <w:t>。</w:t>
      </w:r>
    </w:p>
    <w:p>
      <w:pPr>
        <w:pStyle w:val="18"/>
        <w:adjustRightInd w:val="0"/>
        <w:snapToGrid w:val="0"/>
        <w:ind w:firstLineChars="200" w:firstLine="616"/>
        <w:rPr>
          <w:rFonts w:cs="Arial"/>
          <w:spacing w:val="-6"/>
        </w:rPr>
      </w:pPr>
      <w:r>
        <w:rPr>
          <w:rFonts w:cs="方正仿宋_GBK" w:hint="eastAsia"/>
          <w:spacing w:val="-6"/>
        </w:rPr>
        <w:t>修订完善《佛山海关基层政务公开标准目录》并对公开内容实行动态管理，及时调整更新。</w:t>
      </w:r>
      <w:r>
        <w:rPr>
          <w:rFonts w:cs="方正仿宋_GBK" w:hint="eastAsia"/>
        </w:rPr>
        <w:t>按</w:t>
      </w:r>
      <w:r>
        <w:rPr>
          <w:rStyle w:val="28"/>
          <w:rFonts w:cs="方正仿宋_GBK" w:hint="eastAsia"/>
          <w:color w:val="000000"/>
        </w:rPr>
        <w:t>时限要求通过广州海关门户网站完成</w:t>
      </w:r>
      <w:r>
        <w:rPr>
          <w:rStyle w:val="28"/>
          <w:rFonts w:cs="方正仿宋_GBK" w:hint="eastAsia"/>
        </w:rPr>
        <w:t>行政执法信息、</w:t>
      </w:r>
      <w:r>
        <w:rPr>
          <w:rStyle w:val="28"/>
          <w:rFonts w:cs="方正仿宋_GBK" w:hint="eastAsia"/>
          <w:color w:val="000000"/>
        </w:rPr>
        <w:t>财务预决算等信息的主动公开</w:t>
      </w:r>
      <w:r>
        <w:rPr>
          <w:rFonts w:cs="方正仿宋_GBK" w:hint="eastAsia"/>
          <w:spacing w:val="-6"/>
        </w:rPr>
        <w:t>。整合佛山海关五个办事处对外公示信息，统一以佛山海关名义公开。</w:t>
      </w:r>
    </w:p>
    <w:p>
      <w:pPr>
        <w:pStyle w:val="18"/>
        <w:adjustRightInd w:val="0"/>
        <w:snapToGrid w:val="0"/>
        <w:ind w:firstLineChars="200" w:firstLine="640"/>
        <w:rPr>
          <w:rFonts w:ascii="方正楷体_GBK" w:eastAsia="方正楷体_GBK" w:cs="Arial"/>
          <w:b/>
          <w:bCs/>
          <w:spacing w:val="0"/>
        </w:rPr>
      </w:pPr>
      <w:r>
        <w:rPr>
          <w:rFonts w:ascii="方正楷体_GBK" w:eastAsia="方正楷体_GBK" w:cs="方正楷体_GBK" w:hint="eastAsia"/>
          <w:b/>
          <w:bCs/>
          <w:spacing w:val="0"/>
        </w:rPr>
        <w:t>（二）依申请公开情况。</w:t>
      </w:r>
    </w:p>
    <w:p>
      <w:pPr>
        <w:pStyle w:val="18"/>
        <w:adjustRightInd w:val="0"/>
        <w:snapToGrid w:val="0"/>
        <w:ind w:firstLineChars="200" w:firstLine="624"/>
        <w:rPr>
          <w:rFonts w:cs="Arial"/>
        </w:rPr>
      </w:pPr>
      <w:r>
        <w:rPr>
          <w:rStyle w:val="28"/>
          <w:rFonts w:cs="方正仿宋_GBK" w:hint="eastAsia"/>
          <w:color w:val="000000"/>
        </w:rPr>
        <w:t>加强业务培训，</w:t>
      </w:r>
      <w:r>
        <w:rPr>
          <w:rFonts w:cs="方正仿宋_GBK" w:hint="eastAsia"/>
        </w:rPr>
        <w:t>提升依申请公开办理水平。组织经办人员对《中华人民共和国政府信息公开条例》进行再学习、再培训，推动办理流程畅顺、程序规范。</w:t>
      </w:r>
      <w:r>
        <w:t>2023</w:t>
      </w:r>
      <w:r>
        <w:rPr>
          <w:rFonts w:cs="方正仿宋_GBK" w:hint="eastAsia"/>
        </w:rPr>
        <w:t>年，佛山海关收到政府信息公开申请</w:t>
      </w:r>
      <w:r>
        <w:t>10</w:t>
      </w:r>
      <w:r>
        <w:rPr>
          <w:rFonts w:cs="方正仿宋_GBK" w:hint="eastAsia"/>
        </w:rPr>
        <w:t>件，均已按期办结，未收到因政府信息公开申请引发的行政复议、诉讼。</w:t>
      </w:r>
    </w:p>
    <w:p>
      <w:pPr>
        <w:pStyle w:val="18"/>
        <w:adjustRightInd w:val="0"/>
        <w:snapToGrid w:val="0"/>
        <w:ind w:firstLineChars="200" w:firstLine="640"/>
        <w:rPr>
          <w:rFonts w:ascii="方正楷体_GBK" w:eastAsia="方正楷体_GBK" w:cs="Arial"/>
          <w:b/>
          <w:bCs/>
          <w:spacing w:val="0"/>
        </w:rPr>
      </w:pPr>
      <w:r>
        <w:rPr>
          <w:rFonts w:ascii="方正楷体_GBK" w:eastAsia="方正楷体_GBK" w:cs="方正楷体_GBK" w:hint="eastAsia"/>
          <w:b/>
          <w:bCs/>
          <w:spacing w:val="0"/>
        </w:rPr>
        <w:t>（三）政府信息管理情况。</w:t>
      </w:r>
    </w:p>
    <w:p>
      <w:pPr>
        <w:pStyle w:val="18"/>
        <w:adjustRightInd w:val="0"/>
        <w:snapToGrid w:val="0"/>
        <w:ind w:firstLineChars="200" w:firstLine="624"/>
        <w:rPr>
          <w:rFonts w:ascii="方正楷体_GBK" w:eastAsia="方正楷体_GBK" w:cs="Arial"/>
          <w:b/>
          <w:bCs/>
          <w:color w:val="000000"/>
          <w:spacing w:val="0"/>
        </w:rPr>
      </w:pPr>
      <w:r>
        <w:rPr>
          <w:rFonts w:cs="方正仿宋_GBK" w:hint="eastAsia"/>
          <w:color w:val="000000"/>
        </w:rPr>
        <w:t>根据《广州海关关区政府信息公开指南》《广州海关关区政府信息公开申请指引》等工作要求，开展政府信息公开工作，对公开的内容开展事前审查、定期核查，保障政府信息公开规范运行。强化政府信息公开属性源头认定，完善政府信息发布审核机制，严格政府信息管理，规范政府信息制作、获取、保存、处理相关流程，加强“全周期管理”。</w:t>
      </w:r>
    </w:p>
    <w:p>
      <w:pPr>
        <w:pStyle w:val="18"/>
        <w:adjustRightInd w:val="0"/>
        <w:snapToGrid w:val="0"/>
        <w:ind w:firstLineChars="200" w:firstLine="640"/>
        <w:rPr>
          <w:rFonts w:ascii="方正楷体_GBK" w:eastAsia="方正楷体_GBK" w:cs="Arial"/>
          <w:b/>
          <w:bCs/>
          <w:spacing w:val="0"/>
        </w:rPr>
      </w:pPr>
      <w:r>
        <w:rPr>
          <w:rFonts w:ascii="方正楷体_GBK" w:eastAsia="方正楷体_GBK" w:cs="方正楷体_GBK" w:hint="eastAsia"/>
          <w:b/>
          <w:bCs/>
          <w:spacing w:val="0"/>
        </w:rPr>
        <w:t>（四）政府信息公开平台建设情况。</w:t>
      </w:r>
    </w:p>
    <w:p>
      <w:pPr>
        <w:pStyle w:val="18"/>
        <w:adjustRightInd w:val="0"/>
        <w:snapToGrid w:val="0"/>
        <w:ind w:firstLineChars="200" w:firstLine="624"/>
        <w:rPr>
          <w:rFonts w:cs="Arial"/>
        </w:rPr>
      </w:pPr>
      <w:r>
        <w:rPr>
          <w:rFonts w:cs="方正仿宋_GBK" w:hint="eastAsia"/>
          <w:kern w:val="0"/>
        </w:rPr>
        <w:t>一是</w:t>
      </w:r>
      <w:r>
        <w:rPr>
          <w:rFonts w:cs="方正仿宋_GBK" w:hint="eastAsia"/>
        </w:rPr>
        <w:t>充分利用新媒体平台，加大政策解读力度，结合海关新政编写图文并茂新媒体推文，年内向“海关发布”微博、微信公众号平台报送稿件</w:t>
      </w:r>
      <w:r>
        <w:t>100</w:t>
      </w:r>
      <w:r>
        <w:rPr>
          <w:rFonts w:cs="方正仿宋_GBK" w:hint="eastAsia"/>
        </w:rPr>
        <w:t>余篇</w:t>
      </w:r>
      <w:r>
        <w:rPr>
          <w:rStyle w:val="28"/>
          <w:rFonts w:cs="方正仿宋_GBK" w:hint="eastAsia"/>
          <w:color w:val="000000"/>
        </w:rPr>
        <w:t>。</w:t>
      </w:r>
      <w:r>
        <w:rPr>
          <w:rFonts w:cs="方正仿宋_GBK" w:hint="eastAsia"/>
        </w:rPr>
        <w:t>二是</w:t>
      </w:r>
      <w:r>
        <w:rPr>
          <w:rFonts w:cs="方正仿宋_GBK" w:hint="eastAsia"/>
          <w:kern w:val="0"/>
        </w:rPr>
        <w:t>推进</w:t>
      </w:r>
      <w:r>
        <w:rPr>
          <w:rFonts w:cs="方正仿宋_GBK"/>
          <w:kern w:val="0"/>
        </w:rPr>
        <w:t>基层</w:t>
      </w:r>
      <w:r>
        <w:rPr>
          <w:rFonts w:cs="方正仿宋_GBK" w:hint="eastAsia"/>
          <w:kern w:val="0"/>
        </w:rPr>
        <w:t>政务公开专区高质量验收</w:t>
      </w:r>
      <w:r>
        <w:rPr>
          <w:rFonts w:cs="方正仿宋_GBK" w:hint="eastAsia"/>
        </w:rPr>
        <w:t>，各办事处</w:t>
      </w:r>
      <w:r>
        <w:rPr>
          <w:rFonts w:cs="方正仿宋_GBK" w:hint="eastAsia"/>
          <w:kern w:val="0"/>
        </w:rPr>
        <w:t>对照《广州海关基层政务公开专区建设基本硬件设施清单》，组织开展“地毯式”自查，丰富政务公开专区功能分区，增设“办不成事”兜底窗口</w:t>
      </w:r>
      <w:r>
        <w:rPr>
          <w:kern w:val="0"/>
        </w:rPr>
        <w:t>5</w:t>
      </w:r>
      <w:r>
        <w:rPr>
          <w:rFonts w:cs="方正仿宋_GBK" w:hint="eastAsia"/>
          <w:kern w:val="0"/>
        </w:rPr>
        <w:t>个，</w:t>
      </w:r>
      <w:r>
        <w:rPr>
          <w:rFonts w:cs="方正仿宋_GBK" w:hint="eastAsia"/>
        </w:rPr>
        <w:t>驻南海办设立“用心服务‘政’合你意”政务公开品牌</w:t>
      </w:r>
      <w:r>
        <w:rPr>
          <w:rFonts w:cs="方正仿宋_GBK" w:hint="eastAsia"/>
          <w:kern w:val="0"/>
        </w:rPr>
        <w:t>，关区</w:t>
      </w:r>
      <w:r>
        <w:rPr>
          <w:kern w:val="0"/>
        </w:rPr>
        <w:t>5</w:t>
      </w:r>
      <w:r>
        <w:rPr>
          <w:rFonts w:cs="方正仿宋_GBK" w:hint="eastAsia"/>
          <w:kern w:val="0"/>
        </w:rPr>
        <w:t>个政务公开专区通过验收。</w:t>
      </w:r>
      <w:r>
        <w:rPr>
          <w:rStyle w:val="28"/>
          <w:rFonts w:cs="方正仿宋_GBK" w:hint="eastAsia"/>
          <w:color w:val="000000"/>
        </w:rPr>
        <w:t>三是</w:t>
      </w:r>
      <w:r>
        <w:rPr>
          <w:rFonts w:cs="方正仿宋_GBK" w:hint="eastAsia"/>
          <w:kern w:val="0"/>
        </w:rPr>
        <w:t>加强与地方平台联动，专人对接佛山</w:t>
      </w:r>
      <w:r>
        <w:rPr>
          <w:kern w:val="0"/>
        </w:rPr>
        <w:t>12345</w:t>
      </w:r>
      <w:r>
        <w:rPr>
          <w:rFonts w:cs="方正仿宋_GBK" w:hint="eastAsia"/>
          <w:kern w:val="0"/>
        </w:rPr>
        <w:t>工单平台，</w:t>
      </w:r>
      <w:r>
        <w:rPr>
          <w:rFonts w:cs="方正仿宋_GBK" w:hint="eastAsia"/>
        </w:rPr>
        <w:t>全力为企业公众纾难解困</w:t>
      </w:r>
      <w:r>
        <w:rPr>
          <w:rFonts w:cs="方正仿宋_GBK" w:hint="eastAsia"/>
          <w:kern w:val="0"/>
        </w:rPr>
        <w:t>，</w:t>
      </w:r>
      <w:r>
        <w:rPr>
          <w:rFonts w:cs="方正仿宋_GBK" w:hint="eastAsia"/>
        </w:rPr>
        <w:t>年内办理佛山市</w:t>
      </w:r>
      <w:r>
        <w:t>12345</w:t>
      </w:r>
      <w:r>
        <w:rPr>
          <w:rFonts w:cs="方正仿宋_GBK" w:hint="eastAsia"/>
        </w:rPr>
        <w:t>工单</w:t>
      </w:r>
      <w:r>
        <w:t>505</w:t>
      </w:r>
      <w:r>
        <w:rPr>
          <w:rFonts w:cs="方正仿宋_GBK" w:hint="eastAsia"/>
        </w:rPr>
        <w:t>份。四是以需求为导向，积极开展“海关进企业、海关进社区、海关进校园”——“</w:t>
      </w:r>
      <w:r>
        <w:rPr>
          <w:rFonts w:cs="方正仿宋_GBK"/>
        </w:rPr>
        <w:t>三进</w:t>
      </w:r>
      <w:r>
        <w:rPr>
          <w:rFonts w:cs="方正仿宋_GBK" w:hint="eastAsia"/>
        </w:rPr>
        <w:t>”</w:t>
      </w:r>
      <w:r>
        <w:rPr>
          <w:rFonts w:cs="方正仿宋_GBK"/>
        </w:rPr>
        <w:t>品牌活动</w:t>
      </w:r>
      <w:r>
        <w:rPr>
          <w:rFonts w:cs="方正仿宋_GBK" w:hint="eastAsia"/>
        </w:rPr>
        <w:t>，持续擦亮派驻禅城办“曲韵悠扬”志愿服务项目、派驻顺德办“海心护航”公益宣讲志愿服务项目的品牌效应，年内</w:t>
      </w:r>
      <w:r>
        <w:rPr>
          <w:rFonts w:cs="方正仿宋_GBK"/>
        </w:rPr>
        <w:t>关区共</w:t>
      </w:r>
      <w:r>
        <w:rPr>
          <w:rFonts w:cs="方正仿宋_GBK" w:hint="eastAsia"/>
        </w:rPr>
        <w:t>开展“三进”品牌活动</w:t>
      </w:r>
      <w:r>
        <w:t>300</w:t>
      </w:r>
      <w:r>
        <w:rPr>
          <w:rFonts w:cs="方正仿宋_GBK" w:hint="eastAsia"/>
        </w:rPr>
        <w:t>余次，服务企业群众</w:t>
      </w:r>
      <w:r>
        <w:t>3000</w:t>
      </w:r>
      <w:r>
        <w:rPr>
          <w:rFonts w:cs="方正仿宋_GBK" w:hint="eastAsia"/>
        </w:rPr>
        <w:t>人</w:t>
      </w:r>
      <w:r>
        <w:t>/</w:t>
      </w:r>
      <w:r>
        <w:rPr>
          <w:rFonts w:cs="方正仿宋_GBK" w:hint="eastAsia"/>
        </w:rPr>
        <w:t>家次。</w:t>
      </w:r>
    </w:p>
    <w:p>
      <w:pPr>
        <w:pStyle w:val="18"/>
        <w:adjustRightInd w:val="0"/>
        <w:snapToGrid w:val="0"/>
        <w:ind w:firstLineChars="200" w:firstLine="640"/>
        <w:rPr>
          <w:rFonts w:ascii="方正楷体_GBK" w:eastAsia="方正楷体_GBK" w:cs="Arial"/>
          <w:b/>
          <w:bCs/>
          <w:spacing w:val="0"/>
        </w:rPr>
      </w:pPr>
      <w:r>
        <w:rPr>
          <w:rFonts w:ascii="方正楷体_GBK" w:eastAsia="方正楷体_GBK" w:cs="方正楷体_GBK" w:hint="eastAsia"/>
          <w:b/>
          <w:bCs/>
          <w:spacing w:val="0"/>
        </w:rPr>
        <w:t>（五）监督保障情况。</w:t>
      </w:r>
    </w:p>
    <w:p>
      <w:pPr>
        <w:spacing w:line="560" w:lineRule="exact"/>
        <w:ind w:firstLineChars="200" w:firstLine="640"/>
        <w:rPr>
          <w:rFonts w:ascii="方正楷体_GBK" w:eastAsia="方正楷体_GBK" w:cs="Arial"/>
          <w:b/>
          <w:bCs/>
        </w:rPr>
      </w:pPr>
      <w:r>
        <w:rPr>
          <w:rFonts w:cs="方正仿宋_GBK" w:hint="eastAsia"/>
        </w:rPr>
        <w:t>通过设置举报意见箱、举行“关长接待日”、聘请特约监督员、召开关企座谈会等形式，主动接受社会监督。</w:t>
      </w:r>
      <w:r>
        <w:rPr>
          <w:rStyle w:val="28"/>
          <w:rFonts w:cs="方正仿宋_GBK" w:hint="eastAsia"/>
          <w:color w:val="000000"/>
        </w:rPr>
        <w:t>全面检查各现场公开载体，完善公开栏、电子屏等设置，加大日常监督检查力度，杜绝出现应公开未公开、公开不规范、超期公开等问题。</w:t>
      </w:r>
    </w:p>
    <w:p>
      <w:pPr>
        <w:pStyle w:val="25"/>
        <w:spacing w:line="560" w:lineRule="exact"/>
        <w:ind w:firstLineChars="200" w:firstLine="640"/>
        <w:rPr>
          <w:rFonts w:ascii="方正黑体_GBK" w:eastAsia="方正黑体_GBK" w:cs="Arial"/>
          <w:shd w:val="clear" w:color="auto" w:fill="FFFFFF"/>
        </w:rPr>
      </w:pPr>
      <w:r>
        <w:rPr>
          <w:rFonts w:ascii="方正黑体_GBK" w:eastAsia="方正黑体_GBK" w:cs="方正黑体_GBK" w:hint="eastAsia"/>
          <w:kern w:val="0"/>
          <w:sz w:val="32"/>
          <w:szCs w:val="32"/>
          <w:shd w:val="clear" w:color="auto" w:fill="FFFFFF"/>
        </w:rPr>
        <w:t>二、主动公开政府信息情况</w:t>
      </w:r>
    </w:p>
    <w:tbl>
      <w:tblPr>
        <w:jc w:val="center"/>
        <w:tblW w:w="900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本年</w:t>
            </w:r>
            <w:r>
              <w:rPr>
                <w:rFonts w:cs="宋体" w:hint="eastAsia"/>
                <w:kern w:val="0"/>
                <w:sz w:val="24"/>
                <w:szCs w:val="24"/>
              </w:rPr>
              <w:t>制发件数</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本年废止件</w:t>
            </w:r>
            <w:r>
              <w:rPr>
                <w:rFonts w:cs="宋体" w:hint="eastAsia"/>
                <w:kern w:val="0"/>
                <w:sz w:val="24"/>
                <w:szCs w:val="24"/>
              </w:rPr>
              <w:t>数</w:t>
            </w:r>
          </w:p>
        </w:tc>
        <w:tc>
          <w:tcPr>
            <w:tcW w:w="2156" w:type="dxa"/>
            <w:tcBorders>
              <w:top w:val="nil"/>
              <w:left w:val="nil"/>
              <w:bottom w:val="single" w:sz="8" w:space="0" w:color="auto"/>
              <w:right w:val="single" w:sz="8" w:space="0" w:color="auto"/>
            </w:tcBorders>
            <w:vAlign w:val="center"/>
          </w:tcPr>
          <w:p>
            <w:pPr>
              <w:pStyle w:val="16"/>
              <w:widowControl/>
              <w:jc w:val="center"/>
              <w:rPr>
                <w:rFonts w:cs="Arial"/>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pPr>
              <w:pStyle w:val="19"/>
              <w:widowControl/>
              <w:adjustRightInd w:val="0"/>
              <w:snapToGrid w:val="0"/>
              <w:spacing w:line="260" w:lineRule="exact"/>
              <w:jc w:val="center"/>
              <w:rPr>
                <w:rFonts w:cs="Arial"/>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22"/>
              <w:jc w:val="center"/>
              <w:rPr>
                <w:rFonts w:eastAsia="方正仿宋_GBK"/>
                <w:sz w:val="24"/>
                <w:szCs w:val="24"/>
              </w:rPr>
            </w:pPr>
            <w:r>
              <w:rPr>
                <w:rFonts w:eastAsia="方正仿宋_GBK"/>
                <w:sz w:val="24"/>
                <w:szCs w:val="24"/>
              </w:rPr>
              <w:t>28</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pPr>
              <w:pStyle w:val="20"/>
              <w:widowControl/>
              <w:adjustRightInd w:val="0"/>
              <w:snapToGrid w:val="0"/>
              <w:spacing w:line="260" w:lineRule="exact"/>
              <w:jc w:val="center"/>
              <w:rPr>
                <w:rFonts w:cs="Arial"/>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cs="Arial"/>
                <w:sz w:val="24"/>
                <w:szCs w:val="24"/>
              </w:rPr>
            </w:pPr>
            <w:r>
              <w:rPr>
                <w:rFonts w:eastAsia="方正仿宋_GBK"/>
                <w:sz w:val="24"/>
                <w:szCs w:val="24"/>
              </w:rPr>
              <w:t>1113</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23"/>
              <w:jc w:val="center"/>
              <w:rPr>
                <w:rFonts w:eastAsia="方正仿宋_GBK" w:cs="Arial"/>
                <w:sz w:val="24"/>
                <w:szCs w:val="24"/>
              </w:rPr>
            </w:pPr>
            <w:r>
              <w:rPr>
                <w:rFonts w:eastAsia="方正仿宋_GBK"/>
                <w:sz w:val="24"/>
                <w:szCs w:val="24"/>
              </w:rPr>
              <w:t>306</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pPr>
              <w:pStyle w:val="21"/>
              <w:widowControl/>
              <w:adjustRightInd w:val="0"/>
              <w:snapToGrid w:val="0"/>
              <w:spacing w:line="260" w:lineRule="exact"/>
              <w:jc w:val="center"/>
              <w:rPr>
                <w:rFonts w:cs="Arial"/>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adjustRightInd w:val="0"/>
              <w:snapToGrid w:val="0"/>
              <w:spacing w:line="260" w:lineRule="exact"/>
              <w:jc w:val="center"/>
              <w:rPr>
                <w:rFonts w:cs="Arial"/>
              </w:rP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bl>
    <w:p>
      <w:pPr>
        <w:pStyle w:val="15"/>
        <w:widowControl/>
        <w:shd w:val="clear" w:color="auto" w:fill="FFFFFF"/>
        <w:adjustRightInd w:val="0"/>
        <w:snapToGrid w:val="0"/>
        <w:spacing w:afterLines="50" w:after="156" w:afterAutospacing="0" w:line="560" w:lineRule="exact"/>
        <w:ind w:firstLineChars="200" w:firstLine="640"/>
        <w:jc w:val="both"/>
        <w:rPr>
          <w:rFonts w:ascii="方正黑体_GBK" w:eastAsia="方正黑体_GBK" w:cs="Arial"/>
          <w:sz w:val="32"/>
          <w:szCs w:val="32"/>
          <w:shd w:val="clear" w:color="auto" w:fill="FFFFFF"/>
        </w:rPr>
      </w:pPr>
      <w:r>
        <w:rPr>
          <w:rFonts w:ascii="方正黑体_GBK" w:eastAsia="方正黑体_GBK" w:cs="方正黑体_GBK" w:hint="eastAsia"/>
          <w:sz w:val="32"/>
          <w:szCs w:val="32"/>
          <w:shd w:val="clear" w:color="auto" w:fill="FFFFFF"/>
        </w:rPr>
        <w:t>三、收到和处理政府信息公开申请情况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申请人情况</w:t>
            </w:r>
          </w:p>
        </w:tc>
      </w:tr>
      <w:tr>
        <w:trPr>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635"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总计</w:t>
            </w:r>
          </w:p>
        </w:tc>
      </w:tr>
      <w:tr>
        <w:trPr>
          <w:trHeight w:val="649"/>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4769" w:type="dxa"/>
            <w:vMerge/>
            <w:tcBorders>
              <w:top w:val="nil"/>
              <w:left w:val="nil"/>
              <w:bottom w:val="single" w:sz="8" w:space="0" w:color="auto"/>
              <w:right w:val="single" w:sz="8" w:space="0" w:color="auto"/>
            </w:tcBorders>
            <w:vAlign w:val="center"/>
          </w:tcPr>
          <w:p/>
        </w:tc>
        <w:tc>
          <w:tcPr>
            <w:tcW w:w="67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rP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vAlign w:val="center"/>
          </w:tcP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16"/>
              <w:widowControl/>
              <w:jc w:val="center"/>
              <w:rPr>
                <w:rFonts w:ascii="宋体" w:cs="宋体" w:hint="eastAsia"/>
                <w:kern w:val="0"/>
                <w:sz w:val="20"/>
                <w:szCs w:val="20"/>
              </w:rPr>
            </w:pPr>
            <w:bookmarkStart w:id="2" w:name="_GoBack"/>
            <w:bookmarkEnd w:id="2"/>
            <w:r>
              <w:rPr>
                <w:rFonts w:ascii="宋体" w:cs="宋体" w:hint="eastAsia"/>
                <w:kern w:val="0"/>
                <w:sz w:val="20"/>
                <w:szCs w:val="20"/>
              </w:rPr>
              <w:t>一、本年新收政府信息公开申请数量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10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10</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16"/>
              <w:widowControl/>
              <w:jc w:val="center"/>
              <w:rPr>
                <w:rFonts w:ascii="宋体" w:cs="宋体" w:hint="eastAsia"/>
                <w:kern w:val="0"/>
                <w:sz w:val="20"/>
                <w:szCs w:val="20"/>
              </w:rPr>
            </w:pPr>
            <w:r>
              <w:rPr>
                <w:rFonts w:ascii="宋体" w:cs="宋体" w:hint="eastAsia"/>
                <w:kern w:val="0"/>
                <w:sz w:val="20"/>
                <w:szCs w:val="20"/>
              </w:rPr>
              <w:t>二、上年结转政府信息公开申请数量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jc w:val="left"/>
              <w:rPr>
                <w:rFonts w:cs="Arial"/>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jc w:val="left"/>
              <w:rPr>
                <w:rFonts w:cs="Arial"/>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3</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rPr>
          <w:trHeight w:val="810"/>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tcMar>
              <w:left w:w="108" w:type="dxa"/>
              <w:right w:w="108" w:type="dxa"/>
            </w:tcMar>
          </w:tcPr>
          <w:p>
            <w:pPr>
              <w:pStyle w:val="16"/>
              <w:widowControl/>
              <w:rPr>
                <w:rFonts w:ascii="楷体" w:eastAsia="楷体" w:cs="Arial"/>
                <w:kern w:val="0"/>
                <w:sz w:val="24"/>
                <w:szCs w:val="24"/>
              </w:rPr>
            </w:pPr>
            <w:r>
              <w:rPr>
                <w:rFonts w:ascii="楷体" w:eastAsia="楷体" w:cs="楷体"/>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2</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rPr>
                <w:rFonts w:ascii="楷体" w:eastAsia="楷体" w:cs="Arial"/>
                <w:kern w:val="0"/>
                <w:sz w:val="24"/>
                <w:szCs w:val="24"/>
              </w:rPr>
            </w:pPr>
            <w:r>
              <w:rPr>
                <w:rFonts w:ascii="楷体" w:eastAsia="楷体" w:cs="楷体"/>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rPr>
                <w:rFonts w:ascii="楷体" w:eastAsia="楷体" w:cs="Arial"/>
                <w:kern w:val="0"/>
                <w:sz w:val="24"/>
                <w:szCs w:val="24"/>
              </w:rPr>
            </w:pPr>
            <w:r>
              <w:rPr>
                <w:rFonts w:ascii="楷体" w:eastAsia="楷体" w:cs="楷体"/>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rPr>
                <w:rFonts w:ascii="楷体" w:eastAsia="楷体" w:cs="Arial"/>
                <w:kern w:val="0"/>
                <w:sz w:val="24"/>
                <w:szCs w:val="24"/>
              </w:rPr>
            </w:pPr>
            <w:r>
              <w:rPr>
                <w:rFonts w:ascii="楷体" w:eastAsia="楷体" w:cs="楷体"/>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5</w:t>
            </w:r>
          </w:p>
        </w:tc>
        <w:tc>
          <w:tcPr>
            <w:tcW w:w="67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pPr>
              <w:pStyle w:val="16"/>
              <w:jc w:val="center"/>
              <w:rPr>
                <w:rFonts w:eastAsia="方正仿宋_GBK"/>
                <w:sz w:val="24"/>
                <w:szCs w:val="24"/>
              </w:rPr>
            </w:pPr>
            <w:r>
              <w:rPr>
                <w:rFonts w:eastAsia="方正仿宋_GBK"/>
                <w:sz w:val="24"/>
                <w:szCs w:val="24"/>
              </w:rPr>
              <w:t>5</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rPr>
                <w:rFonts w:cs="Arial"/>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10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10</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jc w:val="left"/>
              <w:rPr>
                <w:rFonts w:cs="Arial"/>
              </w:rPr>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jc w:val="center"/>
              <w:rPr>
                <w:rFonts w:eastAsia="方正仿宋_GBK"/>
                <w:sz w:val="24"/>
                <w:szCs w:val="24"/>
              </w:rPr>
            </w:pPr>
            <w:r>
              <w:rPr>
                <w:rFonts w:eastAsia="方正仿宋_GBK"/>
                <w:sz w:val="24"/>
                <w:szCs w:val="24"/>
              </w:rPr>
              <w:t>0</w:t>
            </w:r>
          </w:p>
        </w:tc>
      </w:tr>
    </w:tbl>
    <w:p>
      <w:pPr>
        <w:pStyle w:val="15"/>
        <w:widowControl/>
        <w:shd w:val="clear" w:color="auto" w:fill="FFFFFF"/>
        <w:spacing w:beforeLines="50" w:before="156" w:beforeAutospacing="0" w:after="120" w:afterAutospacing="0"/>
        <w:ind w:firstLineChars="200" w:firstLine="640"/>
        <w:jc w:val="both"/>
        <w:rPr>
          <w:rFonts w:ascii="宋体" w:cs="Arial"/>
        </w:rPr>
      </w:pPr>
      <w:r>
        <w:rPr>
          <w:rFonts w:ascii="方正黑体_GBK" w:eastAsia="方正黑体_GBK" w:cs="方正黑体_GBK" w:hint="eastAsia"/>
          <w:sz w:val="32"/>
          <w:szCs w:val="32"/>
          <w:shd w:val="clear" w:color="auto" w:fill="FFFFFF"/>
        </w:rPr>
        <w:t>四、</w:t>
      </w:r>
      <w:bookmarkStart w:id="3" w:name="_Hlk156211714"/>
      <w:r>
        <w:rPr>
          <w:rFonts w:ascii="方正黑体_GBK" w:eastAsia="方正黑体_GBK" w:cs="方正黑体_GBK" w:hint="eastAsia"/>
          <w:sz w:val="32"/>
          <w:szCs w:val="32"/>
          <w:shd w:val="clear" w:color="auto" w:fill="FFFFFF"/>
        </w:rPr>
        <w:t>政府信息公开行政复议、行政诉讼情况</w:t>
      </w:r>
      <w:bookmarkEnd w:id="3"/>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rPr>
          <w:cantSplit/>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行政诉讼</w:t>
            </w:r>
          </w:p>
        </w:tc>
      </w:tr>
      <w:tr>
        <w:trPr>
          <w:cantSplit/>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复议后起诉</w:t>
            </w:r>
          </w:p>
        </w:tc>
      </w:tr>
      <w:tr>
        <w:trPr>
          <w:cantSplit/>
        </w:trPr>
        <w:tc>
          <w:tcPr>
            <w:tcW w:w="3074" w:type="dxa"/>
            <w:vMerge/>
            <w:tcBorders>
              <w:top w:val="nil"/>
              <w:left w:val="single" w:sz="8" w:space="0" w:color="auto"/>
              <w:bottom w:val="single" w:sz="8" w:space="0" w:color="auto"/>
              <w:right w:val="single" w:sz="8" w:space="0" w:color="auto"/>
            </w:tcBorders>
            <w:vAlign w:val="center"/>
          </w:tcPr>
          <w:p/>
        </w:tc>
        <w:tc>
          <w:tcPr>
            <w:tcW w:w="604" w:type="dxa"/>
            <w:vMerge/>
            <w:tcBorders>
              <w:top w:val="nil"/>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58" w:type="dxa"/>
            <w:vMerge/>
            <w:tcBorders>
              <w:top w:val="single" w:sz="8" w:space="0" w:color="auto"/>
              <w:left w:val="nil"/>
              <w:bottom w:val="single" w:sz="8" w:space="0" w:color="auto"/>
              <w:right w:val="single" w:sz="8" w:space="0" w:color="auto"/>
            </w:tcBorders>
            <w:vAlign w:val="center"/>
          </w:tcPr>
          <w:p/>
        </w:tc>
        <w:tc>
          <w:tcPr>
            <w:tcW w:w="550"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jc w:val="center"/>
              <w:rPr>
                <w:rFonts w:cs="Arial"/>
                <w:sz w:val="24"/>
                <w:szCs w:val="24"/>
              </w:rPr>
            </w:pPr>
            <w:r>
              <w:rPr>
                <w:rFonts w:ascii="宋体" w:cs="宋体" w:hint="eastAsia"/>
                <w:kern w:val="0"/>
                <w:sz w:val="24"/>
                <w:szCs w:val="24"/>
              </w:rPr>
              <w:t>总计</w:t>
            </w:r>
          </w:p>
        </w:tc>
      </w:tr>
      <w:tr>
        <w:trPr>
          <w:cantSplit/>
          <w:trHeight w:val="862"/>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58"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550"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sz w:val="24"/>
                <w:szCs w:val="24"/>
              </w:rPr>
            </w:pPr>
            <w:r>
              <w:rPr>
                <w:sz w:val="24"/>
                <w:szCs w:val="24"/>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kern w:val="0"/>
                <w:sz w:val="24"/>
                <w:szCs w:val="24"/>
              </w:rPr>
            </w:pPr>
            <w:r>
              <w:rPr>
                <w:kern w:val="0"/>
                <w:sz w:val="24"/>
                <w:szCs w:val="24"/>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16"/>
              <w:widowControl/>
              <w:jc w:val="center"/>
              <w:rPr>
                <w:kern w:val="0"/>
                <w:sz w:val="24"/>
                <w:szCs w:val="24"/>
              </w:rPr>
            </w:pPr>
            <w:r>
              <w:rPr>
                <w:kern w:val="0"/>
                <w:sz w:val="24"/>
                <w:szCs w:val="24"/>
              </w:rPr>
              <w:t>0</w:t>
            </w:r>
          </w:p>
        </w:tc>
      </w:tr>
    </w:tbl>
    <w:p>
      <w:pPr>
        <w:pStyle w:val="15"/>
        <w:widowControl/>
        <w:shd w:val="clear" w:color="auto" w:fill="FFFFFF"/>
        <w:spacing w:before="0" w:beforeAutospacing="0" w:after="0" w:afterAutospacing="0" w:line="560" w:lineRule="exact"/>
        <w:ind w:firstLineChars="200" w:firstLine="640"/>
        <w:jc w:val="both"/>
        <w:rPr>
          <w:rFonts w:ascii="方正黑体_GBK" w:eastAsia="方正黑体_GBK" w:cs="Arial"/>
          <w:sz w:val="32"/>
          <w:szCs w:val="32"/>
          <w:shd w:val="clear" w:color="auto" w:fill="FFFFFF"/>
        </w:rPr>
      </w:pPr>
      <w:r>
        <w:rPr>
          <w:rFonts w:ascii="方正黑体_GBK" w:eastAsia="方正黑体_GBK" w:cs="方正黑体_GBK" w:hint="eastAsia"/>
          <w:sz w:val="32"/>
          <w:szCs w:val="32"/>
          <w:shd w:val="clear" w:color="auto" w:fill="FFFFFF"/>
        </w:rPr>
        <w:t>五、存在的主要问题及改进情况</w:t>
      </w:r>
    </w:p>
    <w:p>
      <w:pPr>
        <w:pStyle w:val="18"/>
        <w:adjustRightInd w:val="0"/>
        <w:snapToGrid w:val="0"/>
        <w:ind w:firstLineChars="200" w:firstLine="624"/>
        <w:rPr>
          <w:rFonts w:eastAsia="方正楷体_GBK" w:cs="Arial"/>
          <w:b/>
          <w:bCs/>
        </w:rPr>
      </w:pPr>
      <w:r>
        <w:rPr>
          <w:rFonts w:eastAsia="方正楷体_GBK" w:cs="方正楷体_GBK" w:hint="eastAsia"/>
          <w:b/>
          <w:bCs/>
        </w:rPr>
        <w:t>（一）</w:t>
      </w:r>
      <w:r>
        <w:rPr>
          <w:rFonts w:eastAsia="方正楷体_GBK"/>
          <w:b/>
          <w:bCs/>
        </w:rPr>
        <w:t>2022</w:t>
      </w:r>
      <w:r>
        <w:rPr>
          <w:rFonts w:eastAsia="方正楷体_GBK" w:cs="方正楷体_GBK" w:hint="eastAsia"/>
          <w:b/>
          <w:bCs/>
        </w:rPr>
        <w:t>年年报中所提问题整改情况。</w:t>
      </w:r>
    </w:p>
    <w:p>
      <w:pPr>
        <w:pStyle w:val="18"/>
        <w:adjustRightInd w:val="0"/>
        <w:snapToGrid w:val="0"/>
        <w:ind w:firstLineChars="200" w:firstLine="624"/>
        <w:rPr>
          <w:rFonts w:cs="方正仿宋_GBK"/>
        </w:rPr>
      </w:pPr>
      <w:r>
        <w:rPr>
          <w:rFonts w:cs="方正仿宋_GBK"/>
        </w:rPr>
        <w:t>佛山海关2022年年报提出以下问题：</w:t>
      </w:r>
      <w:r>
        <w:rPr>
          <w:rFonts w:cs="方正仿宋_GBK" w:hint="eastAsia"/>
        </w:rPr>
        <w:t>对海关政策、便民利企措施解读工作的全面性和时效性有待进一步提高、政府信息依申请公开办理水平仍有待进一步提高。</w:t>
      </w:r>
    </w:p>
    <w:p>
      <w:pPr>
        <w:pStyle w:val="18"/>
        <w:adjustRightInd w:val="0"/>
        <w:snapToGrid w:val="0"/>
        <w:ind w:firstLineChars="200" w:firstLine="624"/>
        <w:rPr>
          <w:rFonts w:cs="Arial"/>
        </w:rPr>
      </w:pPr>
      <w:r>
        <w:rPr>
          <w:rFonts w:cs="方正仿宋_GBK"/>
        </w:rPr>
        <w:t>上述问题在2023年均已采取措施完成整改</w:t>
      </w:r>
      <w:r>
        <w:rPr>
          <w:rFonts w:cs="方正仿宋_GBK" w:hint="eastAsia"/>
        </w:rPr>
        <w:t>。一是提高海关政策法规解读的针对性和精准性。围绕进境携带物品、预防登革热</w:t>
      </w:r>
      <w:r>
        <w:rPr>
          <w:rFonts w:cs="方正仿宋_GBK"/>
        </w:rPr>
        <w:t>等</w:t>
      </w:r>
      <w:r>
        <w:rPr>
          <w:rFonts w:cs="方正仿宋_GBK" w:hint="eastAsia"/>
        </w:rPr>
        <w:t>主题创作定格动画，以音图视频、生动案例等通俗易懂的形式，积极回应社会关切。二是通过充实、调整政府信息公开</w:t>
      </w:r>
      <w:r>
        <w:rPr>
          <w:rFonts w:cs="方正仿宋_GBK"/>
        </w:rPr>
        <w:t>岗位</w:t>
      </w:r>
      <w:r>
        <w:rPr>
          <w:rFonts w:cs="方正仿宋_GBK" w:hint="eastAsia"/>
        </w:rPr>
        <w:t>人员，派员参加广州海关专项跟班学习，提高政府信息依申请公开办理能力。</w:t>
      </w:r>
    </w:p>
    <w:p>
      <w:pPr>
        <w:pStyle w:val="18"/>
        <w:adjustRightInd w:val="0"/>
        <w:snapToGrid w:val="0"/>
        <w:ind w:firstLineChars="200" w:firstLine="640"/>
        <w:rPr>
          <w:rFonts w:ascii="方正楷体_GBK" w:eastAsia="方正楷体_GBK" w:cs="Arial"/>
          <w:b/>
          <w:bCs/>
          <w:spacing w:val="0"/>
        </w:rPr>
      </w:pPr>
      <w:r>
        <w:rPr>
          <w:rFonts w:ascii="方正楷体_GBK" w:eastAsia="方正楷体_GBK" w:cs="方正楷体_GBK" w:hint="eastAsia"/>
          <w:b/>
          <w:bCs/>
          <w:spacing w:val="0"/>
        </w:rPr>
        <w:t>（二）目前存在问题。</w:t>
      </w:r>
    </w:p>
    <w:p>
      <w:pPr>
        <w:pStyle w:val="18"/>
        <w:adjustRightInd w:val="0"/>
        <w:snapToGrid w:val="0"/>
        <w:ind w:firstLineChars="200" w:firstLine="624"/>
        <w:rPr>
          <w:rFonts w:cs="Arial"/>
        </w:rPr>
      </w:pPr>
      <w:r>
        <w:rPr>
          <w:rFonts w:cs="方正仿宋_GBK" w:hint="eastAsia"/>
        </w:rPr>
        <w:t>部分“双公示”（行政处罚、行政许可）信息存在格式不规范、更新不及时的问题，仍需定期开展自查。</w:t>
      </w:r>
    </w:p>
    <w:p>
      <w:pPr>
        <w:pStyle w:val="15"/>
        <w:widowControl/>
        <w:shd w:val="clear" w:color="auto" w:fill="FFFFFF"/>
        <w:spacing w:before="0" w:beforeAutospacing="0" w:after="0" w:afterAutospacing="0" w:line="560" w:lineRule="exact"/>
        <w:ind w:firstLineChars="200" w:firstLine="640"/>
        <w:jc w:val="both"/>
        <w:rPr>
          <w:rFonts w:ascii="方正黑体_GBK" w:eastAsia="方正黑体_GBK" w:cs="Arial"/>
          <w:sz w:val="32"/>
          <w:szCs w:val="32"/>
          <w:shd w:val="clear" w:color="auto" w:fill="FFFFFF"/>
        </w:rPr>
      </w:pPr>
      <w:r>
        <w:rPr>
          <w:rFonts w:ascii="方正黑体_GBK" w:eastAsia="方正黑体_GBK" w:cs="方正黑体_GBK" w:hint="eastAsia"/>
          <w:sz w:val="32"/>
          <w:szCs w:val="32"/>
          <w:shd w:val="clear" w:color="auto" w:fill="FFFFFF"/>
        </w:rPr>
        <w:t>六、其他需要报告的事项</w:t>
      </w:r>
      <w:bookmarkEnd w:id="1"/>
    </w:p>
    <w:p>
      <w:pPr>
        <w:pStyle w:val="24"/>
        <w:tabs>
          <w:tab w:val="center" w:pos="4153"/>
          <w:tab w:val="right" w:pos="8306"/>
        </w:tabs>
        <w:spacing w:line="560" w:lineRule="exact"/>
        <w:ind w:firstLine="629"/>
        <w:jc w:val="both"/>
        <w:rPr>
          <w:rFonts w:cs="Arial"/>
          <w:sz w:val="32"/>
          <w:szCs w:val="32"/>
          <w:shd w:val="clear" w:color="auto" w:fill="FFFFFF"/>
        </w:rPr>
      </w:pPr>
      <w:r>
        <w:rPr>
          <w:sz w:val="32"/>
          <w:szCs w:val="32"/>
          <w:shd w:val="clear" w:color="auto" w:fill="FFFFFF"/>
        </w:rPr>
        <w:t>2023</w:t>
      </w:r>
      <w:r>
        <w:rPr>
          <w:rFonts w:cs="方正仿宋_GBK" w:hint="eastAsia"/>
          <w:sz w:val="32"/>
          <w:szCs w:val="32"/>
          <w:shd w:val="clear" w:color="auto" w:fill="FFFFFF"/>
        </w:rPr>
        <w:t>年，佛山海关案例《海关强化信用赋能助力外贸高质量发展》获评区级“办实事解民忧暖企心”最佳政务服务创新案例。</w:t>
      </w:r>
    </w:p>
    <w:p>
      <w:pPr>
        <w:pStyle w:val="24"/>
        <w:tabs>
          <w:tab w:val="center" w:pos="4153"/>
          <w:tab w:val="right" w:pos="8306"/>
        </w:tabs>
        <w:spacing w:line="560" w:lineRule="exact"/>
        <w:ind w:firstLine="629"/>
        <w:jc w:val="both"/>
        <w:rPr>
          <w:rFonts w:cs="Arial"/>
          <w:sz w:val="32"/>
          <w:szCs w:val="32"/>
          <w:shd w:val="clear" w:color="auto" w:fill="FFFFFF"/>
        </w:rPr>
      </w:pPr>
      <w:r>
        <w:rPr>
          <w:rFonts w:cs="方正仿宋_GBK" w:hint="eastAsia"/>
          <w:sz w:val="32"/>
          <w:szCs w:val="32"/>
          <w:shd w:val="clear" w:color="auto" w:fill="FFFFFF"/>
        </w:rPr>
        <w:t>佛山海关严格按照《国务院办公厅关于印发〈政府信息公开信息处理费管理办法〉的通知》</w:t>
      </w:r>
      <w:r>
        <w:rPr>
          <w:rFonts w:cs="方正仿宋_GBK"/>
          <w:sz w:val="32"/>
          <w:szCs w:val="32"/>
          <w:shd w:val="clear" w:color="auto" w:fill="FFFFFF"/>
        </w:rPr>
        <w:t>，规范</w:t>
      </w:r>
      <w:r>
        <w:rPr>
          <w:rFonts w:cs="方正仿宋_GBK" w:hint="eastAsia"/>
          <w:sz w:val="32"/>
          <w:szCs w:val="32"/>
          <w:shd w:val="clear" w:color="auto" w:fill="FFFFFF"/>
        </w:rPr>
        <w:t>政府信息公开信息处理费收取工作，</w:t>
      </w:r>
      <w:r>
        <w:rPr>
          <w:rFonts w:cs="方正仿宋_GBK"/>
          <w:sz w:val="32"/>
          <w:szCs w:val="32"/>
          <w:shd w:val="clear" w:color="auto" w:fill="FFFFFF"/>
        </w:rPr>
        <w:t>2023</w:t>
      </w:r>
      <w:r>
        <w:rPr>
          <w:rFonts w:cs="方正仿宋_GBK" w:hint="eastAsia"/>
          <w:sz w:val="32"/>
          <w:szCs w:val="32"/>
          <w:shd w:val="clear" w:color="auto" w:fill="FFFFFF"/>
        </w:rPr>
        <w:t>年未收取政府信息公开信息处理费。</w:t>
      </w:r>
    </w:p>
    <w:p>
      <w:pPr>
        <w:rPr>
          <w:rFonts w:cs="Arial"/>
        </w:rPr>
      </w:pPr>
    </w:p>
    <w:sectPr>
      <w:pgSz w:w="11906" w:h="16838"/>
      <w:pgMar w:top="1440" w:right="1701" w:bottom="1440"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6"/>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32"/>
      <w:lang w:val="en-US" w:eastAsia="zh-CN" w:bidi="ar-SA"/>
    </w:rPr>
  </w:style>
  <w:style w:type="character" w:default="1" w:styleId="10">
    <w:name w:val="Default Paragraph Font"/>
  </w:style>
  <w:style w:type="paragraph" w:styleId="15">
    <w:name w:val="Normal (Web)"/>
    <w:basedOn w:val="0"/>
    <w:next w:val="29"/>
    <w:pPr>
      <w:spacing w:before="100" w:beforeAutospacing="1" w:after="100" w:afterAutospacing="1"/>
      <w:jc w:val="left"/>
    </w:pPr>
    <w:rPr>
      <w:rFonts w:eastAsia="宋体"/>
      <w:kern w:val="0"/>
      <w:sz w:val="24"/>
      <w:szCs w:val="24"/>
    </w:rPr>
  </w:style>
  <w:style w:type="paragraph" w:customStyle="1" w:styleId="16">
    <w:name w:val="样式 小三"/>
    <w:next w:val="30"/>
    <w:pPr>
      <w:widowControl w:val="0"/>
      <w:jc w:val="both"/>
    </w:pPr>
    <w:rPr>
      <w:rFonts w:ascii="Times New Roman" w:eastAsia="宋体" w:cs="Times New Roman" w:hAnsi="Times New Roman"/>
      <w:kern w:val="2"/>
      <w:sz w:val="30"/>
      <w:szCs w:val="30"/>
      <w:lang w:val="en-US" w:eastAsia="zh-CN" w:bidi="ar-SA"/>
    </w:rPr>
  </w:style>
  <w:style w:type="paragraph" w:customStyle="1" w:styleId="17">
    <w:name w:val="样式 50 三号"/>
    <w:next w:val="31"/>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18">
    <w:name w:val="样式 8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19">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0">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21">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22">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2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24">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25">
    <w:name w:val="样式 10 磅"/>
    <w:pPr>
      <w:widowControl w:val="0"/>
      <w:jc w:val="both"/>
    </w:pPr>
    <w:rPr>
      <w:rFonts w:ascii="Calibri" w:eastAsia="宋体" w:cs="Calibri" w:hAnsi="Calibri"/>
      <w:kern w:val="2"/>
      <w:sz w:val="21"/>
      <w:szCs w:val="21"/>
      <w:lang w:val="en-US" w:eastAsia="zh-CN" w:bidi="ar-SA"/>
    </w:rPr>
  </w:style>
  <w:style w:type="paragraph" w:customStyle="1" w:styleId="26">
    <w:name w:val="样式 39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27">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character" w:customStyle="1" w:styleId="28">
    <w:name w:val="h-control-text-cont1"/>
    <w:basedOn w:val="10"/>
  </w:style>
  <w:style w:type="paragraph" w:styleId="29">
    <w:name w:val="footer"/>
    <w:basedOn w:val="0"/>
    <w:pPr>
      <w:tabs>
        <w:tab w:val="center" w:pos="4153"/>
        <w:tab w:val="right" w:pos="8306"/>
      </w:tabs>
      <w:snapToGrid w:val="0"/>
      <w:jc w:val="left"/>
    </w:pPr>
    <w:rPr>
      <w:sz w:val="18"/>
      <w:szCs w:val="18"/>
    </w:rPr>
  </w:style>
  <w:style w:type="paragraph" w:styleId="30">
    <w:name w:val="toc 2"/>
    <w:basedOn w:val="0"/>
    <w:autoRedefine/>
    <w:next w:val="0"/>
    <w:pPr>
      <w:ind w:leftChars="200" w:left="200"/>
    </w:pPr>
  </w:style>
  <w:style w:type="paragraph" w:styleId="31">
    <w:name w:val="index 6"/>
    <w:basedOn w:val="0"/>
    <w:autoRedefine/>
    <w:next w:val="0"/>
    <w:pPr>
      <w:ind w:leftChars="1000" w:left="1000"/>
    </w:pPr>
  </w:style>
  <w:style w:type="paragraph" w:customStyle="1" w:styleId="32">
    <w:name w:val="样式 4 小四"/>
    <w:pPr>
      <w:widowControl w:val="0"/>
    </w:pPr>
    <w:rPr>
      <w:rFonts w:ascii="宋体" w:eastAsia="宋体" w:cs="宋体"/>
      <w:kern w:val="2"/>
      <w:sz w:val="24"/>
      <w:szCs w:val="24"/>
      <w:lang w:val="en-US" w:eastAsia="zh-CN" w:bidi="ar-SA"/>
    </w:rPr>
  </w:style>
  <w:style w:type="paragraph" w:styleId="33">
    <w:name w:val="header"/>
    <w:basedOn w:val="0"/>
    <w:pPr>
      <w:tabs>
        <w:tab w:val="center" w:pos="4153"/>
        <w:tab w:val="right" w:pos="8306"/>
      </w:tabs>
      <w:snapToGrid w:val="0"/>
      <w:jc w:val="center"/>
    </w:pPr>
    <w:rPr>
      <w:sz w:val="18"/>
      <w:szCs w:val="18"/>
    </w:rPr>
  </w:style>
  <w:style w:type="paragraph" w:styleId="34">
    <w:name w:val="Balloon Text"/>
    <w:basedOn w:val="0"/>
    <w:rPr>
      <w:sz w:val="18"/>
      <w:szCs w:val="18"/>
    </w:rPr>
  </w:style>
  <w:style w:type="paragraph" w:customStyle="1" w:styleId="35">
    <w:name w:val="样式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36">
    <w:name w:val="样式 1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197</TotalTime>
  <Application>Yozo_Office</Application>
  <Pages>6</Pages>
  <Words>2671</Words>
  <Characters>2797</Characters>
  <Lines>444</Lines>
  <Paragraphs>313</Paragraphs>
  <CharactersWithSpaces>2797</CharactersWithSpaces>
  <Company>hb</Company>
</Properties>
</file>

<file path=docProps/core.xml><?xml version="1.0" encoding="utf-8"?>
<cp:coreProperties xmlns:cp="http://schemas.openxmlformats.org/package/2006/metadata/core-properties" xmlns:dc="http://purl.org/dc/elements/1.1/" xmlns:dcterms="http://purl.org/dc/terms/" xmlns:xsi="http://www.w3.org/2001/XMLSchema-instance">
  <dc:creator>yanlan huang</dc:creator>
  <cp:lastModifiedBy>吕小浩</cp:lastModifiedBy>
  <cp:revision>8</cp:revision>
  <cp:lastPrinted>2024-01-19T08:29:00Z</cp:lastPrinted>
  <dcterms:created xsi:type="dcterms:W3CDTF">2024-01-15T07:59:00Z</dcterms:created>
  <dcterms:modified xsi:type="dcterms:W3CDTF">2024-11-19T07:21:28Z</dcterms:modified>
</cp:coreProperties>
</file>