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17"/>
        <w:shd w:val="clear" w:color="auto" w:fill="auto"/>
        <w:spacing w:line="580" w:lineRule="exact"/>
        <w:jc w:val="center"/>
        <w:rPr>
          <w:rFonts w:ascii="方正黑体_GBK" w:eastAsia="方正黑体_GBK" w:cs="方正小标宋_GBK" w:hint="eastAsia"/>
          <w:szCs w:val="32"/>
          <w:shd w:val="clear" w:color="auto" w:fill="auto"/>
          <w:lang w:bidi="ar-SA"/>
        </w:rPr>
      </w:pPr>
      <w:bookmarkStart w:id="0" w:name="_Hlk25540369"/>
      <w:bookmarkStart w:id="1" w:name="cogw__正文__file"/>
      <w:r>
        <w:rPr>
          <w:rFonts w:ascii="方正小标宋_GBK" w:eastAsia="方正小标宋_GBK" w:cs="方正小标宋_GBK" w:hint="eastAsia"/>
          <w:sz w:val="44"/>
          <w:szCs w:val="44"/>
          <w:shd w:val="clear" w:color="auto" w:fill="auto"/>
          <w:lang w:bidi="ar-SA"/>
        </w:rPr>
        <w:t>从化海关2024年政府信息公开工作年度报告</w:t>
      </w:r>
      <w:bookmarkEnd w:id="0"/>
    </w:p>
    <w:p>
      <w:pPr>
        <w:pStyle w:val="27"/>
        <w:widowControl/>
        <w:shd w:val="clear" w:color="auto" w:fill="auto"/>
        <w:adjustRightInd w:val="0"/>
        <w:snapToGrid w:val="0"/>
        <w:spacing w:beforeAutospacing="0" w:afterAutospacing="0" w:line="560" w:lineRule="exact"/>
        <w:jc w:val="both"/>
        <w:rPr>
          <w:rFonts w:ascii="楷体_GB2312" w:eastAsia="楷体_GB2312" w:cs="楷体_GB2312" w:hint="eastAsia"/>
          <w:bCs/>
          <w:sz w:val="32"/>
          <w:szCs w:val="32"/>
          <w:shd w:val="clear" w:color="auto" w:fill="auto"/>
          <w:lang w:bidi="ar-SA"/>
        </w:rPr>
      </w:pPr>
    </w:p>
    <w:p>
      <w:pPr>
        <w:widowControl/>
        <w:shd w:val="clear" w:color="auto" w:fill="auto"/>
        <w:spacing w:line="560" w:lineRule="exact"/>
        <w:ind w:firstLineChars="200" w:firstLine="640"/>
        <w:rPr>
          <w:rFonts w:hint="eastAsia"/>
          <w:shd w:val="clear" w:color="auto" w:fill="auto"/>
        </w:rPr>
      </w:pPr>
      <w:r>
        <w:rPr>
          <w:rFonts w:hint="eastAsia"/>
          <w:shd w:val="clear" w:color="auto" w:fill="auto"/>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等规定，梳理编制从化海关2024年政府信息公开工作年报。年报中所列数据的统计期限，自2024年1月1日起至2024年12月31日止。如对本年报有疑问或有任何意见、建议，请联系从化海关办公室。地址：广东省广州市从化区街口街关前路1幢，邮编：510900；电话：020-87960035；电子邮箱：conghuahaiguan@customs.gov.cn。</w:t>
      </w:r>
    </w:p>
    <w:p>
      <w:pPr>
        <w:pStyle w:val="27"/>
        <w:widowControl/>
        <w:shd w:val="clear" w:color="auto" w:fill="auto"/>
        <w:adjustRightInd w:val="0"/>
        <w:snapToGrid w:val="0"/>
        <w:spacing w:beforeAutospacing="0" w:afterAutospacing="0" w:line="560" w:lineRule="exact"/>
        <w:ind w:firstLineChars="200" w:firstLine="640"/>
        <w:jc w:val="both"/>
        <w:rPr>
          <w:rFonts w:ascii="方正黑体_GBK" w:eastAsia="方正黑体_GBK" w:cs="楷体_GB2312" w:hint="eastAsia"/>
          <w:bCs/>
          <w:sz w:val="32"/>
          <w:szCs w:val="32"/>
          <w:shd w:val="clear" w:color="auto" w:fill="auto"/>
          <w:lang w:bidi="ar-SA"/>
        </w:rPr>
      </w:pPr>
      <w:r>
        <w:rPr>
          <w:rFonts w:ascii="方正黑体_GBK" w:eastAsia="方正黑体_GBK" w:cs="楷体_GB2312" w:hint="eastAsia"/>
          <w:bCs/>
          <w:sz w:val="32"/>
          <w:szCs w:val="32"/>
          <w:shd w:val="clear" w:color="auto" w:fill="auto"/>
          <w:lang w:bidi="ar-SA"/>
        </w:rPr>
        <w:t>一、总体情况</w:t>
      </w:r>
    </w:p>
    <w:p>
      <w:pPr>
        <w:pStyle w:val="80"/>
        <w:shd w:val="clear" w:color="auto" w:fill="auto"/>
        <w:adjustRightInd w:val="0"/>
        <w:snapToGrid w:val="0"/>
        <w:spacing w:line="560" w:lineRule="exact"/>
        <w:ind w:firstLineChars="200" w:firstLine="640"/>
        <w:rPr>
          <w:rFonts w:cs="方正仿宋_GBK" w:hint="eastAsia"/>
          <w:shd w:val="clear" w:color="auto" w:fill="auto"/>
          <w:lang w:bidi="ar-SA"/>
        </w:rPr>
      </w:pPr>
      <w:r>
        <w:rPr>
          <w:rFonts w:cs="方正仿宋_GBK" w:hint="eastAsia"/>
          <w:shd w:val="clear" w:color="auto" w:fill="auto"/>
          <w:lang w:bidi="ar-SA"/>
        </w:rPr>
        <w:t>2024年，从化海关坚持以习近平新时代中国特色社会主义思想为指导，全面贯彻落实党的</w:t>
      </w:r>
      <w:r>
        <w:rPr>
          <w:rFonts w:cs="方正仿宋_GBK"/>
          <w:shd w:val="clear" w:color="auto" w:fill="auto"/>
          <w:lang w:bidi="ar-SA"/>
        </w:rPr>
        <w:t>二十大和</w:t>
      </w:r>
      <w:r>
        <w:rPr>
          <w:rFonts w:cs="方正仿宋_GBK" w:hint="eastAsia"/>
          <w:shd w:val="clear" w:color="auto" w:fill="auto"/>
          <w:lang w:bidi="ar-SA"/>
        </w:rPr>
        <w:t>二十届</w:t>
      </w:r>
      <w:r>
        <w:rPr>
          <w:rFonts w:cs="方正仿宋_GBK"/>
          <w:shd w:val="clear" w:color="auto" w:fill="auto"/>
          <w:lang w:bidi="ar-SA"/>
        </w:rPr>
        <w:t>二中、</w:t>
      </w:r>
      <w:r>
        <w:rPr>
          <w:rFonts w:cs="方正仿宋_GBK" w:hint="eastAsia"/>
          <w:shd w:val="clear" w:color="auto" w:fill="auto"/>
          <w:lang w:bidi="ar-SA"/>
        </w:rPr>
        <w:t>三中全会精神，深入学习贯彻习近平总书记</w:t>
      </w:r>
      <w:r>
        <w:rPr>
          <w:rFonts w:ascii="Times New Roman" w:eastAsia="方正仿宋_GBK" w:hAnsi="Times New Roman"/>
          <w:sz w:val="32"/>
          <w:szCs w:val="32"/>
          <w:shd w:val="clear" w:color="auto" w:fill="auto"/>
        </w:rPr>
        <w:t>重要指示批示和</w:t>
      </w:r>
      <w:r>
        <w:rPr>
          <w:rFonts w:cs="方正仿宋_GBK" w:hint="eastAsia"/>
          <w:shd w:val="clear" w:color="auto" w:fill="auto"/>
          <w:lang w:bidi="ar-SA"/>
        </w:rPr>
        <w:t>给红其拉甫海关全体关员重要回信精神，认真落实</w:t>
      </w:r>
      <w:r>
        <w:rPr>
          <w:rFonts w:cs="方正仿宋_GBK"/>
          <w:shd w:val="clear" w:color="auto" w:fill="auto"/>
          <w:lang w:bidi="ar-SA"/>
        </w:rPr>
        <w:t>新时代</w:t>
      </w:r>
      <w:r>
        <w:rPr>
          <w:rFonts w:cs="方正仿宋_GBK" w:hint="eastAsia"/>
          <w:shd w:val="clear" w:color="auto" w:fill="auto"/>
          <w:lang w:bidi="ar-SA"/>
        </w:rPr>
        <w:t>海关</w:t>
      </w:r>
      <w:r>
        <w:rPr>
          <w:rFonts w:cs="方正仿宋_GBK"/>
          <w:shd w:val="clear" w:color="auto" w:fill="auto"/>
          <w:lang w:bidi="ar-SA"/>
        </w:rPr>
        <w:t>政务公开要求</w:t>
      </w:r>
      <w:r>
        <w:rPr>
          <w:rFonts w:cs="方正仿宋_GBK" w:hint="eastAsia"/>
          <w:shd w:val="clear" w:color="auto" w:fill="auto"/>
          <w:lang w:bidi="ar-SA"/>
        </w:rPr>
        <w:t>，完善工作机制、</w:t>
      </w:r>
      <w:r>
        <w:rPr>
          <w:rFonts w:cs="方正仿宋_GBK"/>
          <w:shd w:val="clear" w:color="auto" w:fill="auto"/>
          <w:lang w:bidi="ar-SA"/>
        </w:rPr>
        <w:t>优化</w:t>
      </w:r>
      <w:r>
        <w:rPr>
          <w:rFonts w:cs="方正仿宋_GBK" w:hint="eastAsia"/>
          <w:shd w:val="clear" w:color="auto" w:fill="auto"/>
          <w:lang w:bidi="ar-SA"/>
        </w:rPr>
        <w:t>工作</w:t>
      </w:r>
      <w:r>
        <w:rPr>
          <w:rFonts w:cs="方正仿宋_GBK"/>
          <w:shd w:val="clear" w:color="auto" w:fill="auto"/>
          <w:lang w:bidi="ar-SA"/>
        </w:rPr>
        <w:t>模式</w:t>
      </w:r>
      <w:r>
        <w:rPr>
          <w:rFonts w:cs="方正仿宋_GBK" w:hint="eastAsia"/>
          <w:shd w:val="clear" w:color="auto" w:fill="auto"/>
          <w:lang w:bidi="ar-SA"/>
        </w:rPr>
        <w:t>、提高工作质量，</w:t>
      </w:r>
      <w:r>
        <w:rPr>
          <w:rFonts w:cs="方正仿宋_GBK"/>
          <w:shd w:val="clear" w:color="auto" w:fill="auto"/>
          <w:lang w:bidi="ar-SA"/>
        </w:rPr>
        <w:t>推动政府信息公开及</w:t>
      </w:r>
      <w:r>
        <w:rPr>
          <w:rFonts w:cs="方正仿宋_GBK" w:hint="eastAsia"/>
          <w:shd w:val="clear" w:color="auto" w:fill="auto"/>
          <w:lang w:bidi="ar-SA"/>
        </w:rPr>
        <w:t>政务公开</w:t>
      </w:r>
      <w:r>
        <w:rPr>
          <w:rFonts w:cs="方正仿宋_GBK"/>
          <w:shd w:val="clear" w:color="auto" w:fill="auto"/>
          <w:lang w:bidi="ar-SA"/>
        </w:rPr>
        <w:t>工作不断提质增效。现将工作情况报告如下：</w:t>
      </w:r>
    </w:p>
    <w:p>
      <w:pPr>
        <w:shd w:val="clear" w:color="auto" w:fill="auto"/>
        <w:autoSpaceDN w:val="0"/>
        <w:spacing w:line="560" w:lineRule="exact"/>
        <w:ind w:left="630"/>
        <w:rPr>
          <w:rFonts w:eastAsia="方正楷体_GBK"/>
          <w:b/>
          <w:bCs/>
          <w:szCs w:val="32"/>
          <w:shd w:val="clear" w:color="auto" w:fill="auto"/>
        </w:rPr>
      </w:pPr>
      <w:r>
        <w:rPr>
          <w:rFonts w:eastAsia="方正楷体_GBK"/>
          <w:b/>
          <w:bCs/>
          <w:szCs w:val="32"/>
          <w:shd w:val="clear" w:color="auto" w:fill="auto"/>
        </w:rPr>
        <w:t>（一）</w:t>
      </w:r>
      <w:r>
        <w:rPr>
          <w:rFonts w:eastAsia="方正楷体_GBK" w:hint="eastAsia"/>
          <w:b/>
          <w:bCs/>
          <w:szCs w:val="32"/>
          <w:shd w:val="clear" w:color="auto" w:fill="auto"/>
        </w:rPr>
        <w:t>主动公开</w:t>
      </w:r>
      <w:r>
        <w:rPr>
          <w:rFonts w:eastAsia="方正楷体_GBK"/>
          <w:b/>
          <w:bCs/>
          <w:szCs w:val="32"/>
          <w:shd w:val="clear" w:color="auto" w:fill="auto"/>
        </w:rPr>
        <w:t>方面。</w:t>
      </w:r>
    </w:p>
    <w:p>
      <w:pPr>
        <w:shd w:val="clear" w:color="auto" w:fill="auto"/>
        <w:autoSpaceDN w:val="0"/>
        <w:spacing w:line="560" w:lineRule="exact"/>
        <w:ind w:firstLine="629"/>
        <w:rPr>
          <w:rFonts w:hint="eastAsia"/>
          <w:szCs w:val="32"/>
          <w:shd w:val="clear" w:color="auto" w:fill="auto"/>
        </w:rPr>
      </w:pPr>
      <w:r>
        <w:rPr>
          <w:rFonts w:hint="eastAsia"/>
          <w:szCs w:val="32"/>
          <w:shd w:val="clear" w:color="auto" w:fill="auto"/>
        </w:rPr>
        <w:t>结合工作实际，</w:t>
      </w:r>
      <w:r>
        <w:rPr>
          <w:szCs w:val="32"/>
          <w:shd w:val="clear" w:color="auto" w:fill="auto"/>
        </w:rPr>
        <w:t>锚定海关领域</w:t>
      </w:r>
      <w:r>
        <w:rPr>
          <w:rFonts w:hint="eastAsia"/>
          <w:szCs w:val="32"/>
          <w:shd w:val="clear" w:color="auto" w:fill="auto"/>
        </w:rPr>
        <w:t>基层政务公开标准化规范化</w:t>
      </w:r>
      <w:r>
        <w:rPr>
          <w:szCs w:val="32"/>
          <w:shd w:val="clear" w:color="auto" w:fill="auto"/>
        </w:rPr>
        <w:t>建设目标</w:t>
      </w:r>
      <w:r>
        <w:rPr>
          <w:rFonts w:hint="eastAsia"/>
          <w:szCs w:val="32"/>
          <w:shd w:val="clear" w:color="auto" w:fill="auto"/>
        </w:rPr>
        <w:t>，及时梳理更新</w:t>
      </w:r>
      <w:r>
        <w:rPr>
          <w:szCs w:val="32"/>
          <w:shd w:val="clear" w:color="auto" w:fill="auto"/>
        </w:rPr>
        <w:t>基层</w:t>
      </w:r>
      <w:r>
        <w:rPr>
          <w:rFonts w:hint="eastAsia"/>
          <w:szCs w:val="32"/>
          <w:shd w:val="clear" w:color="auto" w:fill="auto"/>
        </w:rPr>
        <w:t>政务公开专区软硬件配套设施，依托广州海关门户网站“基层政务公开专栏”公开</w:t>
      </w:r>
      <w:r>
        <w:rPr>
          <w:szCs w:val="32"/>
          <w:shd w:val="clear" w:color="auto" w:fill="auto"/>
        </w:rPr>
        <w:t>并动态维护专区</w:t>
      </w:r>
      <w:r>
        <w:rPr>
          <w:rFonts w:hint="eastAsia"/>
          <w:szCs w:val="32"/>
          <w:shd w:val="clear" w:color="auto" w:fill="auto"/>
        </w:rPr>
        <w:t>实景图和案例内容。</w:t>
      </w:r>
      <w:r>
        <w:rPr>
          <w:szCs w:val="32"/>
          <w:shd w:val="clear" w:color="auto" w:fill="auto"/>
        </w:rPr>
        <w:t>年内，通过</w:t>
      </w:r>
      <w:r>
        <w:rPr>
          <w:rFonts w:hint="eastAsia"/>
          <w:szCs w:val="32"/>
          <w:shd w:val="clear" w:color="auto" w:fill="auto"/>
        </w:rPr>
        <w:t>广州海关门户网站主动公开行政许可、财务预决算、监管作业场所（场地）巡查</w:t>
      </w:r>
      <w:r>
        <w:rPr>
          <w:szCs w:val="32"/>
          <w:shd w:val="clear" w:color="auto" w:fill="auto"/>
        </w:rPr>
        <w:t>、</w:t>
      </w:r>
      <w:r>
        <w:rPr>
          <w:rFonts w:hint="eastAsia"/>
          <w:szCs w:val="32"/>
          <w:shd w:val="clear" w:color="auto" w:fill="auto"/>
        </w:rPr>
        <w:t>“</w:t>
      </w:r>
      <w:r>
        <w:rPr>
          <w:rFonts w:ascii="Times New Roman" w:eastAsia="方正仿宋_GBK" w:hAnsi="Times New Roman"/>
          <w:sz w:val="32"/>
          <w:szCs w:val="32"/>
          <w:shd w:val="clear" w:color="auto" w:fill="auto"/>
          <w:lang w:val="en-US" w:eastAsia="zh-CN"/>
        </w:rPr>
        <w:t>关长接待日</w:t>
      </w:r>
      <w:r>
        <w:rPr>
          <w:rFonts w:ascii="Times New Roman" w:eastAsia="方正仿宋_GBK" w:hAnsi="Times New Roman" w:hint="eastAsia"/>
          <w:sz w:val="32"/>
          <w:szCs w:val="32"/>
          <w:shd w:val="clear" w:color="auto" w:fill="auto"/>
          <w:lang w:val="en-US" w:eastAsia="zh-CN"/>
        </w:rPr>
        <w:t>”</w:t>
      </w:r>
      <w:r>
        <w:rPr>
          <w:rFonts w:ascii="Times New Roman" w:eastAsia="方正仿宋_GBK" w:hAnsi="Times New Roman"/>
          <w:sz w:val="32"/>
          <w:szCs w:val="32"/>
          <w:shd w:val="clear" w:color="auto" w:fill="auto"/>
          <w:lang w:val="en-US" w:eastAsia="zh-CN"/>
        </w:rPr>
        <w:t>通知</w:t>
      </w:r>
      <w:r>
        <w:rPr>
          <w:rFonts w:hint="eastAsia"/>
          <w:szCs w:val="32"/>
          <w:shd w:val="clear" w:color="auto" w:fill="auto"/>
        </w:rPr>
        <w:t>等政府信息。</w:t>
      </w:r>
    </w:p>
    <w:p>
      <w:pPr>
        <w:shd w:val="clear" w:color="auto" w:fill="auto"/>
        <w:autoSpaceDN w:val="0"/>
        <w:spacing w:line="560" w:lineRule="exact"/>
        <w:ind w:left="630"/>
        <w:rPr>
          <w:rFonts w:eastAsia="方正楷体_GBK"/>
          <w:b/>
          <w:bCs/>
          <w:szCs w:val="32"/>
          <w:shd w:val="clear" w:color="auto" w:fill="auto"/>
        </w:rPr>
      </w:pPr>
      <w:r>
        <w:rPr>
          <w:rFonts w:eastAsia="方正楷体_GBK"/>
          <w:b/>
          <w:bCs/>
          <w:szCs w:val="32"/>
          <w:shd w:val="clear" w:color="auto" w:fill="auto"/>
        </w:rPr>
        <w:t>（二）</w:t>
      </w:r>
      <w:r>
        <w:rPr>
          <w:rFonts w:eastAsia="方正楷体_GBK" w:hint="eastAsia"/>
          <w:b/>
          <w:bCs/>
          <w:szCs w:val="32"/>
          <w:shd w:val="clear" w:color="auto" w:fill="auto"/>
        </w:rPr>
        <w:t>依申请公开</w:t>
      </w:r>
      <w:r>
        <w:rPr>
          <w:rFonts w:eastAsia="方正楷体_GBK"/>
          <w:b/>
          <w:bCs/>
          <w:szCs w:val="32"/>
          <w:shd w:val="clear" w:color="auto" w:fill="auto"/>
        </w:rPr>
        <w:t>方面。</w:t>
      </w:r>
    </w:p>
    <w:p>
      <w:pPr>
        <w:pStyle w:val="55"/>
        <w:widowControl/>
        <w:shd w:val="clear" w:color="auto" w:fill="auto"/>
        <w:autoSpaceDN w:val="0"/>
        <w:spacing w:line="560" w:lineRule="exact"/>
        <w:ind w:firstLineChars="200" w:firstLine="640"/>
        <w:jc w:val="both"/>
        <w:rPr>
          <w:rFonts w:ascii="Times New Roman" w:eastAsia="方正仿宋_GBK" w:hAnsi="Times New Roman"/>
          <w:sz w:val="32"/>
          <w:szCs w:val="32"/>
          <w:shd w:val="clear" w:color="auto" w:fill="auto"/>
        </w:rPr>
      </w:pPr>
      <w:r>
        <w:rPr>
          <w:rFonts w:ascii="Times New Roman" w:eastAsia="方正仿宋_GBK" w:hAnsi="Times New Roman" w:hint="eastAsia"/>
          <w:sz w:val="32"/>
          <w:szCs w:val="32"/>
          <w:shd w:val="clear" w:color="auto" w:fill="auto"/>
        </w:rPr>
        <w:t>按规范要求做好依申请公开工作，根据《中华人民共和国行政复议法》修订内容，及时</w:t>
      </w:r>
      <w:r>
        <w:rPr>
          <w:rFonts w:ascii="Times New Roman" w:eastAsia="方正仿宋_GBK" w:hAnsi="Times New Roman"/>
          <w:sz w:val="32"/>
          <w:szCs w:val="32"/>
          <w:shd w:val="clear" w:color="auto" w:fill="auto"/>
        </w:rPr>
        <w:t>调整</w:t>
      </w:r>
      <w:r>
        <w:rPr>
          <w:rFonts w:ascii="Times New Roman" w:eastAsia="方正仿宋_GBK" w:hAnsi="Times New Roman" w:hint="eastAsia"/>
          <w:sz w:val="32"/>
          <w:szCs w:val="32"/>
          <w:shd w:val="clear" w:color="auto" w:fill="auto"/>
        </w:rPr>
        <w:t>依申请公开</w:t>
      </w:r>
      <w:r>
        <w:rPr>
          <w:rFonts w:ascii="Times New Roman" w:eastAsia="方正仿宋_GBK" w:hAnsi="Times New Roman"/>
          <w:sz w:val="32"/>
          <w:szCs w:val="32"/>
          <w:shd w:val="clear" w:color="auto" w:fill="auto"/>
        </w:rPr>
        <w:t>相关</w:t>
      </w:r>
      <w:r>
        <w:rPr>
          <w:rFonts w:ascii="Times New Roman" w:eastAsia="方正仿宋_GBK" w:hAnsi="Times New Roman" w:hint="eastAsia"/>
          <w:sz w:val="32"/>
          <w:szCs w:val="32"/>
          <w:shd w:val="clear" w:color="auto" w:fill="auto"/>
        </w:rPr>
        <w:t>要求</w:t>
      </w:r>
      <w:r>
        <w:rPr>
          <w:rFonts w:ascii="Times New Roman" w:eastAsia="方正仿宋_GBK" w:hAnsi="Times New Roman"/>
          <w:sz w:val="32"/>
          <w:szCs w:val="32"/>
          <w:shd w:val="clear" w:color="auto" w:fill="auto"/>
        </w:rPr>
        <w:t>，</w:t>
      </w:r>
      <w:r>
        <w:rPr>
          <w:rFonts w:ascii="Times New Roman" w:eastAsia="方正仿宋_GBK" w:hAnsi="Times New Roman" w:hint="eastAsia"/>
          <w:sz w:val="32"/>
          <w:szCs w:val="32"/>
          <w:shd w:val="clear" w:color="auto" w:fill="auto"/>
        </w:rPr>
        <w:t>梳理</w:t>
      </w:r>
      <w:r>
        <w:rPr>
          <w:rFonts w:ascii="Times New Roman" w:eastAsia="方正仿宋_GBK" w:hAnsi="Times New Roman"/>
          <w:sz w:val="32"/>
          <w:szCs w:val="32"/>
          <w:shd w:val="clear" w:color="auto" w:fill="auto"/>
        </w:rPr>
        <w:t>规范受理、</w:t>
      </w:r>
      <w:r>
        <w:rPr>
          <w:rFonts w:ascii="Times New Roman" w:eastAsia="方正仿宋_GBK" w:hAnsi="Times New Roman" w:hint="eastAsia"/>
          <w:sz w:val="32"/>
          <w:szCs w:val="32"/>
          <w:shd w:val="clear" w:color="auto" w:fill="auto"/>
        </w:rPr>
        <w:t>办理</w:t>
      </w:r>
      <w:r>
        <w:rPr>
          <w:rFonts w:ascii="Times New Roman" w:eastAsia="方正仿宋_GBK" w:hAnsi="Times New Roman"/>
          <w:sz w:val="32"/>
          <w:szCs w:val="32"/>
          <w:shd w:val="clear" w:color="auto" w:fill="auto"/>
        </w:rPr>
        <w:t>等业务流程</w:t>
      </w:r>
      <w:r>
        <w:rPr>
          <w:rFonts w:ascii="Times New Roman" w:eastAsia="方正仿宋_GBK" w:hAnsi="Times New Roman" w:hint="eastAsia"/>
          <w:sz w:val="32"/>
          <w:szCs w:val="32"/>
          <w:shd w:val="clear" w:color="auto" w:fill="auto"/>
        </w:rPr>
        <w:t>，定期查看</w:t>
      </w:r>
      <w:r>
        <w:rPr>
          <w:rFonts w:ascii="Times New Roman" w:eastAsia="方正仿宋_GBK" w:hAnsi="Times New Roman"/>
          <w:sz w:val="32"/>
          <w:szCs w:val="32"/>
          <w:shd w:val="clear" w:color="auto" w:fill="auto"/>
        </w:rPr>
        <w:t>各受理</w:t>
      </w:r>
      <w:r>
        <w:rPr>
          <w:rFonts w:ascii="Times New Roman" w:eastAsia="方正仿宋_GBK" w:hAnsi="Times New Roman" w:hint="eastAsia"/>
          <w:sz w:val="32"/>
          <w:szCs w:val="32"/>
          <w:shd w:val="clear" w:color="auto" w:fill="auto"/>
        </w:rPr>
        <w:t>渠道政府信息公开申请</w:t>
      </w:r>
      <w:r>
        <w:rPr>
          <w:rFonts w:ascii="Times New Roman" w:eastAsia="方正仿宋_GBK" w:hAnsi="Times New Roman"/>
          <w:sz w:val="32"/>
          <w:szCs w:val="32"/>
          <w:shd w:val="clear" w:color="auto" w:fill="auto"/>
        </w:rPr>
        <w:t>情况</w:t>
      </w:r>
      <w:r>
        <w:rPr>
          <w:rFonts w:ascii="Times New Roman" w:eastAsia="方正仿宋_GBK" w:hAnsi="Times New Roman" w:hint="eastAsia"/>
          <w:sz w:val="32"/>
          <w:szCs w:val="32"/>
          <w:shd w:val="clear" w:color="auto" w:fill="auto"/>
        </w:rPr>
        <w:t>。2024年，从化海关未收到政府信息公开申请</w:t>
      </w:r>
      <w:r>
        <w:rPr>
          <w:rFonts w:ascii="Times New Roman" w:eastAsia="方正仿宋_GBK" w:hAnsi="Times New Roman"/>
          <w:sz w:val="32"/>
          <w:szCs w:val="32"/>
          <w:shd w:val="clear" w:color="auto" w:fill="auto"/>
        </w:rPr>
        <w:t>。</w:t>
      </w:r>
    </w:p>
    <w:p>
      <w:pPr>
        <w:shd w:val="clear" w:color="auto" w:fill="auto"/>
        <w:spacing w:line="560" w:lineRule="exact"/>
        <w:ind w:firstLineChars="200" w:firstLine="640"/>
        <w:rPr>
          <w:rFonts w:ascii="方正楷体_GBK" w:eastAsia="方正楷体_GBK" w:cs="方正仿宋_GBK" w:hint="eastAsia"/>
          <w:b/>
          <w:szCs w:val="20"/>
          <w:shd w:val="clear" w:color="auto" w:fill="auto"/>
          <w:lang w:bidi="ar-SA"/>
        </w:rPr>
      </w:pPr>
      <w:r>
        <w:rPr>
          <w:rFonts w:ascii="方正楷体_GBK" w:eastAsia="方正楷体_GBK" w:cs="方正仿宋_GBK" w:hint="eastAsia"/>
          <w:b/>
          <w:szCs w:val="20"/>
          <w:shd w:val="clear" w:color="auto" w:fill="auto"/>
          <w:lang w:bidi="ar-SA"/>
        </w:rPr>
        <w:t>（三）政府信息管理</w:t>
      </w:r>
      <w:r>
        <w:rPr>
          <w:rFonts w:ascii="方正楷体_GBK" w:eastAsia="方正楷体_GBK" w:cs="方正仿宋_GBK"/>
          <w:b/>
          <w:szCs w:val="20"/>
          <w:shd w:val="clear" w:color="auto" w:fill="auto"/>
          <w:lang w:bidi="ar-SA"/>
        </w:rPr>
        <w:t>方面</w:t>
      </w:r>
      <w:r>
        <w:rPr>
          <w:rFonts w:ascii="方正楷体_GBK" w:eastAsia="方正楷体_GBK" w:cs="方正仿宋_GBK" w:hint="eastAsia"/>
          <w:b/>
          <w:szCs w:val="20"/>
          <w:shd w:val="clear" w:color="auto" w:fill="auto"/>
          <w:lang w:bidi="ar-SA"/>
        </w:rPr>
        <w:t>。</w:t>
      </w:r>
    </w:p>
    <w:p>
      <w:pPr>
        <w:pStyle w:val="42"/>
        <w:shd w:val="clear" w:color="auto" w:fill="auto"/>
        <w:adjustRightInd w:val="0"/>
        <w:snapToGrid w:val="0"/>
        <w:spacing w:line="560" w:lineRule="exact"/>
        <w:ind w:firstLineChars="200" w:firstLine="640"/>
        <w:jc w:val="both"/>
        <w:rPr>
          <w:rFonts w:ascii="Times New Roman" w:eastAsia="方正仿宋_GBK" w:hAnsi="Times New Roman"/>
          <w:sz w:val="32"/>
          <w:szCs w:val="32"/>
          <w:shd w:val="clear" w:color="auto" w:fill="auto"/>
        </w:rPr>
      </w:pPr>
      <w:r>
        <w:rPr>
          <w:rFonts w:ascii="Times New Roman" w:eastAsia="方正仿宋_GBK" w:hAnsi="Times New Roman" w:hint="eastAsia"/>
          <w:bCs/>
          <w:sz w:val="32"/>
          <w:szCs w:val="32"/>
          <w:shd w:val="clear" w:color="auto" w:fill="auto"/>
        </w:rPr>
        <w:t>加强岗位人员培训，提升</w:t>
      </w:r>
      <w:r>
        <w:rPr>
          <w:rFonts w:ascii="Times New Roman" w:eastAsia="方正仿宋_GBK" w:hAnsi="Times New Roman" w:hint="eastAsia"/>
          <w:sz w:val="32"/>
          <w:szCs w:val="32"/>
          <w:shd w:val="clear" w:color="auto" w:fill="auto"/>
        </w:rPr>
        <w:t>工作水平，明确三级</w:t>
      </w:r>
      <w:r>
        <w:rPr>
          <w:rFonts w:ascii="Times New Roman" w:eastAsia="方正仿宋_GBK" w:hAnsi="Times New Roman"/>
          <w:sz w:val="32"/>
          <w:szCs w:val="32"/>
          <w:shd w:val="clear" w:color="auto" w:fill="auto"/>
        </w:rPr>
        <w:t>审核</w:t>
      </w:r>
      <w:r>
        <w:rPr>
          <w:rFonts w:ascii="Times New Roman" w:eastAsia="方正仿宋_GBK" w:hAnsi="Times New Roman" w:hint="eastAsia"/>
          <w:sz w:val="32"/>
          <w:szCs w:val="32"/>
          <w:shd w:val="clear" w:color="auto" w:fill="auto"/>
        </w:rPr>
        <w:t>，</w:t>
      </w:r>
      <w:r>
        <w:rPr>
          <w:rFonts w:ascii="Times New Roman" w:eastAsia="方正仿宋_GBK" w:hAnsi="Times New Roman"/>
          <w:sz w:val="32"/>
          <w:szCs w:val="32"/>
          <w:shd w:val="clear" w:color="auto" w:fill="auto"/>
        </w:rPr>
        <w:t>做好相关审查资料存档和管理，</w:t>
      </w:r>
      <w:r>
        <w:rPr>
          <w:rFonts w:ascii="Times New Roman" w:eastAsia="方正仿宋_GBK" w:hAnsi="Times New Roman" w:hint="eastAsia"/>
          <w:sz w:val="32"/>
          <w:szCs w:val="32"/>
          <w:shd w:val="clear" w:color="auto" w:fill="auto"/>
        </w:rPr>
        <w:t>压紧压实政府信息公开主管部门责任，防止信息违规发布。</w:t>
      </w:r>
    </w:p>
    <w:p>
      <w:pPr>
        <w:pStyle w:val="55"/>
        <w:widowControl/>
        <w:shd w:val="clear" w:color="auto" w:fill="auto"/>
        <w:autoSpaceDN w:val="0"/>
        <w:spacing w:line="560" w:lineRule="exact"/>
        <w:ind w:firstLineChars="200" w:firstLine="640"/>
        <w:jc w:val="both"/>
        <w:rPr>
          <w:rFonts w:ascii="Times New Roman" w:eastAsia="方正楷体_GBK" w:hAnsi="Times New Roman"/>
          <w:b/>
          <w:bCs/>
          <w:sz w:val="32"/>
          <w:szCs w:val="32"/>
          <w:shd w:val="clear" w:color="auto" w:fill="auto"/>
        </w:rPr>
      </w:pPr>
      <w:r>
        <w:rPr>
          <w:rFonts w:ascii="Times New Roman" w:eastAsia="方正楷体_GBK" w:hAnsi="Times New Roman"/>
          <w:b/>
          <w:bCs/>
          <w:sz w:val="32"/>
          <w:szCs w:val="32"/>
          <w:shd w:val="clear" w:color="auto" w:fill="auto"/>
        </w:rPr>
        <w:t>（</w:t>
      </w:r>
      <w:r>
        <w:rPr>
          <w:rFonts w:ascii="Times New Roman" w:eastAsia="方正楷体_GBK" w:hAnsi="Times New Roman" w:hint="eastAsia"/>
          <w:b/>
          <w:bCs/>
          <w:sz w:val="32"/>
          <w:szCs w:val="32"/>
          <w:shd w:val="clear" w:color="auto" w:fill="auto"/>
        </w:rPr>
        <w:t>四</w:t>
      </w:r>
      <w:r>
        <w:rPr>
          <w:rFonts w:ascii="Times New Roman" w:eastAsia="方正楷体_GBK" w:hAnsi="Times New Roman"/>
          <w:b/>
          <w:bCs/>
          <w:sz w:val="32"/>
          <w:szCs w:val="32"/>
          <w:shd w:val="clear" w:color="auto" w:fill="auto"/>
        </w:rPr>
        <w:t>）</w:t>
      </w:r>
      <w:r>
        <w:rPr>
          <w:rFonts w:ascii="Times New Roman" w:eastAsia="方正楷体_GBK" w:hAnsi="Times New Roman" w:hint="eastAsia"/>
          <w:b/>
          <w:bCs/>
          <w:sz w:val="32"/>
          <w:szCs w:val="32"/>
          <w:shd w:val="clear" w:color="auto" w:fill="auto"/>
        </w:rPr>
        <w:t>政府信息公开平台建设</w:t>
      </w:r>
      <w:r>
        <w:rPr>
          <w:rFonts w:ascii="Times New Roman" w:eastAsia="方正楷体_GBK" w:hAnsi="Times New Roman"/>
          <w:b/>
          <w:bCs/>
          <w:sz w:val="32"/>
          <w:szCs w:val="32"/>
          <w:shd w:val="clear" w:color="auto" w:fill="auto"/>
        </w:rPr>
        <w:t>方面。</w:t>
      </w:r>
    </w:p>
    <w:p>
      <w:pPr>
        <w:pStyle w:val="55"/>
        <w:widowControl/>
        <w:shd w:val="clear" w:color="auto" w:fill="auto"/>
        <w:autoSpaceDN w:val="0"/>
        <w:spacing w:line="560" w:lineRule="exact"/>
        <w:ind w:firstLineChars="200" w:firstLine="640"/>
        <w:jc w:val="both"/>
        <w:rPr>
          <w:rFonts w:ascii="Times New Roman" w:eastAsia="方正仿宋_GBK" w:hAnsi="Times New Roman" w:hint="eastAsia"/>
          <w:sz w:val="32"/>
          <w:szCs w:val="32"/>
          <w:shd w:val="clear" w:color="auto" w:fill="auto"/>
        </w:rPr>
      </w:pPr>
      <w:r>
        <w:rPr>
          <w:rFonts w:ascii="Times New Roman" w:eastAsia="方正仿宋_GBK" w:hAnsi="Times New Roman" w:hint="eastAsia"/>
          <w:b/>
          <w:bCs/>
          <w:sz w:val="32"/>
          <w:shd w:val="clear" w:color="auto" w:fill="auto"/>
        </w:rPr>
        <w:t>一是</w:t>
      </w:r>
      <w:r>
        <w:rPr>
          <w:rFonts w:ascii="Times New Roman" w:eastAsia="方正仿宋_GBK" w:hAnsi="Times New Roman"/>
          <w:sz w:val="32"/>
          <w:shd w:val="clear" w:color="auto" w:fill="auto"/>
        </w:rPr>
        <w:t>坚持以企业需求为导向，</w:t>
      </w:r>
      <w:r>
        <w:rPr>
          <w:rFonts w:ascii="Times New Roman" w:eastAsia="方正仿宋_GBK" w:hAnsi="Times New Roman" w:hint="eastAsia"/>
          <w:sz w:val="32"/>
          <w:shd w:val="clear" w:color="auto" w:fill="auto"/>
        </w:rPr>
        <w:t>在建设</w:t>
      </w:r>
      <w:r>
        <w:rPr>
          <w:rFonts w:ascii="Times New Roman" w:eastAsia="方正仿宋_GBK" w:hAnsi="Times New Roman"/>
          <w:sz w:val="32"/>
          <w:shd w:val="clear" w:color="auto" w:fill="auto"/>
        </w:rPr>
        <w:t>打造基层</w:t>
      </w:r>
      <w:r>
        <w:rPr>
          <w:rFonts w:ascii="Times New Roman" w:eastAsia="方正仿宋_GBK" w:hAnsi="Times New Roman" w:hint="eastAsia"/>
          <w:sz w:val="32"/>
          <w:shd w:val="clear" w:color="auto" w:fill="auto"/>
        </w:rPr>
        <w:t>政务公开专区基础上，</w:t>
      </w:r>
      <w:r>
        <w:rPr>
          <w:rFonts w:ascii="Times New Roman" w:eastAsia="方正仿宋_GBK" w:hAnsi="Times New Roman"/>
          <w:sz w:val="32"/>
          <w:shd w:val="clear" w:color="auto" w:fill="auto"/>
        </w:rPr>
        <w:t>设置RCEP专窗，</w:t>
      </w:r>
      <w:r>
        <w:rPr>
          <w:rFonts w:ascii="Times New Roman" w:eastAsia="方正仿宋_GBK" w:hAnsi="Times New Roman" w:hint="eastAsia"/>
          <w:sz w:val="32"/>
          <w:shd w:val="clear" w:color="auto" w:fill="auto"/>
        </w:rPr>
        <w:t>完善便民服务区、自助办理区</w:t>
      </w:r>
      <w:r>
        <w:rPr>
          <w:rFonts w:ascii="Times New Roman" w:eastAsia="方正仿宋_GBK" w:hAnsi="Times New Roman"/>
          <w:sz w:val="32"/>
          <w:shd w:val="clear" w:color="auto" w:fill="auto"/>
        </w:rPr>
        <w:t>、休息等候区</w:t>
      </w:r>
      <w:r>
        <w:rPr>
          <w:rFonts w:ascii="Times New Roman" w:eastAsia="方正仿宋_GBK" w:hAnsi="Times New Roman" w:hint="eastAsia"/>
          <w:sz w:val="32"/>
          <w:shd w:val="clear" w:color="auto" w:fill="auto"/>
        </w:rPr>
        <w:t>等设施设备，对标识、资料、功能进行统一管理，并定期</w:t>
      </w:r>
      <w:r>
        <w:rPr>
          <w:rFonts w:ascii="Times New Roman" w:eastAsia="方正仿宋_GBK" w:hAnsi="Times New Roman"/>
          <w:sz w:val="32"/>
          <w:shd w:val="clear" w:color="auto" w:fill="auto"/>
        </w:rPr>
        <w:t>整合现有软硬件配套资源</w:t>
      </w:r>
      <w:r>
        <w:rPr>
          <w:rFonts w:ascii="Times New Roman" w:eastAsia="方正仿宋_GBK" w:hAnsi="Times New Roman" w:hint="eastAsia"/>
          <w:sz w:val="32"/>
          <w:shd w:val="clear" w:color="auto" w:fill="auto"/>
        </w:rPr>
        <w:t>，不断提升企业群众获得感。</w:t>
      </w:r>
      <w:r>
        <w:rPr>
          <w:rFonts w:ascii="Times New Roman" w:eastAsia="方正仿宋_GBK" w:hAnsi="Times New Roman" w:hint="eastAsia"/>
          <w:b/>
          <w:bCs/>
          <w:sz w:val="32"/>
          <w:shd w:val="clear" w:color="auto" w:fill="auto"/>
        </w:rPr>
        <w:t>二是</w:t>
      </w:r>
      <w:r>
        <w:rPr>
          <w:rFonts w:ascii="Times New Roman" w:eastAsia="方正仿宋_GBK" w:hAnsi="Times New Roman"/>
          <w:sz w:val="32"/>
          <w:shd w:val="clear" w:color="auto" w:fill="auto"/>
        </w:rPr>
        <w:t>依托</w:t>
      </w:r>
      <w:r>
        <w:rPr>
          <w:rFonts w:ascii="Times New Roman" w:eastAsia="方正仿宋_GBK" w:hAnsi="Times New Roman" w:hint="eastAsia"/>
          <w:sz w:val="32"/>
          <w:shd w:val="clear" w:color="auto" w:fill="auto"/>
        </w:rPr>
        <w:t>“关长联系企业”“关长送政策上门”等机制，</w:t>
      </w:r>
      <w:r>
        <w:rPr>
          <w:rFonts w:ascii="Times New Roman" w:eastAsia="方正仿宋_GBK" w:hAnsi="Times New Roman"/>
          <w:sz w:val="32"/>
          <w:shd w:val="clear" w:color="auto" w:fill="auto"/>
        </w:rPr>
        <w:t>送政策到企业28家次，宣讲原产地政策、关税担保政策、商品归类、减免税政策、出境植物及其产品检疫要求、转变出口模式等海关政策</w:t>
      </w:r>
      <w:r>
        <w:rPr>
          <w:rFonts w:ascii="Times New Roman" w:eastAsia="方正仿宋_GBK" w:hAnsi="Times New Roman" w:hint="eastAsia"/>
          <w:sz w:val="32"/>
          <w:shd w:val="clear" w:color="auto" w:fill="auto"/>
        </w:rPr>
        <w:t>，</w:t>
      </w:r>
      <w:r>
        <w:rPr>
          <w:rFonts w:ascii="Times New Roman" w:eastAsia="方正仿宋_GBK" w:hAnsi="Times New Roman"/>
          <w:sz w:val="32"/>
          <w:shd w:val="clear" w:color="auto" w:fill="auto"/>
        </w:rPr>
        <w:t>期间共</w:t>
      </w:r>
      <w:r>
        <w:rPr>
          <w:rFonts w:ascii="Times New Roman" w:eastAsia="方正仿宋_GBK" w:hAnsi="Times New Roman" w:hint="eastAsia"/>
          <w:sz w:val="32"/>
          <w:shd w:val="clear" w:color="auto" w:fill="auto"/>
        </w:rPr>
        <w:t>收集企业意见</w:t>
      </w:r>
      <w:r>
        <w:rPr>
          <w:rFonts w:ascii="Times New Roman" w:eastAsia="方正仿宋_GBK" w:hAnsi="Times New Roman"/>
          <w:sz w:val="32"/>
          <w:shd w:val="clear" w:color="auto" w:fill="auto"/>
        </w:rPr>
        <w:t>建议6</w:t>
      </w:r>
      <w:r>
        <w:rPr>
          <w:rFonts w:ascii="Times New Roman" w:eastAsia="方正仿宋_GBK" w:hAnsi="Times New Roman" w:hint="eastAsia"/>
          <w:sz w:val="32"/>
          <w:shd w:val="clear" w:color="auto" w:fill="auto"/>
        </w:rPr>
        <w:t>条，解决</w:t>
      </w:r>
      <w:r>
        <w:rPr>
          <w:rFonts w:ascii="Times New Roman" w:eastAsia="方正仿宋_GBK" w:hAnsi="Times New Roman"/>
          <w:sz w:val="32"/>
          <w:shd w:val="clear" w:color="auto" w:fill="auto"/>
        </w:rPr>
        <w:t>问题25个。帮扶辖区花卉生产企业首次取得花卉出口注册资质，助力广州海关关区9万株梨树苗首次出口海外市场，</w:t>
      </w:r>
      <w:r>
        <w:rPr>
          <w:rFonts w:ascii="Times New Roman" w:eastAsia="方正仿宋_GBK" w:hAnsi="Times New Roman" w:hint="eastAsia"/>
          <w:sz w:val="32"/>
          <w:shd w:val="clear" w:color="auto" w:fill="auto"/>
        </w:rPr>
        <w:t>有效增强政务服务针对性、覆盖面。</w:t>
      </w:r>
      <w:r>
        <w:rPr>
          <w:rFonts w:ascii="Times New Roman" w:eastAsia="方正仿宋_GBK" w:hAnsi="Times New Roman" w:hint="eastAsia"/>
          <w:b/>
          <w:bCs/>
          <w:sz w:val="32"/>
          <w:shd w:val="clear" w:color="auto" w:fill="auto"/>
        </w:rPr>
        <w:t>三是</w:t>
      </w:r>
      <w:r>
        <w:rPr>
          <w:rFonts w:ascii="Times New Roman" w:eastAsia="方正仿宋_GBK" w:hAnsi="Times New Roman"/>
          <w:sz w:val="32"/>
          <w:shd w:val="clear" w:color="auto" w:fill="auto"/>
        </w:rPr>
        <w:t>结合实际扩大</w:t>
      </w:r>
      <w:r>
        <w:rPr>
          <w:rFonts w:ascii="Times New Roman" w:eastAsia="方正仿宋_GBK" w:hAnsi="Times New Roman" w:hint="eastAsia"/>
          <w:sz w:val="32"/>
          <w:shd w:val="clear" w:color="auto" w:fill="auto"/>
        </w:rPr>
        <w:t>“</w:t>
      </w:r>
      <w:r>
        <w:rPr>
          <w:rFonts w:ascii="Times New Roman" w:eastAsia="方正仿宋_GBK" w:hAnsi="Times New Roman"/>
          <w:sz w:val="32"/>
          <w:shd w:val="clear" w:color="auto" w:fill="auto"/>
        </w:rPr>
        <w:t>海关进企业、海关进社区、海关进校园</w:t>
      </w:r>
      <w:r>
        <w:rPr>
          <w:rFonts w:ascii="Times New Roman" w:eastAsia="方正仿宋_GBK" w:hAnsi="Times New Roman" w:hint="eastAsia"/>
          <w:sz w:val="32"/>
          <w:shd w:val="clear" w:color="auto" w:fill="auto"/>
        </w:rPr>
        <w:t>”——“三进”品牌</w:t>
      </w:r>
      <w:r>
        <w:rPr>
          <w:rFonts w:ascii="Times New Roman" w:eastAsia="方正仿宋_GBK" w:hAnsi="Times New Roman"/>
          <w:sz w:val="32"/>
          <w:shd w:val="clear" w:color="auto" w:fill="auto"/>
        </w:rPr>
        <w:t>服务效应</w:t>
      </w:r>
      <w:r>
        <w:rPr>
          <w:rFonts w:ascii="Times New Roman" w:eastAsia="方正仿宋_GBK" w:hAnsi="Times New Roman" w:hint="eastAsia"/>
          <w:sz w:val="32"/>
          <w:shd w:val="clear" w:color="auto" w:fill="auto"/>
        </w:rPr>
        <w:t>，</w:t>
      </w:r>
      <w:r>
        <w:rPr>
          <w:rFonts w:ascii="Times New Roman" w:eastAsia="方正仿宋_GBK" w:hAnsi="Times New Roman"/>
          <w:sz w:val="32"/>
          <w:shd w:val="clear" w:color="auto" w:fill="auto"/>
        </w:rPr>
        <w:t>擦亮</w:t>
      </w:r>
      <w:r>
        <w:rPr>
          <w:rFonts w:ascii="Times New Roman" w:eastAsia="方正仿宋_GBK" w:hAnsi="Times New Roman" w:hint="eastAsia"/>
          <w:sz w:val="32"/>
          <w:shd w:val="clear" w:color="auto" w:fill="auto"/>
        </w:rPr>
        <w:t>从化海关大湾区马产业“三进”品牌特色科普基地招牌，密切与</w:t>
      </w:r>
      <w:r>
        <w:rPr>
          <w:rFonts w:ascii="Times New Roman" w:eastAsia="方正仿宋_GBK" w:hAnsi="Times New Roman"/>
          <w:sz w:val="32"/>
          <w:shd w:val="clear" w:color="auto" w:fill="auto"/>
        </w:rPr>
        <w:t>地方</w:t>
      </w:r>
      <w:r>
        <w:rPr>
          <w:rFonts w:ascii="Times New Roman" w:eastAsia="方正仿宋_GBK" w:hAnsi="Times New Roman" w:hint="eastAsia"/>
          <w:sz w:val="32"/>
          <w:shd w:val="clear" w:color="auto" w:fill="auto"/>
        </w:rPr>
        <w:t>单位联系</w:t>
      </w:r>
      <w:r>
        <w:rPr>
          <w:rFonts w:ascii="Times New Roman" w:eastAsia="方正仿宋_GBK" w:hAnsi="Times New Roman"/>
          <w:sz w:val="32"/>
          <w:shd w:val="clear" w:color="auto" w:fill="auto"/>
        </w:rPr>
        <w:t>沟通，</w:t>
      </w:r>
      <w:r>
        <w:rPr>
          <w:rFonts w:ascii="Times New Roman" w:eastAsia="方正仿宋_GBK" w:hAnsi="Times New Roman" w:hint="eastAsia"/>
          <w:sz w:val="32"/>
          <w:shd w:val="clear" w:color="auto" w:fill="auto"/>
        </w:rPr>
        <w:t>积极开展共建交流活动，向社会公众宣传海关支持马产业发展政策、创新监管、优化服务等内容，</w:t>
      </w:r>
      <w:r>
        <w:rPr>
          <w:rFonts w:ascii="Times New Roman" w:eastAsia="方正仿宋_GBK" w:hAnsi="Times New Roman"/>
          <w:sz w:val="32"/>
          <w:shd w:val="clear" w:color="auto" w:fill="auto"/>
        </w:rPr>
        <w:t>《</w:t>
      </w:r>
      <w:r>
        <w:rPr>
          <w:rFonts w:ascii="Times New Roman" w:eastAsia="方正仿宋_GBK" w:hAnsi="Times New Roman" w:hint="eastAsia"/>
          <w:sz w:val="32"/>
          <w:shd w:val="clear" w:color="auto" w:fill="auto"/>
        </w:rPr>
        <w:t>海关强化监管优化服务</w:t>
      </w:r>
      <w:r>
        <w:rPr>
          <w:rFonts w:ascii="Times New Roman" w:eastAsia="方正仿宋_GBK" w:hAnsi="Times New Roman"/>
          <w:sz w:val="32"/>
          <w:shd w:val="clear" w:color="auto" w:fill="auto"/>
        </w:rPr>
        <w:t xml:space="preserve"> </w:t>
      </w:r>
      <w:r>
        <w:rPr>
          <w:rFonts w:ascii="Times New Roman" w:eastAsia="方正仿宋_GBK" w:hAnsi="Times New Roman" w:hint="eastAsia"/>
          <w:sz w:val="32"/>
          <w:shd w:val="clear" w:color="auto" w:fill="auto"/>
        </w:rPr>
        <w:t>推动从化马场高质量发展</w:t>
      </w:r>
      <w:r>
        <w:rPr>
          <w:rFonts w:ascii="Times New Roman" w:eastAsia="方正仿宋_GBK" w:hAnsi="Times New Roman"/>
          <w:sz w:val="32"/>
          <w:shd w:val="clear" w:color="auto" w:fill="auto"/>
        </w:rPr>
        <w:t>》</w:t>
      </w:r>
      <w:r>
        <w:rPr>
          <w:rFonts w:ascii="Times New Roman" w:eastAsia="方正仿宋_GBK" w:hAnsi="Times New Roman" w:hint="eastAsia"/>
          <w:sz w:val="32"/>
          <w:shd w:val="clear" w:color="auto" w:fill="auto"/>
        </w:rPr>
        <w:t>等</w:t>
      </w:r>
      <w:r>
        <w:rPr>
          <w:rFonts w:ascii="Times New Roman" w:eastAsia="方正仿宋_GBK" w:hAnsi="Times New Roman"/>
          <w:sz w:val="32"/>
          <w:shd w:val="clear" w:color="auto" w:fill="auto"/>
        </w:rPr>
        <w:t>内容</w:t>
      </w:r>
      <w:r>
        <w:rPr>
          <w:rFonts w:ascii="Times New Roman" w:eastAsia="方正仿宋_GBK" w:hAnsi="Times New Roman" w:hint="eastAsia"/>
          <w:sz w:val="32"/>
          <w:shd w:val="clear" w:color="auto" w:fill="auto"/>
        </w:rPr>
        <w:t>被人民网、中国新闻网、广东广播电视台等16家媒体广泛宣传</w:t>
      </w:r>
      <w:r>
        <w:rPr>
          <w:rFonts w:ascii="Times New Roman" w:eastAsia="方正仿宋_GBK" w:hAnsi="Times New Roman" w:hint="eastAsia"/>
          <w:sz w:val="32"/>
          <w:szCs w:val="32"/>
          <w:shd w:val="clear" w:color="auto" w:fill="auto"/>
        </w:rPr>
        <w:t>。</w:t>
      </w:r>
    </w:p>
    <w:p>
      <w:pPr>
        <w:shd w:val="clear" w:color="auto" w:fill="auto"/>
        <w:autoSpaceDN w:val="0"/>
        <w:spacing w:line="560" w:lineRule="exact"/>
        <w:ind w:left="630"/>
        <w:rPr>
          <w:rFonts w:eastAsia="方正楷体_GBK"/>
          <w:b/>
          <w:bCs/>
          <w:szCs w:val="32"/>
          <w:shd w:val="clear" w:color="auto" w:fill="auto"/>
        </w:rPr>
      </w:pPr>
      <w:r>
        <w:rPr>
          <w:rFonts w:eastAsia="方正楷体_GBK"/>
          <w:b/>
          <w:bCs/>
          <w:szCs w:val="32"/>
          <w:shd w:val="clear" w:color="auto" w:fill="auto"/>
        </w:rPr>
        <w:t>（</w:t>
      </w:r>
      <w:r>
        <w:rPr>
          <w:rFonts w:eastAsia="方正楷体_GBK" w:hint="eastAsia"/>
          <w:b/>
          <w:bCs/>
          <w:szCs w:val="32"/>
          <w:shd w:val="clear" w:color="auto" w:fill="auto"/>
        </w:rPr>
        <w:t>五</w:t>
      </w:r>
      <w:r>
        <w:rPr>
          <w:rFonts w:eastAsia="方正楷体_GBK"/>
          <w:b/>
          <w:bCs/>
          <w:szCs w:val="32"/>
          <w:shd w:val="clear" w:color="auto" w:fill="auto"/>
        </w:rPr>
        <w:t>）</w:t>
      </w:r>
      <w:r>
        <w:rPr>
          <w:rFonts w:eastAsia="方正楷体_GBK" w:hint="eastAsia"/>
          <w:b/>
          <w:bCs/>
          <w:szCs w:val="32"/>
          <w:shd w:val="clear" w:color="auto" w:fill="auto"/>
        </w:rPr>
        <w:t>强化监督保障</w:t>
      </w:r>
      <w:r>
        <w:rPr>
          <w:rFonts w:eastAsia="方正楷体_GBK"/>
          <w:b/>
          <w:bCs/>
          <w:szCs w:val="32"/>
          <w:shd w:val="clear" w:color="auto" w:fill="auto"/>
        </w:rPr>
        <w:t>。</w:t>
      </w:r>
    </w:p>
    <w:p>
      <w:pPr>
        <w:pStyle w:val="20"/>
        <w:shd w:val="clear" w:color="auto" w:fill="auto"/>
        <w:autoSpaceDN w:val="0"/>
        <w:spacing w:line="560" w:lineRule="exact"/>
        <w:ind w:firstLine="643"/>
        <w:rPr>
          <w:rFonts w:ascii="Times New Roman" w:eastAsia="方正仿宋_GBK" w:cs="Times New Roman" w:hAnsi="Times New Roman" w:hint="eastAsia"/>
          <w:sz w:val="32"/>
          <w:szCs w:val="32"/>
          <w:shd w:val="clear" w:color="auto" w:fill="auto"/>
          <w:lang w:bidi="ar-SA"/>
        </w:rPr>
      </w:pPr>
      <w:r>
        <w:rPr>
          <w:rFonts w:ascii="Times New Roman" w:eastAsia="方正仿宋_GBK" w:cs="Times New Roman" w:hAnsi="Times New Roman"/>
          <w:bCs/>
          <w:sz w:val="32"/>
          <w:szCs w:val="32"/>
          <w:shd w:val="clear" w:color="auto" w:fill="auto"/>
          <w:lang w:bidi="ar-SA"/>
        </w:rPr>
        <w:t>关领导</w:t>
      </w:r>
      <w:r>
        <w:rPr>
          <w:rFonts w:ascii="Times New Roman" w:eastAsia="方正仿宋_GBK" w:hAnsi="Times New Roman"/>
          <w:color w:val="auto"/>
          <w:sz w:val="32"/>
          <w:szCs w:val="32"/>
          <w:shd w:val="clear" w:color="auto" w:fill="auto"/>
        </w:rPr>
        <w:t>立足服务企业，紧扣群众需求，</w:t>
      </w:r>
      <w:r>
        <w:rPr>
          <w:rFonts w:ascii="Times New Roman" w:eastAsia="方正仿宋_GBK" w:cs="Times New Roman" w:hAnsi="Times New Roman"/>
          <w:bCs/>
          <w:sz w:val="32"/>
          <w:szCs w:val="32"/>
          <w:shd w:val="clear" w:color="auto" w:fill="auto"/>
          <w:lang w:bidi="ar-SA"/>
        </w:rPr>
        <w:t>定期与企业群众开展</w:t>
      </w:r>
      <w:r>
        <w:rPr>
          <w:rFonts w:ascii="Times New Roman" w:eastAsia="方正仿宋_GBK" w:cs="Times New Roman" w:hAnsi="Times New Roman" w:hint="eastAsia"/>
          <w:bCs/>
          <w:sz w:val="32"/>
          <w:szCs w:val="32"/>
          <w:shd w:val="clear" w:color="auto" w:fill="auto"/>
          <w:lang w:bidi="ar-SA"/>
        </w:rPr>
        <w:t>“</w:t>
      </w:r>
      <w:r>
        <w:rPr>
          <w:rFonts w:ascii="Times New Roman" w:eastAsia="方正仿宋_GBK" w:cs="Times New Roman" w:hAnsi="Times New Roman"/>
          <w:bCs/>
          <w:sz w:val="32"/>
          <w:szCs w:val="32"/>
          <w:shd w:val="clear" w:color="auto" w:fill="auto"/>
          <w:lang w:bidi="ar-SA"/>
        </w:rPr>
        <w:t>关长接待日</w:t>
      </w:r>
      <w:r>
        <w:rPr>
          <w:rFonts w:ascii="Times New Roman" w:eastAsia="方正仿宋_GBK" w:cs="Times New Roman" w:hAnsi="Times New Roman" w:hint="eastAsia"/>
          <w:bCs/>
          <w:sz w:val="32"/>
          <w:szCs w:val="32"/>
          <w:shd w:val="clear" w:color="auto" w:fill="auto"/>
          <w:lang w:bidi="ar-SA"/>
        </w:rPr>
        <w:t>”</w:t>
      </w:r>
      <w:r>
        <w:rPr>
          <w:rFonts w:ascii="Times New Roman" w:eastAsia="方正仿宋_GBK" w:cs="Times New Roman" w:hAnsi="Times New Roman"/>
          <w:bCs/>
          <w:sz w:val="32"/>
          <w:szCs w:val="32"/>
          <w:shd w:val="clear" w:color="auto" w:fill="auto"/>
          <w:lang w:bidi="ar-SA"/>
        </w:rPr>
        <w:t>等形式的</w:t>
      </w:r>
      <w:r>
        <w:rPr>
          <w:rFonts w:ascii="Times New Roman" w:eastAsia="方正仿宋_GBK" w:cs="Times New Roman" w:hAnsi="Times New Roman" w:hint="eastAsia"/>
          <w:bCs/>
          <w:sz w:val="32"/>
          <w:szCs w:val="32"/>
          <w:shd w:val="clear" w:color="auto" w:fill="auto"/>
          <w:lang w:bidi="ar-SA"/>
        </w:rPr>
        <w:t>“面对面”</w:t>
      </w:r>
      <w:r>
        <w:rPr>
          <w:rFonts w:ascii="Times New Roman" w:eastAsia="方正仿宋_GBK" w:cs="Times New Roman" w:hAnsi="Times New Roman"/>
          <w:bCs/>
          <w:sz w:val="32"/>
          <w:szCs w:val="32"/>
          <w:shd w:val="clear" w:color="auto" w:fill="auto"/>
          <w:lang w:bidi="ar-SA"/>
        </w:rPr>
        <w:t>沟通交流，</w:t>
      </w:r>
      <w:r>
        <w:rPr>
          <w:rFonts w:ascii="Times New Roman" w:eastAsia="方正仿宋_GBK" w:hAnsi="Times New Roman"/>
          <w:color w:val="auto"/>
          <w:sz w:val="32"/>
          <w:szCs w:val="32"/>
          <w:shd w:val="clear" w:color="auto" w:fill="auto"/>
        </w:rPr>
        <w:t>积极接受</w:t>
      </w:r>
      <w:r>
        <w:rPr>
          <w:rFonts w:ascii="Times New Roman" w:eastAsia="方正仿宋_GBK" w:hAnsi="Times New Roman" w:hint="eastAsia"/>
          <w:color w:val="auto"/>
          <w:sz w:val="32"/>
          <w:szCs w:val="32"/>
          <w:shd w:val="clear" w:color="auto" w:fill="auto"/>
        </w:rPr>
        <w:t>社会监督</w:t>
      </w:r>
      <w:r>
        <w:rPr>
          <w:rFonts w:ascii="Times New Roman" w:eastAsia="方正仿宋_GBK" w:hAnsi="Times New Roman"/>
          <w:color w:val="auto"/>
          <w:sz w:val="32"/>
          <w:szCs w:val="32"/>
          <w:shd w:val="clear" w:color="auto" w:fill="auto"/>
        </w:rPr>
        <w:t>，</w:t>
      </w:r>
      <w:r>
        <w:rPr>
          <w:rFonts w:ascii="Times New Roman" w:eastAsia="方正仿宋_GBK" w:cs="Times New Roman" w:hAnsi="Times New Roman"/>
          <w:bCs/>
          <w:sz w:val="32"/>
          <w:szCs w:val="32"/>
          <w:shd w:val="clear" w:color="auto" w:fill="auto"/>
          <w:lang w:bidi="ar-SA"/>
        </w:rPr>
        <w:t>发挥政务公开示范带头作用。</w:t>
      </w:r>
      <w:r>
        <w:rPr>
          <w:rFonts w:ascii="Times New Roman" w:eastAsia="方正仿宋_GBK" w:cs="Times New Roman" w:hAnsi="Times New Roman" w:hint="eastAsia"/>
          <w:bCs/>
          <w:sz w:val="32"/>
          <w:szCs w:val="32"/>
          <w:shd w:val="clear" w:color="auto" w:fill="auto"/>
          <w:lang w:bidi="ar-SA"/>
        </w:rPr>
        <w:t>加强对政务公开工作的日常检查力度，重点对公开的机构信息、预决算</w:t>
      </w:r>
      <w:r>
        <w:rPr>
          <w:rFonts w:ascii="Times New Roman" w:eastAsia="方正仿宋_GBK" w:cs="Times New Roman" w:hAnsi="Times New Roman"/>
          <w:bCs/>
          <w:sz w:val="32"/>
          <w:szCs w:val="32"/>
          <w:shd w:val="clear" w:color="auto" w:fill="auto"/>
          <w:lang w:bidi="ar-SA"/>
        </w:rPr>
        <w:t>信息</w:t>
      </w:r>
      <w:r>
        <w:rPr>
          <w:rFonts w:ascii="Times New Roman" w:eastAsia="方正仿宋_GBK" w:cs="Times New Roman" w:hAnsi="Times New Roman" w:hint="eastAsia"/>
          <w:bCs/>
          <w:sz w:val="32"/>
          <w:szCs w:val="32"/>
          <w:shd w:val="clear" w:color="auto" w:fill="auto"/>
          <w:lang w:bidi="ar-SA"/>
        </w:rPr>
        <w:t>、行政执法信息等开展自查，并及时更新。</w:t>
      </w:r>
    </w:p>
    <w:p>
      <w:pPr>
        <w:pStyle w:val="27"/>
        <w:widowControl/>
        <w:shd w:val="clear" w:color="auto" w:fill="auto"/>
        <w:adjustRightInd w:val="0"/>
        <w:snapToGrid w:val="0"/>
        <w:spacing w:beforeAutospacing="0" w:afterAutospacing="0" w:line="560" w:lineRule="exact"/>
        <w:ind w:firstLineChars="200" w:firstLine="640"/>
        <w:jc w:val="both"/>
        <w:rPr>
          <w:rFonts w:ascii="方正黑体_GBK" w:eastAsia="方正黑体_GBK" w:cs="楷体_GB2312" w:hint="eastAsia"/>
          <w:bCs/>
          <w:sz w:val="32"/>
          <w:szCs w:val="32"/>
          <w:shd w:val="clear" w:color="auto" w:fill="auto"/>
        </w:rPr>
      </w:pPr>
      <w:r>
        <w:rPr>
          <w:rFonts w:ascii="方正黑体_GBK" w:eastAsia="方正黑体_GBK" w:cs="楷体_GB2312" w:hint="eastAsia"/>
          <w:bCs/>
          <w:sz w:val="32"/>
          <w:szCs w:val="32"/>
          <w:shd w:val="clear" w:color="auto" w:fill="auto"/>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信息内容</w:t>
            </w:r>
          </w:p>
        </w:tc>
        <w:tc>
          <w:tcPr>
            <w:tcW w:w="2183"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本年</w:t>
            </w:r>
            <w:r>
              <w:rPr>
                <w:kern w:val="0"/>
                <w:sz w:val="24"/>
                <w:szCs w:val="24"/>
                <w:shd w:val="clear" w:color="auto" w:fill="auto"/>
              </w:rPr>
              <w:t>制发件数</w:t>
            </w:r>
          </w:p>
        </w:tc>
        <w:tc>
          <w:tcPr>
            <w:tcW w:w="193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本年废止件</w:t>
            </w:r>
            <w:r>
              <w:rPr>
                <w:kern w:val="0"/>
                <w:sz w:val="24"/>
                <w:szCs w:val="24"/>
                <w:shd w:val="clear" w:color="auto" w:fill="auto"/>
              </w:rPr>
              <w:t>数</w:t>
            </w:r>
          </w:p>
        </w:tc>
        <w:tc>
          <w:tcPr>
            <w:tcW w:w="2156" w:type="dxa"/>
            <w:tcBorders>
              <w:top w:val="nil"/>
              <w:left w:val="nil"/>
              <w:bottom w:val="single" w:sz="8" w:space="0" w:color="auto"/>
              <w:right w:val="single" w:sz="8" w:space="0" w:color="auto"/>
              <w:tl2br w:val="nil"/>
              <w:tr2bl w:val="nil"/>
            </w:tcBorders>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adjustRightInd w:val="0"/>
              <w:snapToGrid w:val="0"/>
              <w:spacing w:line="560" w:lineRule="exact"/>
              <w:jc w:val="center"/>
              <w:rPr>
                <w:sz w:val="24"/>
                <w:szCs w:val="24"/>
                <w:shd w:val="clear" w:color="auto" w:fill="auto"/>
              </w:rPr>
            </w:pPr>
            <w:r>
              <w:rPr>
                <w:rFonts w:ascii="宋体" w:cs="宋体" w:hint="eastAsia"/>
                <w:kern w:val="0"/>
                <w:sz w:val="24"/>
                <w:szCs w:val="24"/>
                <w:shd w:val="clear" w:color="auto" w:fill="auto"/>
                <w:lang w:bidi="ar-SA"/>
              </w:rPr>
              <w:t>规章</w:t>
            </w:r>
          </w:p>
        </w:tc>
        <w:tc>
          <w:tcPr>
            <w:tcW w:w="2183"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hint="eastAsia"/>
                <w:sz w:val="24"/>
                <w:szCs w:val="24"/>
                <w:shd w:val="clear" w:color="auto" w:fill="auto"/>
              </w:rPr>
            </w:pPr>
            <w:r>
              <w:rPr>
                <w:rFonts w:eastAsia="方正仿宋_GBK" w:hint="eastAsia"/>
                <w:sz w:val="24"/>
                <w:szCs w:val="24"/>
                <w:shd w:val="clear" w:color="auto" w:fill="auto"/>
              </w:rPr>
              <w:t>0</w:t>
            </w:r>
          </w:p>
        </w:tc>
        <w:tc>
          <w:tcPr>
            <w:tcW w:w="1936"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2156"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adjustRightInd w:val="0"/>
              <w:snapToGrid w:val="0"/>
              <w:spacing w:line="560" w:lineRule="exact"/>
              <w:jc w:val="center"/>
              <w:rPr>
                <w:sz w:val="24"/>
                <w:szCs w:val="24"/>
                <w:shd w:val="clear" w:color="auto" w:fill="auto"/>
              </w:rPr>
            </w:pPr>
            <w:r>
              <w:rPr>
                <w:rFonts w:ascii="宋体" w:cs="宋体" w:hint="eastAsia"/>
                <w:kern w:val="0"/>
                <w:sz w:val="24"/>
                <w:szCs w:val="24"/>
                <w:shd w:val="clear" w:color="auto" w:fill="auto"/>
                <w:lang w:bidi="ar-SA"/>
              </w:rPr>
              <w:t>行政规范性文件</w:t>
            </w:r>
          </w:p>
        </w:tc>
        <w:tc>
          <w:tcPr>
            <w:tcW w:w="2183"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1936"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2156"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adjustRightInd w:val="0"/>
              <w:snapToGrid w:val="0"/>
              <w:spacing w:line="560" w:lineRule="exact"/>
              <w:jc w:val="center"/>
              <w:rPr>
                <w:sz w:val="24"/>
                <w:szCs w:val="24"/>
                <w:shd w:val="clear" w:color="auto" w:fill="auto"/>
              </w:rPr>
            </w:pPr>
            <w:r>
              <w:rPr>
                <w:rFonts w:ascii="宋体" w:cs="宋体" w:hint="eastAsia"/>
                <w:kern w:val="0"/>
                <w:sz w:val="24"/>
                <w:szCs w:val="24"/>
                <w:shd w:val="clear" w:color="auto" w:fill="auto"/>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64"/>
              <w:widowControl/>
              <w:shd w:val="clear" w:color="auto" w:fill="auto"/>
              <w:adjustRightInd w:val="0"/>
              <w:snapToGrid w:val="0"/>
              <w:spacing w:line="560" w:lineRule="exact"/>
              <w:jc w:val="center"/>
              <w:rPr>
                <w:sz w:val="24"/>
                <w:szCs w:val="24"/>
                <w:shd w:val="clear" w:color="auto" w:fill="auto"/>
              </w:rPr>
            </w:pPr>
            <w:r>
              <w:rPr>
                <w:rFonts w:ascii="宋体" w:cs="宋体" w:hint="eastAsia"/>
                <w:kern w:val="0"/>
                <w:sz w:val="24"/>
                <w:szCs w:val="24"/>
                <w:shd w:val="clear" w:color="auto" w:fill="auto"/>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adjustRightInd w:val="0"/>
              <w:snapToGrid w:val="0"/>
              <w:spacing w:line="560" w:lineRule="exact"/>
              <w:jc w:val="center"/>
              <w:rPr>
                <w:sz w:val="24"/>
                <w:szCs w:val="24"/>
                <w:shd w:val="clear" w:color="auto" w:fill="auto"/>
              </w:rPr>
            </w:pPr>
            <w:r>
              <w:rPr>
                <w:rFonts w:ascii="宋体" w:cs="宋体" w:hint="eastAsia"/>
                <w:kern w:val="0"/>
                <w:sz w:val="24"/>
                <w:szCs w:val="24"/>
                <w:shd w:val="clear" w:color="auto" w:fill="auto"/>
                <w:lang w:bidi="ar-SA"/>
              </w:rPr>
              <w:t>行政许可</w:t>
            </w:r>
          </w:p>
        </w:tc>
        <w:tc>
          <w:tcPr>
            <w:tcW w:w="6275" w:type="dxa"/>
            <w:gridSpan w:val="3"/>
            <w:tcBorders>
              <w:top w:val="nil"/>
              <w:left w:val="nil"/>
              <w:bottom w:val="single" w:sz="8" w:space="0" w:color="auto"/>
              <w:right w:val="single" w:sz="8" w:space="0" w:color="auto"/>
              <w:tl2br w:val="nil"/>
              <w:tr2bl w:val="nil"/>
            </w:tcBorders>
            <w:tcMar>
              <w:left w:w="108" w:type="dxa"/>
              <w:right w:w="108" w:type="dxa"/>
            </w:tcMar>
            <w:vAlign w:val="center"/>
          </w:tcPr>
          <w:p>
            <w:pPr>
              <w:pStyle w:val="75"/>
              <w:shd w:val="clear" w:color="auto" w:fill="auto"/>
              <w:spacing w:line="560" w:lineRule="exact"/>
              <w:jc w:val="center"/>
              <w:rPr>
                <w:rFonts w:eastAsia="方正仿宋_GBK" w:cs="宋体"/>
                <w:sz w:val="24"/>
                <w:szCs w:val="24"/>
                <w:shd w:val="clear" w:color="auto" w:fill="auto"/>
                <w:lang w:bidi="ar-SA"/>
              </w:rPr>
            </w:pPr>
            <w:r>
              <w:rPr>
                <w:rFonts w:eastAsia="方正仿宋_GBK" w:cs="宋体"/>
                <w:sz w:val="24"/>
                <w:szCs w:val="24"/>
                <w:shd w:val="clear" w:color="auto" w:fill="auto"/>
                <w:lang w:bidi="ar-SA"/>
              </w:rPr>
              <w:t>1</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adjustRightInd w:val="0"/>
              <w:snapToGrid w:val="0"/>
              <w:spacing w:line="560" w:lineRule="exact"/>
              <w:jc w:val="center"/>
              <w:rPr>
                <w:sz w:val="24"/>
                <w:szCs w:val="24"/>
                <w:shd w:val="clear" w:color="auto" w:fill="auto"/>
              </w:rPr>
            </w:pPr>
            <w:r>
              <w:rPr>
                <w:rFonts w:ascii="宋体" w:cs="宋体" w:hint="eastAsia"/>
                <w:kern w:val="0"/>
                <w:sz w:val="24"/>
                <w:szCs w:val="24"/>
                <w:shd w:val="clear" w:color="auto" w:fill="auto"/>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67"/>
              <w:widowControl/>
              <w:shd w:val="clear" w:color="auto" w:fill="auto"/>
              <w:adjustRightInd w:val="0"/>
              <w:snapToGrid w:val="0"/>
              <w:spacing w:line="560" w:lineRule="exact"/>
              <w:jc w:val="center"/>
              <w:rPr>
                <w:sz w:val="24"/>
                <w:szCs w:val="24"/>
                <w:shd w:val="clear" w:color="auto" w:fill="auto"/>
              </w:rPr>
            </w:pPr>
            <w:r>
              <w:rPr>
                <w:rFonts w:ascii="宋体" w:cs="宋体" w:hint="eastAsia"/>
                <w:kern w:val="0"/>
                <w:sz w:val="24"/>
                <w:szCs w:val="24"/>
                <w:shd w:val="clear" w:color="auto" w:fill="auto"/>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adjustRightInd w:val="0"/>
              <w:snapToGrid w:val="0"/>
              <w:spacing w:line="560" w:lineRule="exact"/>
              <w:jc w:val="center"/>
              <w:rPr>
                <w:sz w:val="24"/>
                <w:szCs w:val="24"/>
                <w:shd w:val="clear" w:color="auto" w:fill="auto"/>
              </w:rPr>
            </w:pPr>
            <w:r>
              <w:rPr>
                <w:rFonts w:ascii="宋体" w:cs="宋体" w:hint="eastAsia"/>
                <w:kern w:val="0"/>
                <w:sz w:val="24"/>
                <w:szCs w:val="24"/>
                <w:shd w:val="clear" w:color="auto" w:fill="auto"/>
                <w:lang w:bidi="ar-SA"/>
              </w:rPr>
              <w:t>行政处罚</w:t>
            </w:r>
          </w:p>
        </w:tc>
        <w:tc>
          <w:tcPr>
            <w:tcW w:w="6275" w:type="dxa"/>
            <w:gridSpan w:val="3"/>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cs="宋体" w:hint="eastAsia"/>
                <w:sz w:val="24"/>
                <w:szCs w:val="24"/>
                <w:shd w:val="clear" w:color="auto" w:fill="auto"/>
                <w:lang w:bidi="ar-SA"/>
              </w:rPr>
            </w:pPr>
            <w:r>
              <w:rPr>
                <w:rFonts w:eastAsia="方正仿宋_GBK" w:cs="宋体"/>
                <w:sz w:val="24"/>
                <w:szCs w:val="24"/>
                <w:shd w:val="clear" w:color="auto" w:fill="auto"/>
                <w:lang w:bidi="ar-SA"/>
              </w:rPr>
              <w:t>4</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adjustRightInd w:val="0"/>
              <w:snapToGrid w:val="0"/>
              <w:spacing w:line="560" w:lineRule="exact"/>
              <w:jc w:val="center"/>
              <w:rPr>
                <w:sz w:val="24"/>
                <w:szCs w:val="24"/>
                <w:shd w:val="clear" w:color="auto" w:fill="auto"/>
              </w:rPr>
            </w:pPr>
            <w:r>
              <w:rPr>
                <w:rFonts w:ascii="宋体" w:cs="宋体" w:hint="eastAsia"/>
                <w:kern w:val="0"/>
                <w:sz w:val="24"/>
                <w:szCs w:val="24"/>
                <w:shd w:val="clear" w:color="auto" w:fill="auto"/>
                <w:lang w:bidi="ar-SA"/>
              </w:rPr>
              <w:t>行政强制</w:t>
            </w:r>
          </w:p>
        </w:tc>
        <w:tc>
          <w:tcPr>
            <w:tcW w:w="6275" w:type="dxa"/>
            <w:gridSpan w:val="3"/>
            <w:tcBorders>
              <w:top w:val="nil"/>
              <w:left w:val="nil"/>
              <w:bottom w:val="single" w:sz="8" w:space="0" w:color="auto"/>
              <w:right w:val="single" w:sz="8" w:space="0" w:color="auto"/>
              <w:tl2br w:val="nil"/>
              <w:tr2bl w:val="nil"/>
            </w:tcBorders>
            <w:tcMar>
              <w:left w:w="108" w:type="dxa"/>
              <w:right w:w="108" w:type="dxa"/>
            </w:tcMar>
            <w:vAlign w:val="center"/>
          </w:tcPr>
          <w:p>
            <w:pPr>
              <w:pStyle w:val="76"/>
              <w:shd w:val="clear" w:color="auto" w:fill="auto"/>
              <w:spacing w:line="560" w:lineRule="exact"/>
              <w:jc w:val="center"/>
              <w:rPr>
                <w:rFonts w:eastAsia="方正仿宋_GBK" w:cs="宋体"/>
                <w:sz w:val="24"/>
                <w:szCs w:val="24"/>
                <w:shd w:val="clear" w:color="auto" w:fill="auto"/>
                <w:lang w:bidi="ar-SA"/>
              </w:rPr>
            </w:pPr>
            <w:r>
              <w:rPr>
                <w:rFonts w:eastAsia="方正仿宋_GBK" w:cs="宋体"/>
                <w:sz w:val="24"/>
                <w:szCs w:val="24"/>
                <w:shd w:val="clear" w:color="auto" w:fill="auto"/>
                <w:lang w:bidi="ar-SA"/>
              </w:rPr>
              <w:t>0</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adjustRightInd w:val="0"/>
              <w:snapToGrid w:val="0"/>
              <w:spacing w:line="560" w:lineRule="exact"/>
              <w:jc w:val="center"/>
              <w:rPr>
                <w:sz w:val="24"/>
                <w:szCs w:val="24"/>
                <w:shd w:val="clear" w:color="auto" w:fill="auto"/>
              </w:rPr>
            </w:pPr>
            <w:r>
              <w:rPr>
                <w:rFonts w:ascii="宋体" w:cs="宋体" w:hint="eastAsia"/>
                <w:kern w:val="0"/>
                <w:sz w:val="24"/>
                <w:szCs w:val="24"/>
                <w:shd w:val="clear" w:color="auto" w:fill="auto"/>
                <w:lang w:bidi="ar-SA"/>
              </w:rPr>
              <w:t>信息内容</w:t>
            </w:r>
          </w:p>
        </w:tc>
        <w:tc>
          <w:tcPr>
            <w:tcW w:w="6275" w:type="dxa"/>
            <w:gridSpan w:val="3"/>
            <w:tcBorders>
              <w:top w:val="nil"/>
              <w:left w:val="nil"/>
              <w:bottom w:val="single" w:sz="8" w:space="0" w:color="auto"/>
              <w:right w:val="single" w:sz="8" w:space="0" w:color="000000"/>
              <w:tl2br w:val="nil"/>
              <w:tr2bl w:val="nil"/>
            </w:tcBorders>
            <w:tcMar>
              <w:left w:w="108" w:type="dxa"/>
              <w:right w:w="108" w:type="dxa"/>
            </w:tcMar>
            <w:vAlign w:val="center"/>
          </w:tcPr>
          <w:p>
            <w:pPr>
              <w:pStyle w:val="71"/>
              <w:widowControl/>
              <w:shd w:val="clear" w:color="auto" w:fill="auto"/>
              <w:adjustRightInd w:val="0"/>
              <w:snapToGrid w:val="0"/>
              <w:spacing w:line="560" w:lineRule="exact"/>
              <w:jc w:val="center"/>
              <w:rPr>
                <w:sz w:val="24"/>
                <w:szCs w:val="24"/>
                <w:shd w:val="clear" w:color="auto" w:fill="auto"/>
              </w:rPr>
            </w:pPr>
            <w:r>
              <w:rPr>
                <w:rFonts w:ascii="宋体" w:cs="宋体" w:hint="eastAsia"/>
                <w:kern w:val="0"/>
                <w:sz w:val="24"/>
                <w:szCs w:val="24"/>
                <w:shd w:val="clear" w:color="auto" w:fill="auto"/>
                <w:lang w:bidi="ar-SA"/>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adjustRightInd w:val="0"/>
              <w:snapToGrid w:val="0"/>
              <w:spacing w:line="560" w:lineRule="exact"/>
              <w:jc w:val="center"/>
              <w:rPr>
                <w:shd w:val="clear" w:color="auto" w:fill="auto"/>
              </w:rPr>
            </w:pPr>
            <w:r>
              <w:rPr>
                <w:rFonts w:ascii="宋体" w:cs="宋体" w:hint="eastAsia"/>
                <w:kern w:val="0"/>
                <w:sz w:val="24"/>
                <w:szCs w:val="24"/>
                <w:shd w:val="clear" w:color="auto" w:fill="auto"/>
                <w:lang w:bidi="ar-SA"/>
              </w:rPr>
              <w:t>行政事业性收费</w:t>
            </w:r>
          </w:p>
        </w:tc>
        <w:tc>
          <w:tcPr>
            <w:tcW w:w="6275" w:type="dxa"/>
            <w:gridSpan w:val="3"/>
            <w:tcBorders>
              <w:top w:val="nil"/>
              <w:left w:val="nil"/>
              <w:bottom w:val="single" w:sz="8" w:space="0" w:color="auto"/>
              <w:right w:val="single" w:sz="8" w:space="0" w:color="000000"/>
              <w:tl2br w:val="nil"/>
              <w:tr2bl w:val="nil"/>
            </w:tcBorders>
            <w:tcMar>
              <w:left w:w="108" w:type="dxa"/>
              <w:right w:w="108" w:type="dxa"/>
            </w:tcMar>
            <w:vAlign w:val="center"/>
          </w:tcPr>
          <w:p>
            <w:pPr>
              <w:pStyle w:val="41"/>
              <w:shd w:val="clear" w:color="auto" w:fill="auto"/>
              <w:spacing w:line="560" w:lineRule="exact"/>
              <w:jc w:val="center"/>
              <w:rPr>
                <w:rFonts w:eastAsia="方正仿宋_GBK" w:cs="宋体"/>
                <w:sz w:val="24"/>
                <w:szCs w:val="24"/>
                <w:shd w:val="clear" w:color="auto" w:fill="auto"/>
                <w:lang w:bidi="ar-SA"/>
              </w:rPr>
            </w:pPr>
            <w:r>
              <w:rPr>
                <w:rFonts w:eastAsia="方正仿宋_GBK" w:cs="宋体" w:hint="eastAsia"/>
                <w:sz w:val="24"/>
                <w:szCs w:val="24"/>
                <w:shd w:val="clear" w:color="auto" w:fill="auto"/>
                <w:lang w:bidi="ar-SA"/>
              </w:rPr>
              <w:t>0</w:t>
            </w:r>
          </w:p>
        </w:tc>
      </w:tr>
    </w:tbl>
    <w:p>
      <w:pPr>
        <w:pStyle w:val="230"/>
        <w:widowControl/>
        <w:shd w:val="clear" w:color="auto" w:fill="auto"/>
        <w:adjustRightInd w:val="0"/>
        <w:snapToGrid w:val="0"/>
        <w:spacing w:before="0" w:beforeAutospacing="0" w:after="0" w:afterAutospacing="0" w:line="560" w:lineRule="exact"/>
        <w:ind w:firstLineChars="200" w:firstLine="640"/>
        <w:jc w:val="both"/>
        <w:rPr>
          <w:rFonts w:eastAsia="方正仿宋_GBK" w:cs="方正黑体_GBK" w:hint="eastAsia"/>
          <w:kern w:val="2"/>
          <w:sz w:val="32"/>
          <w:szCs w:val="32"/>
          <w:shd w:val="clear" w:color="auto" w:fill="auto"/>
        </w:rPr>
      </w:pPr>
      <w:r>
        <w:rPr>
          <w:rFonts w:eastAsia="方正仿宋_GBK" w:cs="方正黑体_GBK" w:hint="eastAsia"/>
          <w:kern w:val="2"/>
          <w:sz w:val="32"/>
          <w:szCs w:val="32"/>
          <w:shd w:val="clear" w:color="auto" w:fill="auto"/>
        </w:rPr>
        <w:t>*备注：本表格行政许可的处理决定数量，包括本机关在本年度内作出的准予许可决定、不予许可决定、变更许可决定、延期（延续）许可决定、撤销许可决定、撤回许可决定等。</w:t>
      </w:r>
    </w:p>
    <w:p>
      <w:pPr>
        <w:pStyle w:val="27"/>
        <w:widowControl/>
        <w:shd w:val="clear" w:color="auto" w:fill="auto"/>
        <w:adjustRightInd w:val="0"/>
        <w:snapToGrid w:val="0"/>
        <w:spacing w:beforeAutospacing="0" w:afterAutospacing="0" w:line="560" w:lineRule="exact"/>
        <w:ind w:firstLineChars="200" w:firstLine="640"/>
        <w:jc w:val="both"/>
        <w:rPr>
          <w:rFonts w:ascii="方正黑体_GBK" w:eastAsia="方正黑体_GBK" w:cs="楷体_GB2312" w:hint="eastAsia"/>
          <w:bCs/>
          <w:sz w:val="32"/>
          <w:szCs w:val="32"/>
          <w:shd w:val="clear" w:color="auto" w:fill="auto"/>
          <w:lang w:bidi="ar-SA"/>
        </w:rPr>
      </w:pPr>
      <w:bookmarkStart w:id="2" w:name="_GoBack"/>
      <w:bookmarkEnd w:id="2"/>
      <w:r>
        <w:rPr>
          <w:rFonts w:ascii="方正黑体_GBK" w:eastAsia="方正黑体_GBK" w:cs="楷体_GB2312" w:hint="eastAsia"/>
          <w:bCs/>
          <w:sz w:val="32"/>
          <w:szCs w:val="32"/>
          <w:shd w:val="clear" w:color="auto" w:fill="auto"/>
          <w:lang w:bidi="ar-SA"/>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hd w:val="clear" w:color="auto" w:fill="auto"/>
              </w:rPr>
            </w:pPr>
            <w:r>
              <w:rPr>
                <w:rFonts w:ascii="宋体" w:cs="宋体" w:hint="eastAsia"/>
                <w:kern w:val="0"/>
                <w:sz w:val="20"/>
                <w:szCs w:val="20"/>
                <w:shd w:val="clear" w:color="auto" w:fill="auto"/>
                <w:lang w:bidi="ar-SA"/>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hd w:val="clear" w:color="auto" w:fill="auto"/>
              </w:rPr>
            </w:pPr>
            <w:r>
              <w:rPr>
                <w:rFonts w:ascii="宋体" w:cs="宋体" w:hint="eastAsia"/>
                <w:kern w:val="0"/>
                <w:sz w:val="20"/>
                <w:szCs w:val="20"/>
                <w:shd w:val="clear" w:color="auto" w:fill="auto"/>
                <w:lang w:bidi="ar-SA"/>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hd w:val="clear" w:color="auto" w:fill="auto"/>
              </w:rPr>
            </w:pPr>
            <w:r>
              <w:rPr>
                <w:rFonts w:ascii="宋体" w:cs="宋体" w:hint="eastAsia"/>
                <w:kern w:val="0"/>
                <w:sz w:val="20"/>
                <w:szCs w:val="20"/>
                <w:shd w:val="clear" w:color="auto" w:fill="auto"/>
                <w:lang w:bidi="ar-SA"/>
              </w:rPr>
              <w:t>自然人</w:t>
            </w:r>
          </w:p>
        </w:tc>
        <w:tc>
          <w:tcPr>
            <w:tcW w:w="3452" w:type="dxa"/>
            <w:gridSpan w:val="5"/>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hd w:val="clear" w:color="auto" w:fill="auto"/>
              </w:rPr>
            </w:pPr>
            <w:r>
              <w:rPr>
                <w:rFonts w:ascii="宋体" w:cs="宋体" w:hint="eastAsia"/>
                <w:kern w:val="0"/>
                <w:sz w:val="20"/>
                <w:szCs w:val="20"/>
                <w:shd w:val="clear" w:color="auto" w:fill="auto"/>
                <w:lang w:bidi="ar-SA"/>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hd w:val="clear" w:color="auto" w:fill="auto"/>
              </w:rPr>
            </w:pPr>
            <w:r>
              <w:rPr>
                <w:rFonts w:ascii="宋体" w:cs="宋体" w:hint="eastAsia"/>
                <w:kern w:val="0"/>
                <w:sz w:val="20"/>
                <w:szCs w:val="20"/>
                <w:shd w:val="clear" w:color="auto" w:fill="auto"/>
                <w:lang w:bidi="ar-SA"/>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hd w:val="clear" w:color="auto" w:fill="auto"/>
              </w:rPr>
            </w:pPr>
            <w:r>
              <w:rPr>
                <w:rFonts w:ascii="宋体" w:cs="宋体" w:hint="eastAsia"/>
                <w:kern w:val="0"/>
                <w:sz w:val="20"/>
                <w:szCs w:val="20"/>
                <w:shd w:val="clear" w:color="auto" w:fill="auto"/>
                <w:lang w:bidi="ar-SA"/>
              </w:rPr>
              <w:t>商业企业</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hd w:val="clear" w:color="auto" w:fill="auto"/>
              </w:rPr>
            </w:pPr>
            <w:r>
              <w:rPr>
                <w:rFonts w:ascii="宋体" w:cs="宋体" w:hint="eastAsia"/>
                <w:kern w:val="0"/>
                <w:sz w:val="20"/>
                <w:szCs w:val="20"/>
                <w:shd w:val="clear" w:color="auto" w:fill="auto"/>
                <w:lang w:bidi="ar-SA"/>
              </w:rPr>
              <w:t>科研机构</w:t>
            </w:r>
          </w:p>
        </w:tc>
        <w:tc>
          <w:tcPr>
            <w:tcW w:w="76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hd w:val="clear" w:color="auto" w:fill="auto"/>
              </w:rPr>
            </w:pPr>
            <w:r>
              <w:rPr>
                <w:rFonts w:ascii="宋体" w:cs="宋体" w:hint="eastAsia"/>
                <w:kern w:val="0"/>
                <w:sz w:val="20"/>
                <w:szCs w:val="20"/>
                <w:shd w:val="clear" w:color="auto" w:fill="auto"/>
                <w:lang w:bidi="ar-SA"/>
              </w:rPr>
              <w:t>社会公益组织</w:t>
            </w:r>
          </w:p>
        </w:tc>
        <w:tc>
          <w:tcPr>
            <w:tcW w:w="76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hd w:val="clear" w:color="auto" w:fill="auto"/>
              </w:rPr>
            </w:pPr>
            <w:r>
              <w:rPr>
                <w:rFonts w:ascii="宋体" w:cs="宋体" w:hint="eastAsia"/>
                <w:kern w:val="0"/>
                <w:sz w:val="20"/>
                <w:szCs w:val="20"/>
                <w:shd w:val="clear" w:color="auto" w:fill="auto"/>
                <w:lang w:bidi="ar-SA"/>
              </w:rPr>
              <w:t>法律服务机构</w:t>
            </w:r>
          </w:p>
        </w:tc>
        <w:tc>
          <w:tcPr>
            <w:tcW w:w="497"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hd w:val="clear" w:color="auto" w:fill="auto"/>
              </w:rPr>
            </w:pPr>
            <w:r>
              <w:rPr>
                <w:rFonts w:ascii="宋体" w:cs="宋体" w:hint="eastAsia"/>
                <w:kern w:val="0"/>
                <w:sz w:val="20"/>
                <w:szCs w:val="20"/>
                <w:shd w:val="clear" w:color="auto" w:fill="auto"/>
                <w:lang w:bidi="ar-SA"/>
              </w:rPr>
              <w:t>其他</w:t>
            </w:r>
          </w:p>
        </w:tc>
        <w:tc>
          <w:tcPr>
            <w:tcW w:w="682"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tcMar>
              <w:left w:w="108" w:type="dxa"/>
              <w:right w:w="108" w:type="dxa"/>
            </w:tcMar>
          </w:tcPr>
          <w:p>
            <w:pPr>
              <w:pStyle w:val="41"/>
              <w:widowControl/>
              <w:shd w:val="clear" w:color="auto" w:fill="auto"/>
              <w:spacing w:line="560" w:lineRule="exact"/>
              <w:jc w:val="left"/>
              <w:rPr>
                <w:sz w:val="24"/>
                <w:szCs w:val="24"/>
                <w:shd w:val="clear" w:color="auto" w:fill="auto"/>
              </w:rPr>
            </w:pPr>
            <w:r>
              <w:rPr>
                <w:rFonts w:ascii="宋体" w:cs="宋体" w:hint="eastAsia"/>
                <w:kern w:val="0"/>
                <w:sz w:val="24"/>
                <w:szCs w:val="24"/>
                <w:shd w:val="clear" w:color="auto" w:fill="auto"/>
                <w:lang w:bidi="ar-SA"/>
              </w:rPr>
              <w:t>一、本年新收政府信息公开申请数量</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4302" w:type="dxa"/>
            <w:gridSpan w:val="3"/>
            <w:tcBorders>
              <w:top w:val="nil"/>
              <w:left w:val="single" w:sz="8" w:space="0" w:color="auto"/>
              <w:bottom w:val="single" w:sz="8" w:space="0" w:color="auto"/>
              <w:right w:val="single" w:sz="8" w:space="0" w:color="auto"/>
              <w:tl2br w:val="nil"/>
              <w:tr2bl w:val="nil"/>
            </w:tcBorders>
            <w:tcMar>
              <w:left w:w="108" w:type="dxa"/>
              <w:right w:w="108" w:type="dxa"/>
            </w:tcMar>
          </w:tcPr>
          <w:p>
            <w:pPr>
              <w:pStyle w:val="41"/>
              <w:widowControl/>
              <w:shd w:val="clear" w:color="auto" w:fill="auto"/>
              <w:spacing w:line="560" w:lineRule="exact"/>
              <w:jc w:val="left"/>
              <w:rPr>
                <w:sz w:val="24"/>
                <w:szCs w:val="24"/>
                <w:shd w:val="clear" w:color="auto" w:fill="auto"/>
              </w:rPr>
            </w:pPr>
            <w:r>
              <w:rPr>
                <w:rFonts w:ascii="宋体" w:cs="宋体" w:hint="eastAsia"/>
                <w:kern w:val="0"/>
                <w:sz w:val="24"/>
                <w:szCs w:val="24"/>
                <w:shd w:val="clear" w:color="auto" w:fill="auto"/>
                <w:lang w:bidi="ar-SA"/>
              </w:rPr>
              <w:t>二、上年结转政府信息公开申请数量</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hint="eastAsia"/>
                <w:sz w:val="24"/>
                <w:szCs w:val="24"/>
                <w:shd w:val="clear" w:color="auto" w:fill="auto"/>
              </w:rPr>
            </w:pPr>
            <w:r>
              <w:rPr>
                <w:rFonts w:eastAsia="方正仿宋_GBK" w:hint="eastAsia"/>
                <w:sz w:val="24"/>
                <w:szCs w:val="24"/>
                <w:shd w:val="clear" w:color="auto" w:fill="auto"/>
              </w:rPr>
              <w:t xml:space="preserve">0 </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val="restart"/>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三、本年度办理结果</w:t>
            </w:r>
          </w:p>
        </w:tc>
        <w:tc>
          <w:tcPr>
            <w:tcW w:w="3606" w:type="dxa"/>
            <w:gridSpan w:val="2"/>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left"/>
              <w:rPr>
                <w:sz w:val="24"/>
                <w:szCs w:val="24"/>
                <w:shd w:val="clear" w:color="auto" w:fill="auto"/>
              </w:rPr>
            </w:pPr>
            <w:r>
              <w:rPr>
                <w:rFonts w:ascii="楷体" w:eastAsia="楷体" w:cs="楷体" w:hint="eastAsia"/>
                <w:kern w:val="0"/>
                <w:sz w:val="24"/>
                <w:szCs w:val="24"/>
                <w:shd w:val="clear" w:color="auto" w:fill="auto"/>
                <w:lang w:bidi="ar-SA"/>
              </w:rPr>
              <w:t>（一）予以公开</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left"/>
              <w:rPr>
                <w:sz w:val="24"/>
                <w:szCs w:val="24"/>
                <w:shd w:val="clear" w:color="auto" w:fill="auto"/>
              </w:rPr>
            </w:pPr>
            <w:r>
              <w:rPr>
                <w:rFonts w:ascii="楷体" w:eastAsia="楷体" w:cs="楷体" w:hint="eastAsia"/>
                <w:kern w:val="0"/>
                <w:sz w:val="24"/>
                <w:szCs w:val="24"/>
                <w:shd w:val="clear" w:color="auto" w:fill="auto"/>
                <w:lang w:bidi="ar-SA"/>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lang w:bidi="ar-SA"/>
              </w:rPr>
              <w:t>（三）不予公开</w:t>
            </w: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lang w:bidi="ar-SA"/>
              </w:rPr>
              <w:t>1.属于国家秘密</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lang w:bidi="ar-SA"/>
              </w:rPr>
              <w:t>2.其他法律行政法规禁止公开</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lang w:bidi="ar-SA"/>
              </w:rPr>
              <w:t>3.危及“三安全一稳定”</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lang w:bidi="ar-SA"/>
              </w:rPr>
              <w:t>4.保护第三方合法权益</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lang w:bidi="ar-SA"/>
              </w:rPr>
              <w:t>5.属于三类内部事务信息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lang w:bidi="ar-SA"/>
              </w:rPr>
              <w:t>6.属于四类过程性信息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lang w:bidi="ar-SA"/>
              </w:rPr>
              <w:t>7.属于行政执法案卷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lang w:bidi="ar-SA"/>
              </w:rPr>
              <w:t>8.属于行政查询事项</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hint="eastAsia"/>
                <w:sz w:val="24"/>
                <w:szCs w:val="24"/>
                <w:shd w:val="clear" w:color="auto" w:fill="auto"/>
              </w:rPr>
            </w:pPr>
            <w:r>
              <w:rPr>
                <w:rFonts w:eastAsia="方正仿宋_GBK" w:hint="eastAsia"/>
                <w:sz w:val="24"/>
                <w:szCs w:val="24"/>
                <w:shd w:val="clear" w:color="auto" w:fill="auto"/>
              </w:rPr>
              <w:t xml:space="preserve">0                                                          </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lang w:bidi="ar-SA"/>
              </w:rPr>
              <w:t>（四）无法提供</w:t>
            </w: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lang w:bidi="ar-SA"/>
              </w:rPr>
              <w:t>1.本机关不掌握相关政府信息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lang w:bidi="ar-SA"/>
              </w:rPr>
              <w:t>2.没有现成信息需要另行制作</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lang w:bidi="ar-SA"/>
              </w:rPr>
              <w:t>3.补正后申请内容仍不明确</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lang w:bidi="ar-SA"/>
              </w:rPr>
              <w:t>（五）不予处理</w:t>
            </w: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lang w:bidi="ar-SA"/>
              </w:rPr>
              <w:t>1.信访举报投诉类申请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hint="eastAsia"/>
                <w:sz w:val="24"/>
                <w:szCs w:val="24"/>
                <w:shd w:val="clear" w:color="auto" w:fill="auto"/>
              </w:rPr>
            </w:pPr>
            <w:r>
              <w:rPr>
                <w:rFonts w:eastAsia="方正仿宋_GBK" w:hint="eastAsia"/>
                <w:sz w:val="24"/>
                <w:szCs w:val="24"/>
                <w:shd w:val="clear" w:color="auto" w:fill="auto"/>
              </w:rPr>
              <w:t xml:space="preserve">0       </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lang w:bidi="ar-SA"/>
              </w:rPr>
              <w:t>2.重复申请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lang w:bidi="ar-SA"/>
              </w:rPr>
              <w:t>3.要求提供公开出版物</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lang w:bidi="ar-SA"/>
              </w:rPr>
              <w:t>4.无正当理由大量反复申请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lang w:bidi="ar-SA"/>
              </w:rPr>
              <w:t>5.要求行政机关确认或重新出具已获取信息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lang w:bidi="ar-SA"/>
              </w:rPr>
              <w:t>（六）其他处理</w:t>
            </w:r>
          </w:p>
        </w:tc>
        <w:tc>
          <w:tcPr>
            <w:tcW w:w="2670" w:type="dxa"/>
            <w:tcBorders>
              <w:top w:val="nil"/>
              <w:left w:val="single" w:sz="8" w:space="0" w:color="auto"/>
              <w:bottom w:val="single" w:sz="8" w:space="0" w:color="auto"/>
              <w:right w:val="single" w:sz="8" w:space="0" w:color="auto"/>
              <w:tl2br w:val="nil"/>
              <w:tr2bl w:val="nil"/>
            </w:tcBorders>
            <w:tcMar>
              <w:left w:w="108" w:type="dxa"/>
              <w:right w:w="108" w:type="dxa"/>
            </w:tcMar>
          </w:tcPr>
          <w:p>
            <w:pPr>
              <w:pStyle w:val="41"/>
              <w:widowControl/>
              <w:shd w:val="clear" w:color="auto" w:fill="auto"/>
              <w:spacing w:line="560" w:lineRule="exact"/>
              <w:rPr>
                <w:rFonts w:ascii="楷体" w:eastAsia="楷体" w:cs="楷体" w:hint="eastAsia"/>
                <w:kern w:val="0"/>
                <w:sz w:val="24"/>
                <w:szCs w:val="24"/>
                <w:shd w:val="clear" w:color="auto" w:fill="auto"/>
                <w:lang w:bidi="ar-SA"/>
              </w:rPr>
            </w:pPr>
            <w:r>
              <w:rPr>
                <w:rFonts w:ascii="楷体" w:eastAsia="楷体" w:cs="楷体" w:hint="eastAsia"/>
                <w:kern w:val="0"/>
                <w:sz w:val="24"/>
                <w:szCs w:val="24"/>
                <w:shd w:val="clear" w:color="auto" w:fill="auto"/>
                <w:lang w:bidi="ar-SA"/>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single" w:sz="8" w:space="0" w:color="auto"/>
              <w:bottom w:val="single" w:sz="8" w:space="0" w:color="auto"/>
              <w:right w:val="single" w:sz="8" w:space="0" w:color="auto"/>
              <w:tl2br w:val="nil"/>
              <w:tr2bl w:val="nil"/>
            </w:tcBorders>
          </w:tcPr>
          <w:p>
            <w:pPr>
              <w:pStyle w:val="41"/>
              <w:widowControl/>
              <w:shd w:val="clear" w:color="auto" w:fill="auto"/>
              <w:spacing w:line="560" w:lineRule="exact"/>
              <w:rPr>
                <w:rFonts w:ascii="楷体" w:eastAsia="楷体" w:cs="楷体" w:hint="eastAsia"/>
                <w:kern w:val="0"/>
                <w:sz w:val="24"/>
                <w:szCs w:val="24"/>
                <w:shd w:val="clear" w:color="auto" w:fill="auto"/>
                <w:lang w:bidi="ar-SA"/>
              </w:rPr>
            </w:pPr>
            <w:r>
              <w:rPr>
                <w:rFonts w:ascii="楷体" w:eastAsia="楷体" w:cs="楷体" w:hint="eastAsia"/>
                <w:kern w:val="0"/>
                <w:sz w:val="24"/>
                <w:szCs w:val="24"/>
                <w:shd w:val="clear" w:color="auto" w:fill="auto"/>
                <w:lang w:bidi="ar-SA"/>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single" w:sz="8" w:space="0" w:color="auto"/>
              <w:bottom w:val="single" w:sz="8" w:space="0" w:color="auto"/>
              <w:right w:val="single" w:sz="8" w:space="0" w:color="auto"/>
              <w:tl2br w:val="nil"/>
              <w:tr2bl w:val="nil"/>
            </w:tcBorders>
          </w:tcPr>
          <w:p>
            <w:pPr>
              <w:pStyle w:val="41"/>
              <w:widowControl/>
              <w:shd w:val="clear" w:color="auto" w:fill="auto"/>
              <w:spacing w:line="560" w:lineRule="exact"/>
              <w:rPr>
                <w:rFonts w:ascii="楷体" w:eastAsia="楷体" w:cs="楷体" w:hint="eastAsia"/>
                <w:kern w:val="0"/>
                <w:sz w:val="24"/>
                <w:szCs w:val="24"/>
                <w:shd w:val="clear" w:color="auto" w:fill="auto"/>
                <w:lang w:bidi="ar-SA"/>
              </w:rPr>
            </w:pPr>
            <w:r>
              <w:rPr>
                <w:rFonts w:ascii="楷体" w:eastAsia="楷体" w:cs="楷体" w:hint="eastAsia"/>
                <w:kern w:val="0"/>
                <w:sz w:val="24"/>
                <w:szCs w:val="24"/>
                <w:shd w:val="clear" w:color="auto" w:fill="auto"/>
                <w:lang w:bidi="ar-SA"/>
              </w:rPr>
              <w:t>3.咨询事项，指引咨询渠道</w:t>
            </w:r>
          </w:p>
        </w:tc>
        <w:tc>
          <w:tcPr>
            <w:tcW w:w="635"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single" w:sz="8" w:space="0" w:color="auto"/>
              <w:bottom w:val="single" w:sz="8" w:space="0" w:color="auto"/>
              <w:right w:val="single" w:sz="8" w:space="0" w:color="auto"/>
              <w:tl2br w:val="nil"/>
              <w:tr2bl w:val="nil"/>
            </w:tcBorders>
          </w:tcPr>
          <w:p>
            <w:pPr>
              <w:pStyle w:val="41"/>
              <w:widowControl/>
              <w:shd w:val="clear" w:color="auto" w:fill="auto"/>
              <w:spacing w:line="560" w:lineRule="exact"/>
              <w:rPr>
                <w:rFonts w:ascii="楷体" w:eastAsia="楷体" w:cs="楷体" w:hint="eastAsia"/>
                <w:kern w:val="0"/>
                <w:sz w:val="24"/>
                <w:szCs w:val="24"/>
                <w:shd w:val="clear" w:color="auto" w:fill="auto"/>
                <w:lang w:bidi="ar-SA"/>
              </w:rPr>
            </w:pPr>
            <w:r>
              <w:rPr>
                <w:rFonts w:ascii="楷体" w:eastAsia="楷体" w:cs="楷体" w:hint="eastAsia"/>
                <w:kern w:val="0"/>
                <w:sz w:val="24"/>
                <w:szCs w:val="24"/>
                <w:shd w:val="clear" w:color="auto" w:fill="auto"/>
                <w:lang w:bidi="ar-SA"/>
              </w:rPr>
              <w:t>4.申请人撤销申请</w:t>
            </w:r>
          </w:p>
        </w:tc>
        <w:tc>
          <w:tcPr>
            <w:tcW w:w="635"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vAlign w:val="center"/>
          </w:tcPr>
          <w:p>
            <w:pPr>
              <w:pStyle w:val="41"/>
              <w:shd w:val="clear" w:color="auto" w:fill="auto"/>
              <w:spacing w:line="560" w:lineRule="exact"/>
              <w:jc w:val="center"/>
              <w:rPr>
                <w:rFonts w:eastAsia="方正仿宋_GBK" w:hint="eastAsia"/>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lang w:bidi="ar-SA"/>
              </w:rPr>
              <w:t>（七）总计</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4302" w:type="dxa"/>
            <w:gridSpan w:val="3"/>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left"/>
              <w:rPr>
                <w:shd w:val="clear" w:color="auto" w:fill="auto"/>
              </w:rPr>
            </w:pPr>
            <w:r>
              <w:rPr>
                <w:rFonts w:ascii="宋体" w:cs="宋体" w:hint="eastAsia"/>
                <w:kern w:val="0"/>
                <w:sz w:val="24"/>
                <w:szCs w:val="24"/>
                <w:shd w:val="clear" w:color="auto" w:fill="auto"/>
                <w:lang w:bidi="ar-SA"/>
              </w:rPr>
              <w:t>四、结转下年度继续办理</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shd w:val="clear" w:color="auto" w:fill="auto"/>
              <w:spacing w:line="560" w:lineRule="exact"/>
              <w:jc w:val="center"/>
              <w:rPr>
                <w:rFonts w:eastAsia="方正仿宋_GBK"/>
                <w:sz w:val="24"/>
                <w:szCs w:val="24"/>
                <w:shd w:val="clear" w:color="auto" w:fill="auto"/>
              </w:rPr>
            </w:pPr>
            <w:r>
              <w:rPr>
                <w:rFonts w:eastAsia="方正仿宋_GBK" w:hint="eastAsia"/>
                <w:sz w:val="24"/>
                <w:szCs w:val="24"/>
                <w:shd w:val="clear" w:color="auto" w:fill="auto"/>
              </w:rPr>
              <w:t>0</w:t>
            </w:r>
          </w:p>
        </w:tc>
      </w:tr>
    </w:tbl>
    <w:p>
      <w:pPr>
        <w:pStyle w:val="27"/>
        <w:widowControl/>
        <w:shd w:val="clear" w:color="auto" w:fill="auto"/>
        <w:adjustRightInd w:val="0"/>
        <w:snapToGrid w:val="0"/>
        <w:spacing w:beforeAutospacing="0" w:afterAutospacing="0" w:line="560" w:lineRule="exact"/>
        <w:ind w:firstLineChars="200" w:firstLine="640"/>
        <w:jc w:val="both"/>
        <w:rPr>
          <w:rFonts w:ascii="方正黑体_GBK" w:eastAsia="方正黑体_GBK" w:cs="楷体_GB2312" w:hint="eastAsia"/>
          <w:bCs/>
          <w:sz w:val="32"/>
          <w:szCs w:val="32"/>
          <w:shd w:val="clear" w:color="auto" w:fill="auto"/>
        </w:rPr>
      </w:pPr>
      <w:r>
        <w:rPr>
          <w:rFonts w:ascii="方正黑体_GBK" w:eastAsia="方正黑体_GBK" w:cs="楷体_GB2312" w:hint="eastAsia"/>
          <w:bCs/>
          <w:sz w:val="32"/>
          <w:szCs w:val="32"/>
          <w:shd w:val="clear" w:color="auto" w:fill="auto"/>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行政复议</w:t>
            </w:r>
          </w:p>
        </w:tc>
        <w:tc>
          <w:tcPr>
            <w:tcW w:w="5997" w:type="dxa"/>
            <w:gridSpan w:val="10"/>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结果维持</w:t>
            </w:r>
          </w:p>
        </w:tc>
        <w:tc>
          <w:tcPr>
            <w:tcW w:w="604"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结果纠正</w:t>
            </w:r>
          </w:p>
        </w:tc>
        <w:tc>
          <w:tcPr>
            <w:tcW w:w="604"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其他结果</w:t>
            </w:r>
          </w:p>
        </w:tc>
        <w:tc>
          <w:tcPr>
            <w:tcW w:w="604"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尚未审结</w:t>
            </w:r>
          </w:p>
        </w:tc>
        <w:tc>
          <w:tcPr>
            <w:tcW w:w="658"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总计</w:t>
            </w:r>
          </w:p>
        </w:tc>
        <w:tc>
          <w:tcPr>
            <w:tcW w:w="2970" w:type="dxa"/>
            <w:gridSpan w:val="5"/>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复议后起诉</w:t>
            </w:r>
          </w:p>
        </w:tc>
      </w:tr>
      <w:tr>
        <w:tc>
          <w:tcPr>
            <w:tcW w:w="604"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结果维持</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结果纠正</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其他结果</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尚未审结</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总计</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结果维持</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结果纠正</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其他结果</w:t>
            </w:r>
          </w:p>
        </w:tc>
        <w:tc>
          <w:tcPr>
            <w:tcW w:w="60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尚未审结</w:t>
            </w:r>
          </w:p>
        </w:tc>
        <w:tc>
          <w:tcPr>
            <w:tcW w:w="60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lang w:bidi="ar-SA"/>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8"/>
                <w:szCs w:val="28"/>
                <w:shd w:val="clear" w:color="auto" w:fill="auto"/>
              </w:rPr>
            </w:pPr>
            <w:r>
              <w:rPr>
                <w:rFonts w:hint="eastAsia"/>
                <w:sz w:val="28"/>
                <w:szCs w:val="28"/>
                <w:shd w:val="clear" w:color="auto" w:fill="auto"/>
              </w:rPr>
              <w:t>0</w:t>
            </w:r>
          </w:p>
        </w:tc>
        <w:tc>
          <w:tcPr>
            <w:tcW w:w="604"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8"/>
                <w:szCs w:val="28"/>
                <w:shd w:val="clear" w:color="auto" w:fill="auto"/>
              </w:rPr>
            </w:pPr>
            <w:r>
              <w:rPr>
                <w:rFonts w:hint="eastAsia"/>
                <w:sz w:val="28"/>
                <w:szCs w:val="28"/>
                <w:shd w:val="clear" w:color="auto" w:fill="auto"/>
              </w:rPr>
              <w:t>0</w:t>
            </w:r>
          </w:p>
        </w:tc>
        <w:tc>
          <w:tcPr>
            <w:tcW w:w="604"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8"/>
                <w:szCs w:val="28"/>
                <w:shd w:val="clear" w:color="auto" w:fill="auto"/>
              </w:rPr>
            </w:pPr>
            <w:r>
              <w:rPr>
                <w:rFonts w:hint="eastAsia"/>
                <w:sz w:val="28"/>
                <w:szCs w:val="28"/>
                <w:shd w:val="clear" w:color="auto" w:fill="auto"/>
              </w:rPr>
              <w:t>0</w:t>
            </w:r>
          </w:p>
        </w:tc>
        <w:tc>
          <w:tcPr>
            <w:tcW w:w="604"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8"/>
                <w:szCs w:val="28"/>
                <w:shd w:val="clear" w:color="auto" w:fill="auto"/>
              </w:rPr>
            </w:pPr>
            <w:r>
              <w:rPr>
                <w:rFonts w:hint="eastAsia"/>
                <w:sz w:val="28"/>
                <w:szCs w:val="28"/>
                <w:shd w:val="clear" w:color="auto" w:fill="auto"/>
              </w:rPr>
              <w:t>0</w:t>
            </w:r>
          </w:p>
        </w:tc>
        <w:tc>
          <w:tcPr>
            <w:tcW w:w="658"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8"/>
                <w:szCs w:val="28"/>
                <w:shd w:val="clear" w:color="auto" w:fill="auto"/>
              </w:rPr>
            </w:pPr>
            <w:r>
              <w:rPr>
                <w:rFonts w:hint="eastAsia"/>
                <w:sz w:val="28"/>
                <w:szCs w:val="28"/>
                <w:shd w:val="clear" w:color="auto" w:fill="auto"/>
              </w:rPr>
              <w:t>0</w:t>
            </w:r>
          </w:p>
        </w:tc>
        <w:tc>
          <w:tcPr>
            <w:tcW w:w="550"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8"/>
                <w:szCs w:val="28"/>
                <w:shd w:val="clear" w:color="auto" w:fill="auto"/>
              </w:rPr>
            </w:pPr>
            <w:r>
              <w:rPr>
                <w:rFonts w:hint="eastAsia"/>
                <w:sz w:val="28"/>
                <w:szCs w:val="28"/>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8"/>
                <w:szCs w:val="28"/>
                <w:shd w:val="clear" w:color="auto" w:fill="auto"/>
              </w:rPr>
            </w:pPr>
            <w:r>
              <w:rPr>
                <w:rFonts w:hint="eastAsia"/>
                <w:sz w:val="28"/>
                <w:szCs w:val="28"/>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8"/>
                <w:szCs w:val="28"/>
                <w:shd w:val="clear" w:color="auto" w:fill="auto"/>
              </w:rPr>
            </w:pPr>
            <w:r>
              <w:rPr>
                <w:rFonts w:hint="eastAsia"/>
                <w:sz w:val="28"/>
                <w:szCs w:val="28"/>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8"/>
                <w:szCs w:val="28"/>
                <w:shd w:val="clear" w:color="auto" w:fill="auto"/>
              </w:rPr>
            </w:pPr>
            <w:r>
              <w:rPr>
                <w:rFonts w:hint="eastAsia"/>
                <w:sz w:val="28"/>
                <w:szCs w:val="28"/>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8"/>
                <w:szCs w:val="28"/>
                <w:shd w:val="clear" w:color="auto" w:fill="auto"/>
              </w:rPr>
            </w:pPr>
            <w:r>
              <w:rPr>
                <w:rFonts w:hint="eastAsia"/>
                <w:sz w:val="28"/>
                <w:szCs w:val="28"/>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8"/>
                <w:szCs w:val="28"/>
                <w:shd w:val="clear" w:color="auto" w:fill="auto"/>
              </w:rPr>
            </w:pPr>
            <w:r>
              <w:rPr>
                <w:rFonts w:hint="eastAsia"/>
                <w:sz w:val="28"/>
                <w:szCs w:val="28"/>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8"/>
                <w:szCs w:val="28"/>
                <w:shd w:val="clear" w:color="auto" w:fill="auto"/>
              </w:rPr>
            </w:pPr>
            <w:r>
              <w:rPr>
                <w:rFonts w:hint="eastAsia"/>
                <w:sz w:val="28"/>
                <w:szCs w:val="28"/>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sz w:val="28"/>
                <w:szCs w:val="28"/>
                <w:shd w:val="clear" w:color="auto" w:fill="auto"/>
              </w:rPr>
            </w:pPr>
            <w:r>
              <w:rPr>
                <w:rFonts w:hint="eastAsia"/>
                <w:sz w:val="28"/>
                <w:szCs w:val="28"/>
                <w:shd w:val="clear" w:color="auto" w:fill="auto"/>
              </w:rPr>
              <w:t>0</w:t>
            </w:r>
          </w:p>
        </w:tc>
        <w:tc>
          <w:tcPr>
            <w:tcW w:w="606"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kern w:val="0"/>
                <w:sz w:val="28"/>
                <w:szCs w:val="28"/>
                <w:shd w:val="clear" w:color="auto" w:fill="auto"/>
              </w:rPr>
            </w:pPr>
            <w:r>
              <w:rPr>
                <w:rFonts w:hint="eastAsia"/>
                <w:kern w:val="0"/>
                <w:sz w:val="28"/>
                <w:szCs w:val="28"/>
                <w:shd w:val="clear" w:color="auto" w:fill="auto"/>
              </w:rPr>
              <w:t>0</w:t>
            </w:r>
          </w:p>
        </w:tc>
        <w:tc>
          <w:tcPr>
            <w:tcW w:w="606" w:type="dxa"/>
            <w:tcBorders>
              <w:top w:val="nil"/>
              <w:left w:val="nil"/>
              <w:bottom w:val="single" w:sz="8" w:space="0" w:color="auto"/>
              <w:right w:val="single" w:sz="8" w:space="0" w:color="auto"/>
              <w:tl2br w:val="nil"/>
              <w:tr2bl w:val="nil"/>
            </w:tcBorders>
            <w:tcMar>
              <w:left w:w="108" w:type="dxa"/>
              <w:right w:w="108" w:type="dxa"/>
            </w:tcMar>
            <w:vAlign w:val="center"/>
          </w:tcPr>
          <w:p>
            <w:pPr>
              <w:pStyle w:val="41"/>
              <w:widowControl/>
              <w:shd w:val="clear" w:color="auto" w:fill="auto"/>
              <w:spacing w:line="560" w:lineRule="exact"/>
              <w:jc w:val="center"/>
              <w:rPr>
                <w:kern w:val="0"/>
                <w:sz w:val="28"/>
                <w:szCs w:val="28"/>
                <w:shd w:val="clear" w:color="auto" w:fill="auto"/>
              </w:rPr>
            </w:pPr>
            <w:r>
              <w:rPr>
                <w:rFonts w:hint="eastAsia"/>
                <w:kern w:val="0"/>
                <w:sz w:val="28"/>
                <w:szCs w:val="28"/>
                <w:shd w:val="clear" w:color="auto" w:fill="auto"/>
              </w:rPr>
              <w:t>0</w:t>
            </w:r>
          </w:p>
        </w:tc>
      </w:tr>
    </w:tbl>
    <w:p>
      <w:pPr>
        <w:pStyle w:val="27"/>
        <w:widowControl/>
        <w:shd w:val="clear" w:color="auto" w:fill="auto"/>
        <w:adjustRightInd w:val="0"/>
        <w:snapToGrid w:val="0"/>
        <w:spacing w:beforeAutospacing="0" w:afterAutospacing="0" w:line="560" w:lineRule="exact"/>
        <w:ind w:firstLineChars="200" w:firstLine="640"/>
        <w:jc w:val="both"/>
        <w:rPr>
          <w:rFonts w:ascii="方正黑体_GBK" w:eastAsia="方正黑体_GBK" w:cs="楷体_GB2312" w:hint="eastAsia"/>
          <w:bCs/>
          <w:sz w:val="32"/>
          <w:szCs w:val="32"/>
          <w:shd w:val="clear" w:color="auto" w:fill="auto"/>
          <w:lang w:bidi="ar-SA"/>
        </w:rPr>
      </w:pPr>
      <w:r>
        <w:rPr>
          <w:rFonts w:ascii="方正黑体_GBK" w:eastAsia="方正黑体_GBK" w:cs="楷体_GB2312" w:hint="eastAsia"/>
          <w:bCs/>
          <w:sz w:val="32"/>
          <w:szCs w:val="32"/>
          <w:shd w:val="clear" w:color="auto" w:fill="auto"/>
          <w:lang w:bidi="ar-SA"/>
        </w:rPr>
        <w:t>五、存在的主要问题及改进情况</w:t>
      </w:r>
    </w:p>
    <w:p>
      <w:pPr>
        <w:pStyle w:val="104"/>
        <w:shd w:val="clear" w:color="auto" w:fill="auto"/>
        <w:adjustRightInd w:val="0"/>
        <w:snapToGrid w:val="0"/>
        <w:ind w:firstLineChars="200" w:firstLine="624"/>
        <w:rPr>
          <w:rFonts w:ascii="方正楷体_GBK" w:eastAsia="方正楷体_GBK" w:hint="eastAsia"/>
          <w:b/>
          <w:bCs/>
          <w:shd w:val="clear" w:color="auto" w:fill="auto"/>
        </w:rPr>
      </w:pPr>
      <w:r>
        <w:rPr>
          <w:rFonts w:ascii="方正楷体_GBK" w:eastAsia="方正楷体_GBK" w:hint="eastAsia"/>
          <w:b/>
          <w:bCs/>
          <w:shd w:val="clear" w:color="auto" w:fill="auto"/>
        </w:rPr>
        <w:t>（一）2023年年报中所提问题整改情况。</w:t>
      </w:r>
    </w:p>
    <w:p>
      <w:pPr>
        <w:pStyle w:val="104"/>
        <w:shd w:val="clear" w:color="auto" w:fill="auto"/>
        <w:adjustRightInd w:val="0"/>
        <w:snapToGrid w:val="0"/>
        <w:ind w:firstLineChars="200" w:firstLine="624"/>
        <w:rPr>
          <w:shd w:val="clear" w:color="auto" w:fill="auto"/>
        </w:rPr>
      </w:pPr>
      <w:r>
        <w:rPr>
          <w:rFonts w:hint="eastAsia"/>
          <w:shd w:val="clear" w:color="auto" w:fill="auto"/>
        </w:rPr>
        <w:t>从化海关2023年年报中提出以下问题：对企政策宣讲工作仍需加强，政策咨询服务水平仍需提升，政务服务需进一步提高针对性</w:t>
      </w:r>
      <w:r>
        <w:rPr>
          <w:shd w:val="clear" w:color="auto" w:fill="auto"/>
        </w:rPr>
        <w:t>。</w:t>
      </w:r>
    </w:p>
    <w:p>
      <w:pPr>
        <w:pStyle w:val="104"/>
        <w:shd w:val="clear" w:color="auto" w:fill="auto"/>
        <w:adjustRightInd w:val="0"/>
        <w:snapToGrid w:val="0"/>
        <w:ind w:firstLineChars="200" w:firstLine="624"/>
        <w:rPr>
          <w:rFonts w:hint="eastAsia"/>
          <w:shd w:val="clear" w:color="auto" w:fill="auto"/>
        </w:rPr>
      </w:pPr>
      <w:r>
        <w:rPr>
          <w:rFonts w:hint="eastAsia"/>
          <w:shd w:val="clear" w:color="auto" w:fill="auto"/>
        </w:rPr>
        <w:t>上述问题在2024年</w:t>
      </w:r>
      <w:r>
        <w:rPr>
          <w:shd w:val="clear" w:color="auto" w:fill="auto"/>
        </w:rPr>
        <w:t>已采取措施</w:t>
      </w:r>
      <w:r>
        <w:rPr>
          <w:rFonts w:hint="eastAsia"/>
          <w:shd w:val="clear" w:color="auto" w:fill="auto"/>
        </w:rPr>
        <w:t>完成整改：</w:t>
      </w:r>
      <w:r>
        <w:rPr>
          <w:rFonts w:hint="eastAsia"/>
          <w:b/>
          <w:bCs/>
          <w:shd w:val="clear" w:color="auto" w:fill="auto"/>
        </w:rPr>
        <w:t>一是</w:t>
      </w:r>
      <w:r>
        <w:rPr>
          <w:rFonts w:hint="eastAsia"/>
          <w:shd w:val="clear" w:color="auto" w:fill="auto"/>
        </w:rPr>
        <w:t>开展“我陪群众走流程”政务服务提升行动，围绕辖区特色产业，组织业务专家</w:t>
      </w:r>
      <w:r>
        <w:rPr>
          <w:shd w:val="clear" w:color="auto" w:fill="auto"/>
        </w:rPr>
        <w:t>走进</w:t>
      </w:r>
      <w:r>
        <w:rPr>
          <w:rFonts w:hint="eastAsia"/>
          <w:shd w:val="clear" w:color="auto" w:fill="auto"/>
        </w:rPr>
        <w:t>企业一线开展政务服务，加大对新法新规和企业群众关心关注海关政策的宣传解读</w:t>
      </w:r>
      <w:r>
        <w:rPr>
          <w:shd w:val="clear" w:color="auto" w:fill="auto"/>
        </w:rPr>
        <w:t>力度</w:t>
      </w:r>
      <w:r>
        <w:rPr>
          <w:rFonts w:hint="eastAsia"/>
          <w:shd w:val="clear" w:color="auto" w:fill="auto"/>
        </w:rPr>
        <w:t>，“我陪群众走流程”</w:t>
      </w:r>
      <w:r>
        <w:rPr>
          <w:shd w:val="clear" w:color="auto" w:fill="auto"/>
        </w:rPr>
        <w:t>活动中共</w:t>
      </w:r>
      <w:r>
        <w:rPr>
          <w:rFonts w:hint="eastAsia"/>
          <w:shd w:val="clear" w:color="auto" w:fill="auto"/>
        </w:rPr>
        <w:t>解决诉求</w:t>
      </w:r>
      <w:r>
        <w:rPr>
          <w:shd w:val="clear" w:color="auto" w:fill="auto"/>
        </w:rPr>
        <w:t>2个</w:t>
      </w:r>
      <w:r>
        <w:rPr>
          <w:rFonts w:hint="eastAsia"/>
          <w:shd w:val="clear" w:color="auto" w:fill="auto"/>
        </w:rPr>
        <w:t>。</w:t>
      </w:r>
      <w:r>
        <w:rPr>
          <w:rFonts w:hint="eastAsia"/>
          <w:b/>
          <w:bCs/>
          <w:shd w:val="clear" w:color="auto" w:fill="auto"/>
        </w:rPr>
        <w:t>二是</w:t>
      </w:r>
      <w:r>
        <w:rPr>
          <w:rFonts w:hint="eastAsia"/>
          <w:shd w:val="clear" w:color="auto" w:fill="auto"/>
        </w:rPr>
        <w:t>完善</w:t>
      </w:r>
      <w:r>
        <w:rPr>
          <w:shd w:val="clear" w:color="auto" w:fill="auto"/>
        </w:rPr>
        <w:t>基层</w:t>
      </w:r>
      <w:r>
        <w:rPr>
          <w:rFonts w:hint="eastAsia"/>
          <w:shd w:val="clear" w:color="auto" w:fill="auto"/>
        </w:rPr>
        <w:t>政务公开专区，在标准</w:t>
      </w:r>
      <w:r>
        <w:rPr>
          <w:shd w:val="clear" w:color="auto" w:fill="auto"/>
        </w:rPr>
        <w:t>化规范化</w:t>
      </w:r>
      <w:r>
        <w:rPr>
          <w:rFonts w:hint="eastAsia"/>
          <w:shd w:val="clear" w:color="auto" w:fill="auto"/>
        </w:rPr>
        <w:t>建设基础上，</w:t>
      </w:r>
      <w:r>
        <w:rPr>
          <w:shd w:val="clear" w:color="auto" w:fill="auto"/>
        </w:rPr>
        <w:t>及时</w:t>
      </w:r>
      <w:r>
        <w:rPr>
          <w:rFonts w:hint="eastAsia"/>
          <w:shd w:val="clear" w:color="auto" w:fill="auto"/>
        </w:rPr>
        <w:t>更新</w:t>
      </w:r>
      <w:r>
        <w:rPr>
          <w:shd w:val="clear" w:color="auto" w:fill="auto"/>
        </w:rPr>
        <w:t>维护</w:t>
      </w:r>
      <w:r>
        <w:rPr>
          <w:rFonts w:hint="eastAsia"/>
          <w:shd w:val="clear" w:color="auto" w:fill="auto"/>
        </w:rPr>
        <w:t>便民服务区、自助办理区等区域设施设备，对标识、资料、功能进行</w:t>
      </w:r>
      <w:r>
        <w:rPr>
          <w:shd w:val="clear" w:color="auto" w:fill="auto"/>
        </w:rPr>
        <w:t>优化</w:t>
      </w:r>
      <w:r>
        <w:rPr>
          <w:rFonts w:hint="eastAsia"/>
          <w:shd w:val="clear" w:color="auto" w:fill="auto"/>
        </w:rPr>
        <w:t>布置</w:t>
      </w:r>
      <w:r>
        <w:rPr>
          <w:szCs w:val="32"/>
          <w:shd w:val="clear" w:color="auto" w:fill="auto"/>
        </w:rPr>
        <w:t>。</w:t>
      </w:r>
    </w:p>
    <w:p>
      <w:pPr>
        <w:pStyle w:val="47"/>
        <w:shd w:val="clear" w:color="auto" w:fill="auto"/>
        <w:adjustRightInd w:val="0"/>
        <w:snapToGrid w:val="0"/>
        <w:ind w:firstLineChars="200" w:firstLine="624"/>
        <w:rPr>
          <w:rFonts w:ascii="方正楷体_GBK" w:eastAsia="方正楷体_GBK" w:hint="eastAsia"/>
          <w:b/>
          <w:bCs/>
          <w:shd w:val="clear" w:color="auto" w:fill="auto"/>
        </w:rPr>
      </w:pPr>
      <w:r>
        <w:rPr>
          <w:rFonts w:ascii="方正楷体_GBK" w:eastAsia="方正楷体_GBK" w:hint="eastAsia"/>
          <w:b/>
          <w:bCs/>
          <w:shd w:val="clear" w:color="auto" w:fill="auto"/>
        </w:rPr>
        <w:t>（二）目前存在问题。</w:t>
      </w:r>
    </w:p>
    <w:p>
      <w:pPr>
        <w:pStyle w:val="47"/>
        <w:shd w:val="clear" w:color="auto" w:fill="auto"/>
        <w:adjustRightInd w:val="0"/>
        <w:snapToGrid w:val="0"/>
        <w:ind w:firstLineChars="200" w:firstLine="624"/>
        <w:rPr>
          <w:szCs w:val="32"/>
          <w:shd w:val="clear" w:color="auto" w:fill="auto"/>
        </w:rPr>
      </w:pPr>
      <w:r>
        <w:rPr>
          <w:szCs w:val="32"/>
          <w:shd w:val="clear" w:color="auto" w:fill="auto"/>
        </w:rPr>
        <w:t>针</w:t>
      </w:r>
      <w:r>
        <w:rPr>
          <w:rFonts w:hint="eastAsia"/>
          <w:szCs w:val="32"/>
          <w:shd w:val="clear" w:color="auto" w:fill="auto"/>
        </w:rPr>
        <w:t>对新法新规和企业群众关心关注的海关政策</w:t>
      </w:r>
      <w:r>
        <w:rPr>
          <w:szCs w:val="32"/>
          <w:shd w:val="clear" w:color="auto" w:fill="auto"/>
        </w:rPr>
        <w:t>，需进一步提升</w:t>
      </w:r>
      <w:r>
        <w:rPr>
          <w:rFonts w:hint="eastAsia"/>
          <w:szCs w:val="32"/>
          <w:shd w:val="clear" w:color="auto" w:fill="auto"/>
        </w:rPr>
        <w:t>宣传解读的主动性、时效性</w:t>
      </w:r>
      <w:r>
        <w:rPr>
          <w:szCs w:val="32"/>
          <w:shd w:val="clear" w:color="auto" w:fill="auto"/>
        </w:rPr>
        <w:t>。</w:t>
      </w:r>
    </w:p>
    <w:p>
      <w:pPr>
        <w:pStyle w:val="27"/>
        <w:widowControl/>
        <w:shd w:val="clear" w:color="auto" w:fill="auto"/>
        <w:spacing w:beforeAutospacing="0" w:afterAutospacing="0" w:line="560" w:lineRule="exact"/>
        <w:ind w:firstLineChars="200" w:firstLine="640"/>
        <w:jc w:val="both"/>
        <w:rPr>
          <w:rFonts w:ascii="方正黑体_GBK" w:eastAsia="方正黑体_GBK" w:cs="楷体_GB2312" w:hint="eastAsia"/>
          <w:bCs/>
          <w:sz w:val="32"/>
          <w:szCs w:val="32"/>
          <w:shd w:val="clear" w:color="auto" w:fill="auto"/>
          <w:lang w:bidi="ar-SA"/>
        </w:rPr>
      </w:pPr>
      <w:r>
        <w:rPr>
          <w:rFonts w:ascii="方正黑体_GBK" w:eastAsia="方正黑体_GBK" w:cs="楷体_GB2312" w:hint="eastAsia"/>
          <w:bCs/>
          <w:sz w:val="32"/>
          <w:szCs w:val="32"/>
          <w:shd w:val="clear" w:color="auto" w:fill="auto"/>
          <w:lang w:bidi="ar-SA"/>
        </w:rPr>
        <w:t>六、其他需要报告的事项</w:t>
      </w:r>
      <w:bookmarkEnd w:id="1"/>
    </w:p>
    <w:p>
      <w:pPr>
        <w:pStyle w:val="109"/>
        <w:shd w:val="clear" w:color="auto" w:fill="auto"/>
        <w:adjustRightInd w:val="0"/>
        <w:snapToGrid w:val="0"/>
        <w:ind w:firstLineChars="200" w:firstLine="624"/>
        <w:rPr>
          <w:shd w:val="clear" w:color="auto" w:fill="auto"/>
        </w:rPr>
      </w:pPr>
      <w:r>
        <w:rPr>
          <w:rFonts w:hint="eastAsia"/>
          <w:shd w:val="clear" w:color="auto" w:fill="auto"/>
        </w:rPr>
        <w:t>从化海关严格按照《国务院办公厅关于印发〈政府信息公开信息处理费管理办法〉的通知》，</w:t>
      </w:r>
      <w:r>
        <w:rPr>
          <w:shd w:val="clear" w:color="auto" w:fill="auto"/>
        </w:rPr>
        <w:t>规范</w:t>
      </w:r>
      <w:r>
        <w:rPr>
          <w:rFonts w:hint="eastAsia"/>
          <w:shd w:val="clear" w:color="auto" w:fill="auto"/>
        </w:rPr>
        <w:t>政府信息公开信息处理费收取工作，2024年未收取政府信息公开信息处理费。</w:t>
      </w:r>
    </w:p>
    <w:sectPr>
      <w:footerReference w:type="default" r:id="rId2"/>
      <w:footerReference w:type="even" r:id="rId3"/>
      <w:footerReference w:type="first" r:id="rId4"/>
      <w:pgSz w:w="11907" w:h="16840"/>
      <w:pgMar w:top="1928" w:right="1588" w:bottom="1588"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1" w:csb1="00000000"/>
  </w:font>
  <w:font w:name="方正黑体_GBK">
    <w:altName w:val="微软雅黑"/>
    <w:panose1 w:val="03000509000000000000"/>
    <w:charset w:val="86"/>
    <w:family w:val="script"/>
    <w:pitch w:val="variable"/>
    <w:sig w:usb0="00000001" w:usb1="080E0000" w:usb2="00000010" w:usb3="00000000" w:csb0="00040000" w:csb1="00000000"/>
  </w:font>
  <w:font w:name="楷体_GB2312">
    <w:altName w:val="楷体"/>
    <w:panose1 w:val="02010609030101010101"/>
    <w:charset w:val="86"/>
    <w:family w:val="modern"/>
    <w:pitch w:val="variable"/>
    <w:sig w:usb0="00000001" w:usb1="080E0000" w:usb2="00000010" w:usb3="00000000" w:csb0="00040001" w:csb1="00000000"/>
  </w:font>
  <w:font w:name="方正仿宋_GBK">
    <w:altName w:val="微软雅黑"/>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方正楷体_GBK">
    <w:altName w:val="微软雅黑"/>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variable"/>
    <w:sig w:usb0="800002BF" w:usb1="38CF7CFA" w:usb2="00000016" w:usb3="00000000" w:csb0="00040001" w:csb1="00000000"/>
  </w:font>
  <w:font w:name="Courier New">
    <w:panose1 w:val="02070309020205020404"/>
    <w:charset w:val="00"/>
    <w:family w:val="modern"/>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3"/>
      <w:framePr w:w="0" w:hRule="auto" w:wrap="around" w:vAnchor="text" w:hAnchor="margin" w:xAlign="outside" w:y="1" w:anchorLock="0"/>
      <w:tabs>
        <w:tab w:val="center" w:pos="4153"/>
        <w:tab w:val="right" w:pos="8306"/>
      </w:tabs>
    </w:pPr>
    <w:r>
      <w:rPr>
        <w:rStyle w:val="29"/>
      </w:rPr>
      <w:fldChar w:fldCharType="begin"/>
    </w:r>
    <w:r>
      <w:rPr>
        <w:rStyle w:val="29"/>
      </w:rPr>
      <w:instrText>Page</w:instrText>
    </w:r>
    <w:r>
      <w:rPr>
        <w:rStyle w:val="29"/>
      </w:rPr>
      <w:fldChar w:fldCharType="separate"/>
    </w:r>
    <w:r>
      <w:rPr>
        <w:rStyle w:val="29"/>
        <w:lang w:val="en-US" w:eastAsia="zh-CN"/>
      </w:rPr>
      <w:t>- 7 -</w:t>
    </w:r>
    <w:r>
      <w:rPr>
        <w:rStyle w:val="29"/>
      </w:rPr>
      <w:fldChar w:fldCharType="end"/>
    </w:r>
  </w:p>
  <w:p>
    <w:pPr>
      <w:pStyle w:val="23"/>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3"/>
      <w:framePr w:w="0" w:hRule="auto" w:wrap="around" w:vAnchor="text" w:hAnchor="margin" w:xAlign="outside" w:y="1" w:anchorLock="0"/>
      <w:tabs>
        <w:tab w:val="center" w:pos="4153"/>
        <w:tab w:val="right" w:pos="8306"/>
      </w:tabs>
    </w:pPr>
    <w:r>
      <w:rPr>
        <w:rStyle w:val="29"/>
      </w:rPr>
      <w:fldChar w:fldCharType="begin"/>
    </w:r>
    <w:r>
      <w:rPr>
        <w:rStyle w:val="29"/>
      </w:rPr>
      <w:instrText>Page</w:instrText>
    </w:r>
    <w:r>
      <w:rPr>
        <w:rStyle w:val="29"/>
      </w:rPr>
      <w:fldChar w:fldCharType="separate"/>
    </w:r>
    <w:r>
      <w:rPr>
        <w:rStyle w:val="29"/>
        <w:lang w:val="en-US" w:eastAsia="zh-CN"/>
      </w:rPr>
      <w:t>- 8 -</w:t>
    </w:r>
    <w:r>
      <w:rPr>
        <w:rStyle w:val="29"/>
      </w:rPr>
      <w:fldChar w:fldCharType="end"/>
    </w:r>
  </w:p>
  <w:p>
    <w:pPr>
      <w:pStyle w:val="23"/>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3"/>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23"/>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62B9049"/>
    <w:multiLevelType w:val="singleLevel"/>
    <w:tmpl w:val="E668C876"/>
    <w:lvl w:ilvl="0">
      <w:start w:val="1"/>
      <w:numFmt w:val="decimal"/>
      <w:lvlRestart w:val="0"/>
      <w:lvlText w:val="%1."/>
      <w:lvlJc w:val="left"/>
      <w:pPr>
        <w:tabs>
          <w:tab w:val="num" w:pos="780"/>
        </w:tabs>
        <w:ind w:left="780" w:hanging="36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5"/>
  <w:doNotDisplayPageBoundaries/>
  <w:bordersDoNotSurroundHeader/>
  <w:bordersDoNotSurroundFooter/>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docVars>
    <w:docVar w:name="KSO_WPS_MARK_KEY" w:val="cf6282e5-83ec-4a59-bcf2-dfe685a39715"/>
    <w:docVar w:name="commondata" w:val="eyJoZGlkIjoiMTFhNjNlNTBjMzBkZWRjNzJlNzM1MzcxM2JmNzI3MTA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character" w:default="1" w:styleId="10">
    <w:name w:val="Default Paragraph Font"/>
  </w:style>
  <w:style w:type="paragraph" w:styleId="15">
    <w:name w:val="List Number 2"/>
    <w:basedOn w:val="0"/>
    <w:pPr>
      <w:numPr>
        <w:ilvl w:val="0"/>
        <w:numId w:val="1"/>
      </w:numPr>
      <w:tabs>
        <w:tab w:val="clear" w:pos="780"/>
        <w:tab w:val="left" w:pos="780"/>
      </w:tabs>
    </w:pPr>
  </w:style>
  <w:style w:type="paragraph" w:styleId="16">
    <w:name w:val="index 8"/>
    <w:basedOn w:val="0"/>
    <w:next w:val="0"/>
    <w:pPr>
      <w:ind w:left="2940"/>
    </w:pPr>
  </w:style>
  <w:style w:type="paragraph" w:styleId="17">
    <w:name w:val="index 5"/>
    <w:basedOn w:val="0"/>
    <w:next w:val="0"/>
    <w:pPr>
      <w:ind w:left="1680"/>
    </w:pPr>
  </w:style>
  <w:style w:type="paragraph" w:styleId="18">
    <w:name w:val="annotation text"/>
    <w:basedOn w:val="0"/>
    <w:pPr>
      <w:jc w:val="left"/>
    </w:pPr>
  </w:style>
  <w:style w:type="paragraph" w:styleId="19">
    <w:name w:val="index 6"/>
    <w:basedOn w:val="0"/>
    <w:next w:val="0"/>
    <w:pPr>
      <w:ind w:left="2100"/>
    </w:pPr>
  </w:style>
  <w:style w:type="paragraph" w:styleId="20">
    <w:name w:val="Plain Text"/>
    <w:next w:val="21"/>
    <w:pPr>
      <w:widowControl w:val="0"/>
      <w:jc w:val="both"/>
    </w:pPr>
    <w:rPr>
      <w:rFonts w:ascii="宋体" w:eastAsia="宋体" w:cs="Courier New"/>
      <w:kern w:val="2"/>
      <w:sz w:val="21"/>
      <w:szCs w:val="21"/>
      <w:lang w:val="en-US" w:eastAsia="zh-CN" w:bidi="ar-SA"/>
    </w:rPr>
  </w:style>
  <w:style w:type="paragraph" w:styleId="21">
    <w:name w:val="header"/>
    <w:basedOn w:val="0"/>
    <w:pPr>
      <w:pBdr>
        <w:bottom w:val="single" w:sz="6" w:space="1" w:color="auto"/>
      </w:pBdr>
      <w:tabs>
        <w:tab w:val="center" w:pos="4153"/>
        <w:tab w:val="right" w:pos="8306"/>
      </w:tabs>
      <w:snapToGrid w:val="0"/>
      <w:jc w:val="center"/>
    </w:pPr>
    <w:rPr>
      <w:sz w:val="18"/>
      <w:szCs w:val="18"/>
      <w:bdr w:val="none" w:sz="0" w:space="0" w:color="auto"/>
    </w:rPr>
  </w:style>
  <w:style w:type="paragraph" w:styleId="22">
    <w:name w:val="Balloon Text"/>
    <w:basedOn w:val="0"/>
    <w:rPr>
      <w:sz w:val="18"/>
      <w:szCs w:val="18"/>
    </w:rPr>
  </w:style>
  <w:style w:type="paragraph" w:styleId="23">
    <w:name w:val="footer"/>
    <w:basedOn w:val="0"/>
    <w:pPr>
      <w:tabs>
        <w:tab w:val="center" w:pos="4153"/>
        <w:tab w:val="right" w:pos="8306"/>
      </w:tabs>
      <w:snapToGrid w:val="0"/>
      <w:jc w:val="left"/>
    </w:pPr>
    <w:rPr>
      <w:sz w:val="18"/>
      <w:szCs w:val="18"/>
    </w:rPr>
  </w:style>
  <w:style w:type="paragraph" w:styleId="24">
    <w:name w:val="toc 1"/>
    <w:basedOn w:val="0"/>
    <w:next w:val="0"/>
  </w:style>
  <w:style w:type="paragraph" w:styleId="25">
    <w:name w:val="index 7"/>
    <w:basedOn w:val="0"/>
    <w:next w:val="0"/>
    <w:pPr>
      <w:ind w:left="2520"/>
    </w:pPr>
  </w:style>
  <w:style w:type="paragraph" w:styleId="26">
    <w:name w:val="toc 2"/>
    <w:basedOn w:val="0"/>
    <w:next w:val="0"/>
    <w:pPr>
      <w:ind w:left="420"/>
    </w:pPr>
  </w:style>
  <w:style w:type="paragraph" w:styleId="27">
    <w:name w:val="Normal (Web)"/>
    <w:next w:val="23"/>
    <w:pPr>
      <w:widowControl w:val="0"/>
      <w:spacing w:beforeAutospacing="1" w:afterAutospacing="1"/>
    </w:pPr>
    <w:rPr>
      <w:rFonts w:ascii="Times New Roman" w:eastAsia="宋体" w:cs="Times New Roman" w:hAnsi="Times New Roman"/>
      <w:sz w:val="24"/>
      <w:szCs w:val="30"/>
      <w:lang w:val="en-US" w:eastAsia="zh-CN" w:bidi="ar-SA"/>
    </w:rPr>
  </w:style>
  <w:style w:type="paragraph" w:styleId="28">
    <w:name w:val="annotation subject"/>
    <w:basedOn w:val="18"/>
    <w:next w:val="18"/>
    <w:rPr>
      <w:b/>
    </w:rPr>
  </w:style>
  <w:style w:type="character" w:styleId="29">
    <w:name w:val="page number"/>
    <w:basedOn w:val="10"/>
  </w:style>
  <w:style w:type="character" w:styleId="30">
    <w:name w:val="Hyperlink"/>
    <w:rPr>
      <w:color w:val="0000FF"/>
      <w:u w:val="single"/>
    </w:rPr>
  </w:style>
  <w:style w:type="character" w:styleId="31">
    <w:name w:val="annotation reference"/>
    <w:rPr>
      <w:sz w:val="21"/>
      <w:szCs w:val="21"/>
    </w:rPr>
  </w:style>
  <w:style w:type="paragraph" w:customStyle="1" w:styleId="32">
    <w:name w:val="样式 三号"/>
    <w:next w:val="33"/>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3">
    <w:name w:val="样式 三号1"/>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4">
    <w:name w:val="正文1"/>
    <w:pPr>
      <w:widowControl w:val="0"/>
      <w:jc w:val="both"/>
    </w:pPr>
    <w:rPr>
      <w:rFonts w:ascii="Times New Roman" w:eastAsia="方正仿宋_GBK" w:cs="Times New Roman" w:hAnsi="Times New Roman"/>
      <w:kern w:val="2"/>
      <w:sz w:val="32"/>
      <w:lang w:val="en-US" w:eastAsia="zh-CN" w:bidi="ar-SA"/>
    </w:rPr>
  </w:style>
  <w:style w:type="paragraph" w:customStyle="1" w:styleId="35">
    <w:name w:val="正文2"/>
    <w:pPr>
      <w:widowControl w:val="0"/>
      <w:jc w:val="both"/>
    </w:pPr>
    <w:rPr>
      <w:rFonts w:ascii="Times New Roman" w:eastAsia="方正仿宋_GBK" w:cs="Times New Roman" w:hAnsi="Times New Roman"/>
      <w:kern w:val="2"/>
      <w:sz w:val="32"/>
      <w:lang w:val="en-US" w:eastAsia="zh-CN" w:bidi="ar-SA"/>
    </w:rPr>
  </w:style>
  <w:style w:type="paragraph" w:customStyle="1" w:styleId="36">
    <w:name w:val="正文3"/>
    <w:pPr>
      <w:widowControl w:val="0"/>
      <w:jc w:val="both"/>
    </w:pPr>
    <w:rPr>
      <w:rFonts w:ascii="Times New Roman" w:eastAsia="方正仿宋_GBK" w:cs="Times New Roman" w:hAnsi="Times New Roman"/>
      <w:kern w:val="2"/>
      <w:sz w:val="32"/>
      <w:lang w:val="en-US" w:eastAsia="zh-CN" w:bidi="ar-SA"/>
    </w:rPr>
  </w:style>
  <w:style w:type="paragraph" w:customStyle="1" w:styleId="37">
    <w:name w:val="正文4"/>
    <w:pPr>
      <w:widowControl w:val="0"/>
      <w:jc w:val="both"/>
    </w:pPr>
    <w:rPr>
      <w:rFonts w:ascii="Times New Roman" w:eastAsia="方正仿宋_GBK" w:cs="Times New Roman" w:hAnsi="Times New Roman"/>
      <w:kern w:val="2"/>
      <w:sz w:val="32"/>
      <w:lang w:val="en-US" w:eastAsia="zh-CN" w:bidi="ar-SA"/>
    </w:rPr>
  </w:style>
  <w:style w:type="paragraph" w:customStyle="1" w:styleId="38">
    <w:name w:val="正文5"/>
    <w:pPr>
      <w:widowControl w:val="0"/>
      <w:jc w:val="both"/>
    </w:pPr>
    <w:rPr>
      <w:rFonts w:ascii="Times New Roman" w:eastAsia="方正仿宋_GBK" w:cs="Times New Roman" w:hAnsi="Times New Roman"/>
      <w:kern w:val="2"/>
      <w:sz w:val="32"/>
      <w:lang w:val="en-US" w:eastAsia="zh-CN" w:bidi="ar-SA"/>
    </w:rPr>
  </w:style>
  <w:style w:type="paragraph" w:customStyle="1" w:styleId="39">
    <w:name w:val="正文6"/>
    <w:pPr>
      <w:widowControl w:val="0"/>
      <w:jc w:val="both"/>
    </w:pPr>
    <w:rPr>
      <w:rFonts w:ascii="Times New Roman" w:eastAsia="方正仿宋_GBK" w:cs="Times New Roman" w:hAnsi="Times New Roman"/>
      <w:kern w:val="2"/>
      <w:sz w:val="32"/>
      <w:lang w:val="en-US" w:eastAsia="zh-CN" w:bidi="ar-SA"/>
    </w:rPr>
  </w:style>
  <w:style w:type="paragraph" w:customStyle="1" w:styleId="40">
    <w:name w:val="样式 1 三号"/>
    <w:next w:val="24"/>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1">
    <w:name w:val="样式 小三"/>
    <w:next w:val="26"/>
    <w:pPr>
      <w:widowControl w:val="0"/>
      <w:jc w:val="both"/>
    </w:pPr>
    <w:rPr>
      <w:rFonts w:ascii="Times New Roman" w:eastAsia="宋体" w:cs="Times New Roman" w:hAnsi="Times New Roman"/>
      <w:kern w:val="2"/>
      <w:sz w:val="30"/>
      <w:szCs w:val="30"/>
      <w:lang w:val="en-US" w:eastAsia="zh-CN" w:bidi="ar-SA"/>
    </w:rPr>
  </w:style>
  <w:style w:type="paragraph" w:customStyle="1" w:styleId="42">
    <w:name w:val="样式 1 小四"/>
    <w:next w:val="38"/>
    <w:pPr>
      <w:widowControl w:val="0"/>
    </w:pPr>
    <w:rPr>
      <w:rFonts w:ascii="宋体" w:eastAsia="宋体" w:cs="Times New Roman"/>
      <w:kern w:val="2"/>
      <w:sz w:val="24"/>
      <w:lang w:val="en-US" w:eastAsia="zh-CN" w:bidi="ar-SA"/>
    </w:rPr>
  </w:style>
  <w:style w:type="paragraph" w:customStyle="1" w:styleId="43">
    <w:name w:val="样式 6 小四"/>
    <w:next w:val="39"/>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4">
    <w:name w:val="样式 20 小四"/>
    <w:next w:val="17"/>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5">
    <w:name w:val="样式 12 三号"/>
    <w:next w:val="16"/>
    <w:pPr>
      <w:widowControl w:val="0"/>
      <w:jc w:val="both"/>
    </w:pPr>
    <w:rPr>
      <w:rFonts w:ascii="Times New Roman" w:eastAsia="方正仿宋_GBK" w:cs="Times New Roman" w:hAnsi="Times New Roman"/>
      <w:kern w:val="2"/>
      <w:sz w:val="32"/>
      <w:lang w:val="en-US" w:eastAsia="zh-CN" w:bidi="ar-SA"/>
    </w:rPr>
  </w:style>
  <w:style w:type="paragraph" w:customStyle="1" w:styleId="46">
    <w:name w:val="样式 50 三号"/>
    <w:next w:val="19"/>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7">
    <w:name w:val="样式 13 三号"/>
    <w:next w:val="25"/>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8">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9">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0">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1">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2">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53">
    <w:name w:val="样式 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4">
    <w:name w:val="样式 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5">
    <w:name w:val="样式 小四"/>
    <w:pPr>
      <w:widowControl w:val="0"/>
    </w:pPr>
    <w:rPr>
      <w:rFonts w:ascii="宋体" w:eastAsia="宋体" w:cs="Times New Roman"/>
      <w:kern w:val="2"/>
      <w:sz w:val="24"/>
      <w:lang w:val="en-US" w:eastAsia="zh-CN" w:bidi="ar-SA"/>
    </w:rPr>
  </w:style>
  <w:style w:type="paragraph" w:customStyle="1" w:styleId="56">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61">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62">
    <w:name w:val="样式 1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63">
    <w:name w:val="样式 3 小四"/>
    <w:pPr>
      <w:widowControl w:val="0"/>
    </w:pPr>
    <w:rPr>
      <w:rFonts w:ascii="宋体" w:eastAsia="宋体" w:cs="Times New Roman"/>
      <w:kern w:val="2"/>
      <w:sz w:val="24"/>
      <w:lang w:val="en-US" w:eastAsia="zh-CN" w:bidi="ar-SA"/>
    </w:rPr>
  </w:style>
  <w:style w:type="paragraph" w:customStyle="1" w:styleId="64">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68">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69">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70">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71">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72">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73">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74">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75">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76">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77">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78">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79">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80">
    <w:name w:val="样式 26 三号"/>
    <w:pPr>
      <w:widowControl w:val="0"/>
      <w:jc w:val="both"/>
    </w:pPr>
    <w:rPr>
      <w:rFonts w:ascii="Times New Roman" w:eastAsia="方正仿宋_GBK" w:cs="Times New Roman" w:hAnsi="Times New Roman"/>
      <w:kern w:val="2"/>
      <w:sz w:val="32"/>
      <w:szCs w:val="32"/>
      <w:lang w:val="en-US" w:eastAsia="zh-CN" w:bidi="ar-SA"/>
    </w:rPr>
  </w:style>
  <w:style w:type="character" w:customStyle="1" w:styleId="81">
    <w:name w:val="h-control-text-cont1"/>
    <w:basedOn w:val="10"/>
  </w:style>
  <w:style w:type="paragraph" w:customStyle="1" w:styleId="82">
    <w:name w:val="样式 10 磅"/>
    <w:pPr>
      <w:widowControl w:val="0"/>
      <w:jc w:val="both"/>
    </w:pPr>
    <w:rPr>
      <w:rFonts w:ascii="Calibri" w:eastAsia="宋体" w:cs="Times New Roman" w:hAnsi="Calibri"/>
      <w:kern w:val="2"/>
      <w:sz w:val="21"/>
      <w:szCs w:val="22"/>
      <w:lang w:val="en-US" w:eastAsia="zh-CN" w:bidi="ar-SA"/>
    </w:rPr>
  </w:style>
  <w:style w:type="paragraph" w:customStyle="1" w:styleId="83">
    <w:name w:val="样式 1 10 磅"/>
    <w:pPr>
      <w:widowControl w:val="0"/>
      <w:jc w:val="both"/>
    </w:pPr>
    <w:rPr>
      <w:rFonts w:ascii="Calibri" w:eastAsia="宋体" w:cs="Times New Roman" w:hAnsi="Calibri"/>
      <w:kern w:val="2"/>
      <w:sz w:val="21"/>
      <w:szCs w:val="22"/>
      <w:lang w:val="en-US" w:eastAsia="zh-CN" w:bidi="ar-SA"/>
    </w:rPr>
  </w:style>
  <w:style w:type="paragraph" w:customStyle="1" w:styleId="84">
    <w:name w:val="样式 1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85">
    <w:name w:val="样式 1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6">
    <w:name w:val="样式 1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87">
    <w:name w:val="样式 1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8">
    <w:name w:val="样式 1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9">
    <w:name w:val="样式 1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0">
    <w:name w:val="样式 1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1">
    <w:name w:val="样式 2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2">
    <w:name w:val="样式 2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3">
    <w:name w:val="样式 22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94">
    <w:name w:val="样式 2 10 磅"/>
    <w:pPr>
      <w:widowControl w:val="0"/>
      <w:jc w:val="both"/>
    </w:pPr>
    <w:rPr>
      <w:rFonts w:ascii="Calibri" w:eastAsia="宋体" w:cs="Times New Roman" w:hAnsi="Calibri"/>
      <w:kern w:val="2"/>
      <w:sz w:val="21"/>
      <w:szCs w:val="22"/>
      <w:lang w:val="en-US" w:eastAsia="zh-CN" w:bidi="ar-SA"/>
    </w:rPr>
  </w:style>
  <w:style w:type="paragraph" w:customStyle="1" w:styleId="95">
    <w:name w:val="样式 3 10 磅"/>
    <w:pPr>
      <w:widowControl w:val="0"/>
      <w:jc w:val="both"/>
    </w:pPr>
    <w:rPr>
      <w:rFonts w:ascii="Calibri" w:eastAsia="宋体" w:cs="Times New Roman" w:hAnsi="Calibri"/>
      <w:kern w:val="2"/>
      <w:sz w:val="21"/>
      <w:szCs w:val="22"/>
      <w:lang w:val="en-US" w:eastAsia="zh-CN" w:bidi="ar-SA"/>
    </w:rPr>
  </w:style>
  <w:style w:type="paragraph" w:customStyle="1" w:styleId="96">
    <w:name w:val="样式 4 10 磅"/>
    <w:pPr>
      <w:widowControl w:val="0"/>
      <w:jc w:val="both"/>
    </w:pPr>
    <w:rPr>
      <w:rFonts w:ascii="Calibri" w:eastAsia="宋体" w:cs="Times New Roman" w:hAnsi="Calibri"/>
      <w:kern w:val="2"/>
      <w:sz w:val="21"/>
      <w:szCs w:val="22"/>
      <w:lang w:val="en-US" w:eastAsia="zh-CN" w:bidi="ar-SA"/>
    </w:rPr>
  </w:style>
  <w:style w:type="paragraph" w:customStyle="1" w:styleId="97">
    <w:name w:val="样式 2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8">
    <w:name w:val="样式 5 10 磅"/>
    <w:pPr>
      <w:widowControl w:val="0"/>
      <w:jc w:val="both"/>
    </w:pPr>
    <w:rPr>
      <w:rFonts w:ascii="Calibri" w:eastAsia="宋体" w:cs="Times New Roman" w:hAnsi="Calibri"/>
      <w:kern w:val="2"/>
      <w:sz w:val="21"/>
      <w:szCs w:val="21"/>
      <w:lang w:val="en-US" w:eastAsia="zh-CN" w:bidi="ar-SA"/>
    </w:rPr>
  </w:style>
  <w:style w:type="paragraph" w:customStyle="1" w:styleId="99">
    <w:name w:val="样式 6 10 磅"/>
    <w:pPr>
      <w:widowControl w:val="0"/>
      <w:jc w:val="both"/>
    </w:pPr>
    <w:rPr>
      <w:rFonts w:ascii="Calibri" w:eastAsia="宋体" w:cs="Times New Roman" w:hAnsi="Calibri"/>
      <w:kern w:val="2"/>
      <w:sz w:val="21"/>
      <w:szCs w:val="21"/>
      <w:lang w:val="en-US" w:eastAsia="zh-CN" w:bidi="ar-SA"/>
    </w:rPr>
  </w:style>
  <w:style w:type="paragraph" w:customStyle="1" w:styleId="100">
    <w:name w:val="样式 7 10 磅"/>
    <w:pPr>
      <w:widowControl w:val="0"/>
      <w:jc w:val="both"/>
    </w:pPr>
    <w:rPr>
      <w:rFonts w:ascii="Calibri" w:eastAsia="宋体" w:cs="Times New Roman" w:hAnsi="Calibri"/>
      <w:kern w:val="2"/>
      <w:sz w:val="21"/>
      <w:szCs w:val="21"/>
      <w:lang w:val="en-US" w:eastAsia="zh-CN" w:bidi="ar-SA"/>
    </w:rPr>
  </w:style>
  <w:style w:type="paragraph" w:customStyle="1" w:styleId="101">
    <w:name w:val="样式 4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102">
    <w:name w:val="样式 5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103">
    <w:name w:val="样式 2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04">
    <w:name w:val="样式 2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05">
    <w:name w:val="样式 2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06">
    <w:name w:val="样式 2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7">
    <w:name w:val="样式 2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8">
    <w:name w:val="样式 3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09">
    <w:name w:val="样式 3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10">
    <w:name w:val="样式 32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11">
    <w:name w:val="样式 33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12">
    <w:name w:val="样式 3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13">
    <w:name w:val="样式 3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14">
    <w:name w:val="样式 3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15">
    <w:name w:val="样式 37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116">
    <w:name w:val="样式 38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117">
    <w:name w:val="样式 39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118">
    <w:name w:val="样式 4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19">
    <w:name w:val="样式 8 10 磅"/>
    <w:pPr>
      <w:widowControl w:val="0"/>
      <w:jc w:val="both"/>
    </w:pPr>
    <w:rPr>
      <w:rFonts w:ascii="宋体" w:eastAsia="宋体" w:cs="Courier New"/>
      <w:kern w:val="2"/>
      <w:sz w:val="21"/>
      <w:szCs w:val="21"/>
      <w:lang w:val="en-US" w:eastAsia="zh-CN" w:bidi="ar-SA"/>
    </w:rPr>
  </w:style>
  <w:style w:type="paragraph" w:customStyle="1" w:styleId="120">
    <w:name w:val="样式 小五"/>
    <w:next w:val="0"/>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121">
    <w:name w:val="样式 41 三号"/>
    <w:pPr>
      <w:widowControl w:val="0"/>
      <w:jc w:val="both"/>
    </w:pPr>
    <w:rPr>
      <w:rFonts w:ascii="Times New Roman" w:eastAsia="方正仿宋_GBK" w:cs="Times New Roman" w:hAnsi="Times New Roman"/>
      <w:kern w:val="2"/>
      <w:sz w:val="32"/>
      <w:lang w:val="en-US" w:eastAsia="zh-CN" w:bidi="ar-SA"/>
    </w:rPr>
  </w:style>
  <w:style w:type="paragraph" w:customStyle="1" w:styleId="122">
    <w:name w:val="样式 4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23">
    <w:name w:val="样式 9 10 磅"/>
    <w:pPr>
      <w:widowControl w:val="0"/>
      <w:jc w:val="both"/>
    </w:pPr>
    <w:rPr>
      <w:rFonts w:ascii="宋体" w:eastAsia="宋体" w:cs="Courier New"/>
      <w:kern w:val="2"/>
      <w:sz w:val="21"/>
      <w:szCs w:val="21"/>
      <w:lang w:val="en-US" w:eastAsia="zh-CN" w:bidi="ar-SA"/>
    </w:rPr>
  </w:style>
  <w:style w:type="paragraph" w:customStyle="1" w:styleId="124">
    <w:name w:val="修订"/>
    <w:rPr>
      <w:rFonts w:ascii="Times New Roman" w:eastAsia="方正仿宋_GBK" w:cs="Times New Roman" w:hAnsi="Times New Roman"/>
      <w:kern w:val="2"/>
      <w:sz w:val="32"/>
      <w:szCs w:val="22"/>
      <w:lang w:val="en-US" w:eastAsia="zh-CN" w:bidi="ar-SA"/>
    </w:rPr>
  </w:style>
  <w:style w:type="paragraph" w:customStyle="1" w:styleId="125">
    <w:name w:val="样式 7 小四"/>
    <w:pPr>
      <w:widowControl w:val="0"/>
    </w:pPr>
    <w:rPr>
      <w:rFonts w:ascii="宋体" w:eastAsia="宋体" w:cs="Times New Roman"/>
      <w:kern w:val="2"/>
      <w:sz w:val="24"/>
      <w:lang w:val="en-US" w:eastAsia="zh-CN" w:bidi="ar-SA"/>
    </w:rPr>
  </w:style>
  <w:style w:type="paragraph" w:customStyle="1" w:styleId="126">
    <w:name w:val="样式 8 小四"/>
    <w:next w:val="78"/>
    <w:pPr>
      <w:widowControl w:val="0"/>
      <w:spacing w:line="240" w:lineRule="auto"/>
      <w:jc w:val="left"/>
    </w:pPr>
    <w:rPr>
      <w:rFonts w:ascii="宋体" w:eastAsia="宋体" w:cs="Times New Roman"/>
      <w:kern w:val="2"/>
      <w:sz w:val="24"/>
      <w:szCs w:val="21"/>
      <w:lang w:val="en-US" w:eastAsia="zh-CN" w:bidi="ar-SA"/>
    </w:rPr>
  </w:style>
  <w:style w:type="paragraph" w:customStyle="1" w:styleId="127">
    <w:name w:val="样式 10 10 磅"/>
    <w:pPr>
      <w:widowControl w:val="0"/>
      <w:jc w:val="both"/>
    </w:pPr>
    <w:rPr>
      <w:rFonts w:ascii="宋体" w:eastAsia="宋体" w:cs="Courier New"/>
      <w:kern w:val="2"/>
      <w:sz w:val="21"/>
      <w:szCs w:val="21"/>
      <w:lang w:val="en-US" w:eastAsia="zh-CN" w:bidi="ar-SA"/>
    </w:rPr>
  </w:style>
  <w:style w:type="paragraph" w:customStyle="1" w:styleId="128">
    <w:name w:val="样式 11 10 磅"/>
    <w:pPr>
      <w:widowControl w:val="0"/>
      <w:jc w:val="both"/>
    </w:pPr>
    <w:rPr>
      <w:rFonts w:ascii="宋体" w:eastAsia="宋体" w:cs="Courier New"/>
      <w:kern w:val="2"/>
      <w:sz w:val="21"/>
      <w:szCs w:val="21"/>
      <w:lang w:val="en-US" w:eastAsia="zh-CN" w:bidi="ar-SA"/>
    </w:rPr>
  </w:style>
  <w:style w:type="paragraph" w:customStyle="1" w:styleId="129">
    <w:name w:val="样式 4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30">
    <w:name w:val="样式 4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31">
    <w:name w:val="样式 45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132">
    <w:name w:val="样式 9 小四"/>
    <w:pPr>
      <w:widowControl w:val="0"/>
    </w:pPr>
    <w:rPr>
      <w:rFonts w:ascii="宋体" w:eastAsia="宋体" w:cs="Times New Roman"/>
      <w:kern w:val="2"/>
      <w:sz w:val="24"/>
      <w:lang w:val="en-US" w:eastAsia="zh-CN" w:bidi="ar-SA"/>
    </w:rPr>
  </w:style>
  <w:style w:type="paragraph" w:customStyle="1" w:styleId="133">
    <w:name w:val="样式 10 小四"/>
    <w:pPr>
      <w:widowControl w:val="0"/>
    </w:pPr>
    <w:rPr>
      <w:rFonts w:ascii="宋体" w:eastAsia="宋体" w:cs="Times New Roman"/>
      <w:kern w:val="2"/>
      <w:sz w:val="24"/>
      <w:lang w:val="en-US" w:eastAsia="zh-CN" w:bidi="ar-SA"/>
    </w:rPr>
  </w:style>
  <w:style w:type="paragraph" w:customStyle="1" w:styleId="134">
    <w:name w:val="样式 12 10 磅"/>
    <w:pPr>
      <w:widowControl w:val="0"/>
      <w:jc w:val="both"/>
    </w:pPr>
    <w:rPr>
      <w:rFonts w:ascii="宋体" w:eastAsia="宋体" w:cs="Courier New"/>
      <w:kern w:val="2"/>
      <w:sz w:val="21"/>
      <w:szCs w:val="21"/>
      <w:lang w:val="en-US" w:eastAsia="zh-CN" w:bidi="ar-SA"/>
    </w:rPr>
  </w:style>
  <w:style w:type="paragraph" w:customStyle="1" w:styleId="135">
    <w:name w:val="样式 13 10 磅"/>
    <w:pPr>
      <w:widowControl w:val="0"/>
      <w:jc w:val="both"/>
    </w:pPr>
    <w:rPr>
      <w:rFonts w:ascii="宋体" w:eastAsia="宋体" w:cs="Courier New"/>
      <w:kern w:val="2"/>
      <w:sz w:val="21"/>
      <w:szCs w:val="21"/>
      <w:lang w:val="en-US" w:eastAsia="zh-CN" w:bidi="ar-SA"/>
    </w:rPr>
  </w:style>
  <w:style w:type="paragraph" w:customStyle="1" w:styleId="136">
    <w:name w:val="样式 4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37">
    <w:name w:val="样式 4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38">
    <w:name w:val="样式 11 小四"/>
    <w:pPr>
      <w:widowControl w:val="0"/>
    </w:pPr>
    <w:rPr>
      <w:rFonts w:ascii="宋体" w:eastAsia="宋体" w:cs="Times New Roman"/>
      <w:kern w:val="2"/>
      <w:sz w:val="24"/>
      <w:lang w:val="en-US" w:eastAsia="zh-CN" w:bidi="ar-SA"/>
    </w:rPr>
  </w:style>
  <w:style w:type="paragraph" w:customStyle="1" w:styleId="230">
    <w:name w:val="样式 12 小四"/>
    <w:pPr>
      <w:widowControl w:val="0"/>
      <w:spacing w:before="100" w:beforeAutospacing="1" w:after="100" w:afterAutospacing="1"/>
      <w:jc w:val="left"/>
    </w:pPr>
    <w:rPr>
      <w:rFonts w:ascii="Times New Roman" w:eastAsia="宋体" w:cs="Times New Roman" w:hAnsi="Times New Roman"/>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2274</TotalTime>
  <Application>Yozo_Office</Application>
  <Pages>8</Pages>
  <Words>2755</Words>
  <Characters>2859</Characters>
  <Lines>447</Lines>
  <Paragraphs>313</Paragraphs>
  <CharactersWithSpaces>2926</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title>从化海关2023年政府信息公开工作年度报告</dc:title>
  <dc:creator>吕大良</dc:creator>
  <cp:lastModifiedBy>刘书华</cp:lastModifiedBy>
  <cp:revision>47</cp:revision>
  <cp:lastPrinted>2020-01-22T00:43:00Z</cp:lastPrinted>
  <dcterms:created xsi:type="dcterms:W3CDTF">2024-01-16T01:53:00Z</dcterms:created>
  <dcterms:modified xsi:type="dcterms:W3CDTF">2025-01-26T07:52:20Z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2052-12.1.0.16120</vt:lpwstr>
  </property>
  <property fmtid="{D5CDD505-2E9C-101B-9397-08002B2CF9AE}" pid="3" name="ICV">
    <vt:lpwstr>4DF44C792A36476BACE49C1CE628E459_12</vt:lpwstr>
  </property>
</Properties>
</file>