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hd w:val="clear" w:color="auto" w:fill="auto"/>
        <w:spacing w:line="560" w:lineRule="exact"/>
        <w:jc w:val="center"/>
        <w:rPr>
          <w:rFonts w:ascii="方正小标宋_GBK" w:eastAsia="方正小标宋_GBK" w:cs="方正小标宋_GBK" w:hint="eastAsia"/>
          <w:sz w:val="44"/>
          <w:szCs w:val="44"/>
          <w:shd w:val="clear" w:color="auto" w:fill="auto"/>
        </w:rPr>
      </w:pPr>
      <w:bookmarkStart w:id="0" w:name="_Hlk25540369"/>
      <w:r>
        <w:rPr>
          <w:rFonts w:ascii="方正小标宋_GBK" w:eastAsia="方正小标宋_GBK" w:cs="方正小标宋_GBK" w:hint="eastAsia"/>
          <w:sz w:val="44"/>
          <w:szCs w:val="44"/>
          <w:shd w:val="clear" w:color="auto" w:fill="auto"/>
        </w:rPr>
        <w:t>大铲海关</w:t>
      </w:r>
      <w:bookmarkEnd w:id="0"/>
      <w:r>
        <w:rPr>
          <w:rFonts w:ascii="方正小标宋_GBK" w:eastAsia="方正小标宋_GBK" w:cs="方正小标宋_GBK" w:hint="eastAsia"/>
          <w:sz w:val="44"/>
          <w:szCs w:val="44"/>
          <w:shd w:val="clear" w:color="auto" w:fill="auto"/>
        </w:rPr>
        <w:t>2024年政府信息公开工作年度报告</w:t>
      </w:r>
    </w:p>
    <w:p>
      <w:pPr>
        <w:shd w:val="clear" w:color="auto" w:fill="auto"/>
        <w:spacing w:line="560" w:lineRule="exact"/>
        <w:ind w:firstLineChars="200" w:firstLine="640"/>
        <w:rPr>
          <w:rFonts w:ascii="Times New Roman" w:eastAsia="方正小标宋_GBK" w:cs="方正小标宋_GBK" w:hAnsi="Times New Roman"/>
          <w:sz w:val="32"/>
          <w:szCs w:val="32"/>
          <w:shd w:val="clear" w:color="auto" w:fill="auto"/>
        </w:rPr>
      </w:pPr>
      <w:r>
        <w:rPr>
          <w:rFonts w:ascii="Times New Roman" w:eastAsia="方正小标宋_GBK" w:cs="方正小标宋_GBK" w:hAnsi="Times New Roman" w:hint="eastAsia"/>
          <w:sz w:val="32"/>
          <w:szCs w:val="32"/>
          <w:shd w:val="clear" w:color="auto" w:fill="auto"/>
        </w:rPr>
        <w:t xml:space="preserve"> </w:t>
      </w:r>
    </w:p>
    <w:p>
      <w:pPr>
        <w:pStyle w:val="17"/>
        <w:shd w:val="clear" w:color="auto" w:fill="auto"/>
        <w:autoSpaceDN w:val="0"/>
        <w:adjustRightInd w:val="0"/>
        <w:snapToGrid w:val="0"/>
        <w:ind w:firstLineChars="200" w:firstLine="624"/>
        <w:rPr>
          <w:szCs w:val="32"/>
          <w:shd w:val="clear" w:color="auto" w:fill="auto"/>
        </w:rPr>
      </w:pPr>
      <w:r>
        <w:rPr>
          <w:rFonts w:hint="eastAsia"/>
          <w:szCs w:val="32"/>
          <w:shd w:val="clear" w:color="auto" w:fill="auto"/>
        </w:rPr>
        <w:t>根据《中华人民共和国政府信息公开条例》</w:t>
      </w:r>
      <w:r>
        <w:rPr>
          <w:rFonts w:hint="eastAsia"/>
          <w:color w:val="000000"/>
          <w:spacing w:val="0"/>
          <w:kern w:val="0"/>
          <w:szCs w:val="32"/>
          <w:shd w:val="clear" w:color="auto" w:fill="auto"/>
        </w:rPr>
        <w:t>《国务院办公厅政府信息与政务公开办公室关于政府信息公开工作年度报告有关事项的通知》</w:t>
      </w:r>
      <w:r>
        <w:rPr>
          <w:rFonts w:hint="eastAsia"/>
          <w:szCs w:val="32"/>
          <w:shd w:val="clear" w:color="auto" w:fill="auto"/>
        </w:rPr>
        <w:t>《国务院办公厅政府信息与政务公开办公室关于印发〈中华人民共和国政府信息公开工作年度报告格式〉的通知》等规定，梳理编制大铲海关202</w:t>
      </w:r>
      <w:r>
        <w:rPr>
          <w:szCs w:val="32"/>
          <w:shd w:val="clear" w:color="auto" w:fill="auto"/>
        </w:rPr>
        <w:t>4</w:t>
      </w:r>
      <w:r>
        <w:rPr>
          <w:rFonts w:hint="eastAsia"/>
          <w:szCs w:val="32"/>
          <w:shd w:val="clear" w:color="auto" w:fill="auto"/>
        </w:rPr>
        <w:t>年政府信息公开工作年报。年报中所列数据的统计期限，自202</w:t>
      </w:r>
      <w:r>
        <w:rPr>
          <w:szCs w:val="32"/>
          <w:shd w:val="clear" w:color="auto" w:fill="auto"/>
        </w:rPr>
        <w:t>4</w:t>
      </w:r>
      <w:r>
        <w:rPr>
          <w:rFonts w:hint="eastAsia"/>
          <w:szCs w:val="32"/>
          <w:shd w:val="clear" w:color="auto" w:fill="auto"/>
        </w:rPr>
        <w:t>年1月1日起至202</w:t>
      </w:r>
      <w:r>
        <w:rPr>
          <w:szCs w:val="32"/>
          <w:shd w:val="clear" w:color="auto" w:fill="auto"/>
        </w:rPr>
        <w:t>4</w:t>
      </w:r>
      <w:r>
        <w:rPr>
          <w:rFonts w:hint="eastAsia"/>
          <w:szCs w:val="32"/>
          <w:shd w:val="clear" w:color="auto" w:fill="auto"/>
        </w:rPr>
        <w:t>年12月31日止。如对本年报有疑问或有</w:t>
      </w:r>
      <w:r>
        <w:rPr>
          <w:szCs w:val="32"/>
          <w:shd w:val="clear" w:color="auto" w:fill="auto"/>
        </w:rPr>
        <w:t>任何</w:t>
      </w:r>
      <w:r>
        <w:rPr>
          <w:rFonts w:hint="eastAsia"/>
          <w:szCs w:val="32"/>
          <w:shd w:val="clear" w:color="auto" w:fill="auto"/>
        </w:rPr>
        <w:t>意见、建议，请联系大铲海关办公室。地址</w:t>
      </w:r>
      <w:r>
        <w:rPr>
          <w:szCs w:val="32"/>
          <w:shd w:val="clear" w:color="auto" w:fill="auto"/>
        </w:rPr>
        <w:t>：</w:t>
      </w:r>
      <w:r>
        <w:rPr>
          <w:rFonts w:hint="eastAsia"/>
          <w:szCs w:val="32"/>
          <w:shd w:val="clear" w:color="auto" w:fill="auto"/>
        </w:rPr>
        <w:t>广东省深圳市南山区妈湾大道1087号前湾燃机电厂转大铲海关办公室，邮编：</w:t>
      </w:r>
      <w:r>
        <w:rPr>
          <w:szCs w:val="32"/>
          <w:shd w:val="clear" w:color="auto" w:fill="auto"/>
        </w:rPr>
        <w:t>51</w:t>
      </w:r>
      <w:r>
        <w:rPr>
          <w:rFonts w:hint="eastAsia"/>
          <w:szCs w:val="32"/>
          <w:shd w:val="clear" w:color="auto" w:fill="auto"/>
        </w:rPr>
        <w:t>8000；电话：020-81101504；电子邮箱：dchgbgs</w:t>
      </w:r>
      <w:r>
        <w:rPr>
          <w:szCs w:val="32"/>
          <w:shd w:val="clear" w:color="auto" w:fill="auto"/>
        </w:rPr>
        <w:t>@</w:t>
      </w:r>
      <w:r>
        <w:rPr>
          <w:rFonts w:hint="eastAsia"/>
          <w:szCs w:val="32"/>
          <w:shd w:val="clear" w:color="auto" w:fill="auto"/>
        </w:rPr>
        <w:t>163</w:t>
      </w:r>
      <w:r>
        <w:rPr>
          <w:szCs w:val="32"/>
          <w:shd w:val="clear" w:color="auto" w:fill="auto"/>
        </w:rPr>
        <w:t>.c</w:t>
      </w:r>
      <w:r>
        <w:rPr>
          <w:rFonts w:hint="eastAsia"/>
          <w:szCs w:val="32"/>
          <w:shd w:val="clear" w:color="auto" w:fill="auto"/>
        </w:rPr>
        <w:t>om。</w:t>
      </w:r>
    </w:p>
    <w:p>
      <w:pPr>
        <w:pStyle w:val="17"/>
        <w:shd w:val="clear" w:color="auto" w:fill="auto"/>
        <w:autoSpaceDN w:val="0"/>
        <w:adjustRightInd w:val="0"/>
        <w:snapToGrid w:val="0"/>
        <w:ind w:firstLineChars="200" w:firstLine="624"/>
        <w:rPr>
          <w:szCs w:val="32"/>
          <w:shd w:val="clear" w:color="auto" w:fill="auto"/>
        </w:rPr>
      </w:pPr>
      <w:r>
        <w:rPr>
          <w:rFonts w:eastAsia="方正黑体_GBK" w:cs="楷体_GB2312" w:hint="eastAsia"/>
          <w:bCs/>
          <w:szCs w:val="32"/>
          <w:shd w:val="clear" w:color="auto" w:fill="auto"/>
        </w:rPr>
        <w:t>一、总体情况</w:t>
      </w:r>
    </w:p>
    <w:p>
      <w:pPr>
        <w:pStyle w:val="19"/>
        <w:shd w:val="clear" w:color="auto" w:fill="auto"/>
        <w:autoSpaceDN w:val="0"/>
        <w:adjustRightInd w:val="0"/>
        <w:snapToGrid w:val="0"/>
        <w:ind w:firstLineChars="200" w:firstLine="624"/>
        <w:rPr>
          <w:color w:val="000000"/>
          <w:spacing w:val="0"/>
          <w:kern w:val="0"/>
          <w:szCs w:val="32"/>
          <w:shd w:val="clear" w:color="auto" w:fill="auto"/>
        </w:rPr>
      </w:pPr>
      <w:r>
        <w:rPr>
          <w:rFonts w:hint="eastAsia"/>
          <w:szCs w:val="32"/>
          <w:shd w:val="clear" w:color="auto" w:fill="auto"/>
        </w:rPr>
        <w:t>202</w:t>
      </w:r>
      <w:r>
        <w:rPr>
          <w:szCs w:val="32"/>
          <w:shd w:val="clear" w:color="auto" w:fill="auto"/>
        </w:rPr>
        <w:t>4</w:t>
      </w:r>
      <w:r>
        <w:rPr>
          <w:rFonts w:hint="eastAsia"/>
          <w:szCs w:val="32"/>
          <w:shd w:val="clear" w:color="auto" w:fill="auto"/>
        </w:rPr>
        <w:t>年，大铲海关坚持以习近平新时代中国特色社会主义思想为指导，</w:t>
      </w:r>
      <w:r>
        <w:rPr>
          <w:color w:val="000000"/>
          <w:kern w:val="0"/>
          <w:szCs w:val="32"/>
          <w:shd w:val="clear" w:color="auto" w:fill="auto"/>
        </w:rPr>
        <w:t>全面贯彻落实党的二十大和二十届二中、三中全会精神，</w:t>
      </w:r>
      <w:r>
        <w:rPr>
          <w:rFonts w:hint="eastAsia"/>
          <w:szCs w:val="32"/>
          <w:shd w:val="clear" w:color="auto" w:fill="auto"/>
        </w:rPr>
        <w:t>深入贯彻习近平总书记</w:t>
      </w:r>
      <w:r>
        <w:rPr>
          <w:rFonts w:ascii="Times New Roman" w:eastAsia="方正仿宋_GBK" w:hAnsi="Times New Roman"/>
          <w:sz w:val="32"/>
          <w:szCs w:val="32"/>
          <w:shd w:val="clear" w:color="auto" w:fill="auto"/>
        </w:rPr>
        <w:t>重要指示批示和</w:t>
      </w:r>
      <w:r>
        <w:rPr>
          <w:rFonts w:hint="eastAsia"/>
          <w:szCs w:val="32"/>
          <w:shd w:val="clear" w:color="auto" w:fill="auto"/>
        </w:rPr>
        <w:t>给红其拉甫海关全体关员重要回信精神，严格落实《中华人民共和国政府信息公开条例》等要求，纵深推进</w:t>
      </w:r>
      <w:r>
        <w:rPr>
          <w:szCs w:val="32"/>
          <w:shd w:val="clear" w:color="auto" w:fill="auto"/>
        </w:rPr>
        <w:t>基层</w:t>
      </w:r>
      <w:r>
        <w:rPr>
          <w:rFonts w:hint="eastAsia"/>
          <w:szCs w:val="32"/>
          <w:shd w:val="clear" w:color="auto" w:fill="auto"/>
        </w:rPr>
        <w:t>政务公开标准化规范化建设。</w:t>
      </w:r>
      <w:r>
        <w:rPr>
          <w:rFonts w:hint="eastAsia"/>
          <w:color w:val="000000"/>
          <w:spacing w:val="0"/>
          <w:kern w:val="0"/>
          <w:szCs w:val="32"/>
          <w:shd w:val="clear" w:color="auto" w:fill="auto"/>
        </w:rPr>
        <w:t>现将工作情况报告如下：</w:t>
      </w:r>
    </w:p>
    <w:p>
      <w:pPr>
        <w:pStyle w:val="19"/>
        <w:shd w:val="clear" w:color="auto" w:fill="auto"/>
        <w:autoSpaceDN w:val="0"/>
        <w:adjustRightInd w:val="0"/>
        <w:snapToGrid w:val="0"/>
        <w:ind w:firstLineChars="200" w:firstLine="640"/>
        <w:rPr>
          <w:rFonts w:eastAsia="方正楷体_GBK"/>
          <w:b/>
          <w:spacing w:val="0"/>
          <w:szCs w:val="32"/>
          <w:shd w:val="clear" w:color="auto" w:fill="auto"/>
        </w:rPr>
      </w:pPr>
      <w:r>
        <w:rPr>
          <w:rFonts w:eastAsia="方正楷体_GBK" w:hint="eastAsia"/>
          <w:b/>
          <w:spacing w:val="0"/>
          <w:szCs w:val="32"/>
          <w:shd w:val="clear" w:color="auto" w:fill="auto"/>
        </w:rPr>
        <w:t>（一）主动公开情况。</w:t>
      </w:r>
    </w:p>
    <w:p>
      <w:pPr>
        <w:pStyle w:val="24"/>
        <w:shd w:val="clear" w:color="auto" w:fill="auto"/>
        <w:spacing w:line="560" w:lineRule="exact"/>
        <w:ind w:firstLineChars="200" w:firstLine="624"/>
        <w:rPr>
          <w:spacing w:val="-4"/>
          <w:szCs w:val="32"/>
          <w:shd w:val="clear" w:color="auto" w:fill="auto"/>
        </w:rPr>
      </w:pPr>
      <w:r>
        <w:rPr>
          <w:rFonts w:hint="eastAsia"/>
          <w:spacing w:val="-4"/>
          <w:szCs w:val="32"/>
          <w:shd w:val="clear" w:color="auto" w:fill="auto"/>
        </w:rPr>
        <w:t>大铲海关设立</w:t>
      </w:r>
      <w:r>
        <w:rPr>
          <w:spacing w:val="-4"/>
          <w:szCs w:val="32"/>
          <w:shd w:val="clear" w:color="auto" w:fill="auto"/>
        </w:rPr>
        <w:t>基层政务</w:t>
      </w:r>
      <w:r>
        <w:rPr>
          <w:rFonts w:hint="eastAsia"/>
          <w:spacing w:val="-4"/>
          <w:szCs w:val="32"/>
          <w:shd w:val="clear" w:color="auto" w:fill="auto"/>
        </w:rPr>
        <w:t>公开专区，深挖“船舱式”政府信息公开平台服务潜能，通过</w:t>
      </w:r>
      <w:r>
        <w:rPr>
          <w:spacing w:val="-4"/>
          <w:szCs w:val="32"/>
          <w:shd w:val="clear" w:color="auto" w:fill="auto"/>
        </w:rPr>
        <w:t>广州海关门户网站、宣传展板等渠道，</w:t>
      </w:r>
      <w:r>
        <w:rPr>
          <w:rFonts w:hint="eastAsia"/>
          <w:spacing w:val="-4"/>
          <w:szCs w:val="32"/>
          <w:shd w:val="clear" w:color="auto" w:fill="auto"/>
        </w:rPr>
        <w:t>主动公开并及时更新维护机构职能、办事方式等</w:t>
      </w:r>
      <w:r>
        <w:rPr>
          <w:spacing w:val="-4"/>
          <w:szCs w:val="32"/>
          <w:shd w:val="clear" w:color="auto" w:fill="auto"/>
        </w:rPr>
        <w:t>政府</w:t>
      </w:r>
      <w:r>
        <w:rPr>
          <w:rFonts w:hint="eastAsia"/>
          <w:spacing w:val="-4"/>
          <w:szCs w:val="32"/>
          <w:shd w:val="clear" w:color="auto" w:fill="auto"/>
        </w:rPr>
        <w:t>信息。</w:t>
      </w:r>
    </w:p>
    <w:p>
      <w:pPr>
        <w:pStyle w:val="24"/>
        <w:shd w:val="clear" w:color="auto" w:fill="auto"/>
        <w:spacing w:line="560" w:lineRule="exact"/>
        <w:ind w:firstLineChars="200" w:firstLine="640"/>
        <w:rPr>
          <w:rFonts w:eastAsia="方正楷体_GBK"/>
          <w:b/>
          <w:szCs w:val="32"/>
          <w:shd w:val="clear" w:color="auto" w:fill="auto"/>
        </w:rPr>
      </w:pPr>
      <w:r>
        <w:rPr>
          <w:rFonts w:eastAsia="方正楷体_GBK" w:hint="eastAsia"/>
          <w:b/>
          <w:szCs w:val="32"/>
          <w:shd w:val="clear" w:color="auto" w:fill="auto"/>
        </w:rPr>
        <w:t>（</w:t>
      </w:r>
      <w:r>
        <w:rPr>
          <w:rFonts w:eastAsia="方正楷体_GBK"/>
          <w:b/>
          <w:szCs w:val="32"/>
          <w:shd w:val="clear" w:color="auto" w:fill="auto"/>
        </w:rPr>
        <w:t>二</w:t>
      </w:r>
      <w:r>
        <w:rPr>
          <w:rFonts w:eastAsia="方正楷体_GBK" w:hint="eastAsia"/>
          <w:b/>
          <w:szCs w:val="32"/>
          <w:shd w:val="clear" w:color="auto" w:fill="auto"/>
        </w:rPr>
        <w:t>）</w:t>
      </w:r>
      <w:r>
        <w:rPr>
          <w:rFonts w:eastAsia="方正楷体_GBK"/>
          <w:b/>
          <w:szCs w:val="32"/>
          <w:shd w:val="clear" w:color="auto" w:fill="auto"/>
        </w:rPr>
        <w:t>依申请公开</w:t>
      </w:r>
      <w:r>
        <w:rPr>
          <w:rFonts w:eastAsia="方正楷体_GBK" w:hint="eastAsia"/>
          <w:b/>
          <w:szCs w:val="32"/>
          <w:shd w:val="clear" w:color="auto" w:fill="auto"/>
        </w:rPr>
        <w:t>情况</w:t>
      </w:r>
      <w:r>
        <w:rPr>
          <w:rFonts w:eastAsia="方正楷体_GBK"/>
          <w:b/>
          <w:szCs w:val="32"/>
          <w:shd w:val="clear" w:color="auto" w:fill="auto"/>
        </w:rPr>
        <w:t>。</w:t>
      </w:r>
    </w:p>
    <w:p>
      <w:pPr>
        <w:pStyle w:val="24"/>
        <w:shd w:val="clear" w:color="auto" w:fill="auto"/>
        <w:spacing w:line="560" w:lineRule="exact"/>
        <w:ind w:firstLineChars="200" w:firstLine="640"/>
        <w:rPr>
          <w:szCs w:val="32"/>
          <w:shd w:val="clear" w:color="auto" w:fill="auto"/>
        </w:rPr>
      </w:pPr>
      <w:r>
        <w:rPr>
          <w:rFonts w:hint="eastAsia"/>
          <w:szCs w:val="32"/>
          <w:shd w:val="clear" w:color="auto" w:fill="auto"/>
        </w:rPr>
        <w:t>运用业务知识学测小程序、场景模拟实操等，提升队伍依申请公开</w:t>
      </w:r>
      <w:r>
        <w:rPr>
          <w:szCs w:val="32"/>
          <w:shd w:val="clear" w:color="auto" w:fill="auto"/>
        </w:rPr>
        <w:t>办</w:t>
      </w:r>
      <w:r>
        <w:rPr>
          <w:rFonts w:hint="eastAsia"/>
          <w:szCs w:val="32"/>
          <w:shd w:val="clear" w:color="auto" w:fill="auto"/>
        </w:rPr>
        <w:t>理能力。细化申请渠道、流程等指引，坚持专人负责查阅信件、电话、电邮</w:t>
      </w:r>
      <w:r>
        <w:rPr>
          <w:szCs w:val="32"/>
          <w:shd w:val="clear" w:color="auto" w:fill="auto"/>
        </w:rPr>
        <w:t>、传真</w:t>
      </w:r>
      <w:r>
        <w:rPr>
          <w:rFonts w:hint="eastAsia"/>
          <w:szCs w:val="32"/>
          <w:shd w:val="clear" w:color="auto" w:fill="auto"/>
        </w:rPr>
        <w:t>等政府信息公开申请受理渠道，确保及时接收政府信息公开申请。</w:t>
      </w:r>
      <w:r>
        <w:rPr>
          <w:szCs w:val="32"/>
          <w:shd w:val="clear" w:color="auto" w:fill="auto"/>
        </w:rPr>
        <w:t>年内未收到政府信息公开申请。</w:t>
      </w:r>
    </w:p>
    <w:p>
      <w:pPr>
        <w:pStyle w:val="24"/>
        <w:shd w:val="clear" w:color="auto" w:fill="auto"/>
        <w:spacing w:line="560" w:lineRule="exact"/>
        <w:ind w:firstLineChars="200" w:firstLine="640"/>
        <w:rPr>
          <w:rFonts w:eastAsia="方正楷体_GBK"/>
          <w:b/>
          <w:szCs w:val="32"/>
          <w:shd w:val="clear" w:color="auto" w:fill="auto"/>
        </w:rPr>
      </w:pPr>
      <w:r>
        <w:rPr>
          <w:rFonts w:eastAsia="方正楷体_GBK" w:hint="eastAsia"/>
          <w:b/>
          <w:szCs w:val="32"/>
          <w:shd w:val="clear" w:color="auto" w:fill="auto"/>
        </w:rPr>
        <w:t>（三）政府信息管理方面。</w:t>
      </w:r>
    </w:p>
    <w:p>
      <w:pPr>
        <w:pStyle w:val="24"/>
        <w:shd w:val="clear" w:color="auto" w:fill="auto"/>
        <w:spacing w:line="560" w:lineRule="exact"/>
        <w:ind w:firstLineChars="200" w:firstLine="640"/>
        <w:rPr>
          <w:szCs w:val="32"/>
          <w:shd w:val="clear" w:color="auto" w:fill="auto"/>
        </w:rPr>
      </w:pPr>
      <w:r>
        <w:rPr>
          <w:rFonts w:hint="eastAsia"/>
          <w:szCs w:val="32"/>
          <w:shd w:val="clear" w:color="auto" w:fill="auto"/>
        </w:rPr>
        <w:t>压紧压实政府信息公开责任链条，按照“谁制作、谁公开”“谁公开、谁审查”“先审查、后公开”原则，完善信息公开发布审查机制，严格落实三级审核，确保信息发布准确、及时，不断提升关区政务公开工作质效。</w:t>
      </w:r>
      <w:r>
        <w:rPr>
          <w:rFonts w:hint="eastAsia"/>
          <w:spacing w:val="-4"/>
          <w:szCs w:val="32"/>
          <w:shd w:val="clear" w:color="auto" w:fill="auto"/>
        </w:rPr>
        <w:t>在国家宪法日、全民国家安全教育日等节点，结合执法实际</w:t>
      </w:r>
      <w:r>
        <w:rPr>
          <w:spacing w:val="-4"/>
          <w:szCs w:val="32"/>
          <w:shd w:val="clear" w:color="auto" w:fill="auto"/>
        </w:rPr>
        <w:t>，</w:t>
      </w:r>
      <w:r>
        <w:rPr>
          <w:rFonts w:hint="eastAsia"/>
          <w:spacing w:val="-4"/>
          <w:szCs w:val="32"/>
          <w:shd w:val="clear" w:color="auto" w:fill="auto"/>
        </w:rPr>
        <w:t>前往学校、社区等</w:t>
      </w:r>
      <w:r>
        <w:rPr>
          <w:spacing w:val="-4"/>
          <w:szCs w:val="32"/>
          <w:shd w:val="clear" w:color="auto" w:fill="auto"/>
        </w:rPr>
        <w:t>开展</w:t>
      </w:r>
      <w:r>
        <w:rPr>
          <w:rFonts w:hint="eastAsia"/>
          <w:spacing w:val="-4"/>
          <w:szCs w:val="32"/>
          <w:shd w:val="clear" w:color="auto" w:fill="auto"/>
        </w:rPr>
        <w:t>普法</w:t>
      </w:r>
      <w:r>
        <w:rPr>
          <w:spacing w:val="-4"/>
          <w:szCs w:val="32"/>
          <w:shd w:val="clear" w:color="auto" w:fill="auto"/>
        </w:rPr>
        <w:t>释疑活动</w:t>
      </w:r>
      <w:r>
        <w:rPr>
          <w:rFonts w:hint="eastAsia"/>
          <w:spacing w:val="-4"/>
          <w:szCs w:val="32"/>
          <w:shd w:val="clear" w:color="auto" w:fill="auto"/>
        </w:rPr>
        <w:t>4次</w:t>
      </w:r>
      <w:r>
        <w:rPr>
          <w:spacing w:val="-4"/>
          <w:szCs w:val="32"/>
          <w:shd w:val="clear" w:color="auto" w:fill="auto"/>
        </w:rPr>
        <w:t>，</w:t>
      </w:r>
      <w:r>
        <w:rPr>
          <w:rFonts w:hint="eastAsia"/>
          <w:spacing w:val="-4"/>
          <w:szCs w:val="32"/>
          <w:shd w:val="clear" w:color="auto" w:fill="auto"/>
        </w:rPr>
        <w:t>利用登临查船间隙“面对面”向船员、属地群众宣传知识产权海关保护、国门生物安全、海关反走私等</w:t>
      </w:r>
      <w:r>
        <w:rPr>
          <w:spacing w:val="-4"/>
          <w:szCs w:val="32"/>
          <w:shd w:val="clear" w:color="auto" w:fill="auto"/>
        </w:rPr>
        <w:t>政策</w:t>
      </w:r>
      <w:r>
        <w:rPr>
          <w:rFonts w:hint="eastAsia"/>
          <w:spacing w:val="-4"/>
          <w:szCs w:val="32"/>
          <w:shd w:val="clear" w:color="auto" w:fill="auto"/>
        </w:rPr>
        <w:t>法规，以普法促守法。</w:t>
      </w:r>
    </w:p>
    <w:p>
      <w:pPr>
        <w:pStyle w:val="24"/>
        <w:shd w:val="clear" w:color="auto" w:fill="auto"/>
        <w:spacing w:line="560" w:lineRule="exact"/>
        <w:ind w:firstLineChars="200" w:firstLine="640"/>
        <w:rPr>
          <w:rFonts w:eastAsia="方正楷体_GBK"/>
          <w:b/>
          <w:szCs w:val="32"/>
          <w:shd w:val="clear" w:color="auto" w:fill="auto"/>
        </w:rPr>
      </w:pPr>
      <w:r>
        <w:rPr>
          <w:rFonts w:eastAsia="方正楷体_GBK" w:hint="eastAsia"/>
          <w:b/>
          <w:szCs w:val="32"/>
          <w:shd w:val="clear" w:color="auto" w:fill="auto"/>
        </w:rPr>
        <w:t>（四）政府信息公开平台建设方面。</w:t>
      </w:r>
    </w:p>
    <w:p>
      <w:pPr>
        <w:pStyle w:val="24"/>
        <w:shd w:val="clear" w:color="auto" w:fill="auto"/>
        <w:spacing w:line="560" w:lineRule="exact"/>
        <w:ind w:firstLineChars="200" w:firstLine="624"/>
        <w:rPr>
          <w:color w:val="FF0000"/>
          <w:spacing w:val="-4"/>
          <w:szCs w:val="32"/>
          <w:shd w:val="clear" w:color="auto" w:fill="auto"/>
        </w:rPr>
      </w:pPr>
      <w:r>
        <w:rPr>
          <w:rFonts w:hint="eastAsia"/>
          <w:spacing w:val="-4"/>
          <w:szCs w:val="32"/>
          <w:shd w:val="clear" w:color="auto" w:fill="auto"/>
        </w:rPr>
        <w:t>持续擦亮“海关进企业、海关进社区、海关进校园”——“三进”品牌，及时向船员提供通航、应急等电话指引。发扬“四下基层”作风，发展新时代“枫桥经验”，深化“关长接待日”“关长联系企业”机制，跟踪监测小船航运数据，针对异动情况，</w:t>
      </w:r>
      <w:r>
        <w:rPr>
          <w:spacing w:val="-4"/>
          <w:szCs w:val="32"/>
          <w:shd w:val="clear" w:color="auto" w:fill="auto"/>
        </w:rPr>
        <w:t>主动</w:t>
      </w:r>
      <w:r>
        <w:rPr>
          <w:rFonts w:hint="eastAsia"/>
          <w:spacing w:val="-4"/>
          <w:szCs w:val="32"/>
          <w:shd w:val="clear" w:color="auto" w:fill="auto"/>
        </w:rPr>
        <w:t>前往船东协会、头部船企等</w:t>
      </w:r>
      <w:r>
        <w:rPr>
          <w:spacing w:val="-4"/>
          <w:szCs w:val="32"/>
          <w:shd w:val="clear" w:color="auto" w:fill="auto"/>
        </w:rPr>
        <w:t>开展</w:t>
      </w:r>
      <w:r>
        <w:rPr>
          <w:rFonts w:hint="eastAsia"/>
          <w:spacing w:val="-4"/>
          <w:szCs w:val="32"/>
          <w:shd w:val="clear" w:color="auto" w:fill="auto"/>
        </w:rPr>
        <w:t>调研11次</w:t>
      </w:r>
      <w:r>
        <w:rPr>
          <w:spacing w:val="-4"/>
          <w:szCs w:val="32"/>
          <w:shd w:val="clear" w:color="auto" w:fill="auto"/>
        </w:rPr>
        <w:t>，及时</w:t>
      </w:r>
      <w:r>
        <w:rPr>
          <w:rFonts w:hint="eastAsia"/>
          <w:spacing w:val="-4"/>
          <w:szCs w:val="32"/>
          <w:shd w:val="clear" w:color="auto" w:fill="auto"/>
        </w:rPr>
        <w:t>解决企业困难</w:t>
      </w:r>
      <w:r>
        <w:rPr>
          <w:spacing w:val="-4"/>
          <w:szCs w:val="32"/>
          <w:shd w:val="clear" w:color="auto" w:fill="auto"/>
        </w:rPr>
        <w:t>。</w:t>
      </w:r>
      <w:r>
        <w:rPr>
          <w:rFonts w:hint="eastAsia"/>
          <w:spacing w:val="-4"/>
          <w:szCs w:val="32"/>
          <w:shd w:val="clear" w:color="auto" w:fill="auto"/>
        </w:rPr>
        <w:t>对“东莞-香港国际空港中心”海空联运项目专用船舶实施快验快放、降低检查频次，运用远程监管、缩减交验单证等方式，提高船舶通航时效、减轻船企负担，助力粤港澳大湾区建设。</w:t>
      </w:r>
    </w:p>
    <w:p>
      <w:pPr>
        <w:pStyle w:val="24"/>
        <w:shd w:val="clear" w:color="auto" w:fill="auto"/>
        <w:spacing w:line="560" w:lineRule="exact"/>
        <w:ind w:firstLineChars="200" w:firstLine="640"/>
        <w:rPr>
          <w:rFonts w:eastAsia="方正楷体_GBK"/>
          <w:b/>
          <w:szCs w:val="32"/>
          <w:shd w:val="clear" w:color="auto" w:fill="auto"/>
        </w:rPr>
      </w:pPr>
      <w:r>
        <w:rPr>
          <w:rFonts w:eastAsia="方正楷体_GBK" w:hint="eastAsia"/>
          <w:b/>
          <w:szCs w:val="32"/>
          <w:shd w:val="clear" w:color="auto" w:fill="auto"/>
        </w:rPr>
        <w:t>（五）监督保障工作方面。</w:t>
      </w:r>
    </w:p>
    <w:p>
      <w:pPr>
        <w:pStyle w:val="24"/>
        <w:shd w:val="clear" w:color="auto" w:fill="auto"/>
        <w:spacing w:line="560" w:lineRule="exact"/>
        <w:ind w:firstLineChars="200" w:firstLine="624"/>
        <w:rPr>
          <w:spacing w:val="-4"/>
          <w:szCs w:val="32"/>
          <w:shd w:val="clear" w:color="auto" w:fill="auto"/>
        </w:rPr>
      </w:pPr>
      <w:r>
        <w:rPr>
          <w:rFonts w:hint="eastAsia"/>
          <w:spacing w:val="-4"/>
          <w:szCs w:val="32"/>
          <w:shd w:val="clear" w:color="auto" w:fill="auto"/>
        </w:rPr>
        <w:t>关领导高度重视政府信息公开工作，定期听取情况报告，开展实地检查，确保公告栏</w:t>
      </w:r>
      <w:r>
        <w:rPr>
          <w:spacing w:val="-4"/>
          <w:szCs w:val="32"/>
          <w:shd w:val="clear" w:color="auto" w:fill="auto"/>
        </w:rPr>
        <w:t>等渠道公开</w:t>
      </w:r>
      <w:r>
        <w:rPr>
          <w:rFonts w:hint="eastAsia"/>
          <w:spacing w:val="-4"/>
          <w:szCs w:val="32"/>
          <w:shd w:val="clear" w:color="auto" w:fill="auto"/>
        </w:rPr>
        <w:t>信息</w:t>
      </w:r>
      <w:r>
        <w:rPr>
          <w:spacing w:val="-4"/>
          <w:szCs w:val="32"/>
          <w:shd w:val="clear" w:color="auto" w:fill="auto"/>
        </w:rPr>
        <w:t>符合形式、时效</w:t>
      </w:r>
      <w:r>
        <w:rPr>
          <w:rFonts w:hint="eastAsia"/>
          <w:spacing w:val="-4"/>
          <w:szCs w:val="32"/>
          <w:shd w:val="clear" w:color="auto" w:fill="auto"/>
        </w:rPr>
        <w:t>等</w:t>
      </w:r>
      <w:r>
        <w:rPr>
          <w:spacing w:val="-4"/>
          <w:szCs w:val="32"/>
          <w:shd w:val="clear" w:color="auto" w:fill="auto"/>
        </w:rPr>
        <w:t>规范</w:t>
      </w:r>
      <w:r>
        <w:rPr>
          <w:rFonts w:hint="eastAsia"/>
          <w:spacing w:val="-4"/>
          <w:szCs w:val="32"/>
          <w:shd w:val="clear" w:color="auto" w:fill="auto"/>
        </w:rPr>
        <w:t>要求。积极派员参加专业化、系统化业务技能</w:t>
      </w:r>
      <w:r>
        <w:rPr>
          <w:spacing w:val="-4"/>
          <w:szCs w:val="32"/>
          <w:shd w:val="clear" w:color="auto" w:fill="auto"/>
        </w:rPr>
        <w:t>学习</w:t>
      </w:r>
      <w:r>
        <w:rPr>
          <w:rFonts w:hint="eastAsia"/>
          <w:spacing w:val="-4"/>
          <w:szCs w:val="32"/>
          <w:shd w:val="clear" w:color="auto" w:fill="auto"/>
        </w:rPr>
        <w:t>，组织主动公开、依申请公开、政策解读、政府信息公开年报等业务培训，提升队伍履职能力。</w:t>
      </w:r>
    </w:p>
    <w:p>
      <w:pPr>
        <w:pStyle w:val="25"/>
        <w:shd w:val="clear" w:color="auto" w:fill="auto"/>
        <w:spacing w:line="560" w:lineRule="exact"/>
        <w:ind w:firstLine="420"/>
        <w:rPr>
          <w:rFonts w:eastAsia="方正黑体_GBK" w:cs="楷体_GB2312"/>
          <w:bCs/>
          <w:szCs w:val="32"/>
          <w:shd w:val="clear" w:color="auto" w:fill="auto"/>
        </w:rPr>
      </w:pPr>
      <w:r>
        <w:rPr>
          <w:rFonts w:eastAsia="方正黑体_GBK" w:cs="楷体_GB2312" w:hint="eastAsia"/>
          <w:bCs/>
          <w:szCs w:val="32"/>
          <w:shd w:val="clear" w:color="auto" w:fill="auto"/>
        </w:rPr>
        <w:t>二、主动公开政府信息情况</w:t>
      </w:r>
    </w:p>
    <w:tbl>
      <w:tblPr>
        <w:jc w:val="center"/>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2719"/>
        <w:gridCol w:w="2183"/>
        <w:gridCol w:w="1936"/>
        <w:gridCol w:w="2156"/>
      </w:tblGrid>
      <w:tr>
        <w:trPr>
          <w:trHeight w:val="594"/>
        </w:trPr>
        <w:tc>
          <w:tcPr>
            <w:tcW w:w="8994" w:type="dxa"/>
            <w:gridSpan w:val="4"/>
            <w:tcBorders>
              <w:top w:val="single" w:sz="8" w:space="0" w:color="auto"/>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26"/>
              <w:widowControl/>
              <w:shd w:val="clear" w:color="auto" w:fill="auto"/>
              <w:spacing w:line="560" w:lineRule="exact"/>
              <w:jc w:val="center"/>
              <w:rPr>
                <w:sz w:val="24"/>
                <w:szCs w:val="24"/>
                <w:shd w:val="clear" w:color="auto" w:fill="auto"/>
              </w:rPr>
            </w:pPr>
            <w:r>
              <w:rPr>
                <w:rFonts w:cs="宋体" w:hint="eastAsia"/>
                <w:kern w:val="0"/>
                <w:sz w:val="24"/>
                <w:szCs w:val="24"/>
                <w:shd w:val="clear" w:color="auto" w:fill="auto"/>
              </w:rPr>
              <w:t>第二十条第（一）项</w:t>
            </w:r>
          </w:p>
        </w:tc>
      </w:tr>
      <w:tr>
        <w:trPr>
          <w:trHeight w:val="594"/>
        </w:trPr>
        <w:tc>
          <w:tcPr>
            <w:tcW w:w="2719"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26"/>
              <w:widowControl/>
              <w:shd w:val="clear" w:color="auto" w:fill="auto"/>
              <w:spacing w:line="560" w:lineRule="exact"/>
              <w:jc w:val="center"/>
              <w:rPr>
                <w:sz w:val="24"/>
                <w:szCs w:val="24"/>
                <w:shd w:val="clear" w:color="auto" w:fill="auto"/>
              </w:rPr>
            </w:pPr>
            <w:r>
              <w:rPr>
                <w:rFonts w:cs="宋体" w:hint="eastAsia"/>
                <w:kern w:val="0"/>
                <w:sz w:val="24"/>
                <w:szCs w:val="24"/>
                <w:shd w:val="clear" w:color="auto" w:fill="auto"/>
              </w:rPr>
              <w:t>信息内容</w:t>
            </w:r>
          </w:p>
        </w:tc>
        <w:tc>
          <w:tcPr>
            <w:tcW w:w="2183"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26"/>
              <w:widowControl/>
              <w:shd w:val="clear" w:color="auto" w:fill="auto"/>
              <w:spacing w:line="560" w:lineRule="exact"/>
              <w:jc w:val="center"/>
              <w:rPr>
                <w:sz w:val="24"/>
                <w:szCs w:val="24"/>
                <w:shd w:val="clear" w:color="auto" w:fill="auto"/>
              </w:rPr>
            </w:pPr>
            <w:r>
              <w:rPr>
                <w:rFonts w:cs="宋体" w:hint="eastAsia"/>
                <w:kern w:val="0"/>
                <w:sz w:val="24"/>
                <w:szCs w:val="24"/>
                <w:shd w:val="clear" w:color="auto" w:fill="auto"/>
              </w:rPr>
              <w:t>本年</w:t>
            </w:r>
            <w:r>
              <w:rPr>
                <w:kern w:val="0"/>
                <w:sz w:val="24"/>
                <w:szCs w:val="24"/>
                <w:shd w:val="clear" w:color="auto" w:fill="auto"/>
              </w:rPr>
              <w:t>制发件数</w:t>
            </w:r>
          </w:p>
        </w:tc>
        <w:tc>
          <w:tcPr>
            <w:tcW w:w="1936"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26"/>
              <w:widowControl/>
              <w:shd w:val="clear" w:color="auto" w:fill="auto"/>
              <w:spacing w:line="560" w:lineRule="exact"/>
              <w:jc w:val="center"/>
              <w:rPr>
                <w:sz w:val="24"/>
                <w:szCs w:val="24"/>
                <w:shd w:val="clear" w:color="auto" w:fill="auto"/>
              </w:rPr>
            </w:pPr>
            <w:r>
              <w:rPr>
                <w:rFonts w:cs="宋体" w:hint="eastAsia"/>
                <w:kern w:val="0"/>
                <w:sz w:val="24"/>
                <w:szCs w:val="24"/>
                <w:shd w:val="clear" w:color="auto" w:fill="auto"/>
              </w:rPr>
              <w:t>本年废止件</w:t>
            </w:r>
            <w:r>
              <w:rPr>
                <w:kern w:val="0"/>
                <w:sz w:val="24"/>
                <w:szCs w:val="24"/>
                <w:shd w:val="clear" w:color="auto" w:fill="auto"/>
              </w:rPr>
              <w:t>数</w:t>
            </w:r>
          </w:p>
        </w:tc>
        <w:tc>
          <w:tcPr>
            <w:tcW w:w="2156" w:type="dxa"/>
            <w:tcBorders>
              <w:top w:val="nil"/>
              <w:left w:val="nil"/>
              <w:bottom w:val="single" w:sz="8" w:space="0" w:color="auto"/>
              <w:right w:val="single" w:sz="8" w:space="0" w:color="auto"/>
              <w:tl2br w:val="nil"/>
              <w:tr2bl w:val="nil"/>
            </w:tcBorders>
            <w:vAlign w:val="center"/>
          </w:tcPr>
          <w:p>
            <w:pPr>
              <w:pStyle w:val="26"/>
              <w:widowControl/>
              <w:shd w:val="clear" w:color="auto" w:fill="auto"/>
              <w:spacing w:line="560" w:lineRule="exact"/>
              <w:jc w:val="center"/>
              <w:rPr>
                <w:sz w:val="24"/>
                <w:szCs w:val="24"/>
                <w:shd w:val="clear" w:color="auto" w:fill="auto"/>
              </w:rPr>
            </w:pPr>
            <w:r>
              <w:rPr>
                <w:rFonts w:cs="宋体" w:hint="eastAsia"/>
                <w:kern w:val="0"/>
                <w:sz w:val="24"/>
                <w:szCs w:val="24"/>
                <w:shd w:val="clear" w:color="auto" w:fill="auto"/>
              </w:rPr>
              <w:t>现行有效件数</w:t>
            </w:r>
          </w:p>
        </w:tc>
      </w:tr>
      <w:tr>
        <w:trPr>
          <w:trHeight w:val="594"/>
        </w:trPr>
        <w:tc>
          <w:tcPr>
            <w:tcW w:w="2719"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26"/>
              <w:widowControl/>
              <w:shd w:val="clear" w:color="auto" w:fill="auto"/>
              <w:adjustRightInd w:val="0"/>
              <w:snapToGrid w:val="0"/>
              <w:spacing w:line="560" w:lineRule="exact"/>
              <w:jc w:val="center"/>
              <w:rPr>
                <w:sz w:val="24"/>
                <w:szCs w:val="24"/>
                <w:shd w:val="clear" w:color="auto" w:fill="auto"/>
              </w:rPr>
            </w:pPr>
            <w:r>
              <w:rPr>
                <w:rFonts w:cs="宋体" w:hint="eastAsia"/>
                <w:kern w:val="0"/>
                <w:sz w:val="24"/>
                <w:szCs w:val="24"/>
                <w:shd w:val="clear" w:color="auto" w:fill="auto"/>
              </w:rPr>
              <w:t>规章</w:t>
            </w:r>
          </w:p>
        </w:tc>
        <w:tc>
          <w:tcPr>
            <w:tcW w:w="2183"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1936"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2156" w:type="dxa"/>
            <w:tcBorders>
              <w:top w:val="nil"/>
              <w:left w:val="nil"/>
              <w:bottom w:val="single" w:sz="8" w:space="0" w:color="auto"/>
              <w:right w:val="single" w:sz="8" w:space="0" w:color="auto"/>
              <w:tl2br w:val="nil"/>
              <w:tr2bl w:val="nil"/>
            </w:tcBorders>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r>
      <w:tr>
        <w:trPr>
          <w:trHeight w:val="594"/>
        </w:trPr>
        <w:tc>
          <w:tcPr>
            <w:tcW w:w="2719"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26"/>
              <w:widowControl/>
              <w:shd w:val="clear" w:color="auto" w:fill="auto"/>
              <w:adjustRightInd w:val="0"/>
              <w:snapToGrid w:val="0"/>
              <w:spacing w:line="560" w:lineRule="exact"/>
              <w:jc w:val="center"/>
              <w:rPr>
                <w:sz w:val="24"/>
                <w:szCs w:val="24"/>
                <w:shd w:val="clear" w:color="auto" w:fill="auto"/>
              </w:rPr>
            </w:pPr>
            <w:r>
              <w:rPr>
                <w:rFonts w:cs="宋体" w:hint="eastAsia"/>
                <w:kern w:val="0"/>
                <w:sz w:val="24"/>
                <w:szCs w:val="24"/>
                <w:shd w:val="clear" w:color="auto" w:fill="auto"/>
              </w:rPr>
              <w:t>行政规范性文件</w:t>
            </w:r>
          </w:p>
        </w:tc>
        <w:tc>
          <w:tcPr>
            <w:tcW w:w="2183"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1936"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2156" w:type="dxa"/>
            <w:tcBorders>
              <w:top w:val="nil"/>
              <w:left w:val="nil"/>
              <w:bottom w:val="single" w:sz="8" w:space="0" w:color="auto"/>
              <w:right w:val="single" w:sz="8" w:space="0" w:color="auto"/>
              <w:tl2br w:val="nil"/>
              <w:tr2bl w:val="nil"/>
            </w:tcBorders>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r>
      <w:tr>
        <w:trPr>
          <w:trHeight w:val="594"/>
        </w:trPr>
        <w:tc>
          <w:tcPr>
            <w:tcW w:w="8994"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26"/>
              <w:widowControl/>
              <w:shd w:val="clear" w:color="auto" w:fill="auto"/>
              <w:spacing w:line="560" w:lineRule="exact"/>
              <w:jc w:val="center"/>
              <w:rPr>
                <w:sz w:val="24"/>
                <w:szCs w:val="24"/>
                <w:shd w:val="clear" w:color="auto" w:fill="auto"/>
              </w:rPr>
            </w:pPr>
            <w:r>
              <w:rPr>
                <w:rFonts w:cs="宋体" w:hint="eastAsia"/>
                <w:kern w:val="0"/>
                <w:sz w:val="24"/>
                <w:szCs w:val="24"/>
                <w:shd w:val="clear" w:color="auto" w:fill="auto"/>
              </w:rPr>
              <w:t>第二十条第（五）项</w:t>
            </w:r>
          </w:p>
        </w:tc>
      </w:tr>
      <w:tr>
        <w:trPr>
          <w:trHeight w:val="594"/>
        </w:trPr>
        <w:tc>
          <w:tcPr>
            <w:tcW w:w="2719"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26"/>
              <w:widowControl/>
              <w:shd w:val="clear" w:color="auto" w:fill="auto"/>
              <w:adjustRightInd w:val="0"/>
              <w:snapToGrid w:val="0"/>
              <w:spacing w:line="560" w:lineRule="exact"/>
              <w:jc w:val="center"/>
              <w:rPr>
                <w:sz w:val="24"/>
                <w:szCs w:val="24"/>
                <w:shd w:val="clear" w:color="auto" w:fill="auto"/>
              </w:rPr>
            </w:pPr>
            <w:r>
              <w:rPr>
                <w:rFonts w:cs="宋体" w:hint="eastAsia"/>
                <w:kern w:val="0"/>
                <w:sz w:val="24"/>
                <w:szCs w:val="24"/>
                <w:shd w:val="clear" w:color="auto" w:fill="auto"/>
              </w:rPr>
              <w:t>信息内容</w:t>
            </w:r>
          </w:p>
        </w:tc>
        <w:tc>
          <w:tcPr>
            <w:tcW w:w="6275" w:type="dxa"/>
            <w:gridSpan w:val="3"/>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27"/>
              <w:widowControl/>
              <w:shd w:val="clear" w:color="auto" w:fill="auto"/>
              <w:adjustRightInd w:val="0"/>
              <w:snapToGrid w:val="0"/>
              <w:spacing w:line="560" w:lineRule="exact"/>
              <w:jc w:val="center"/>
              <w:rPr>
                <w:sz w:val="24"/>
                <w:szCs w:val="24"/>
                <w:shd w:val="clear" w:color="auto" w:fill="auto"/>
              </w:rPr>
            </w:pPr>
            <w:r>
              <w:rPr>
                <w:rFonts w:cs="宋体" w:hint="eastAsia"/>
                <w:kern w:val="0"/>
                <w:sz w:val="24"/>
                <w:szCs w:val="24"/>
                <w:shd w:val="clear" w:color="auto" w:fill="auto"/>
              </w:rPr>
              <w:t>本年处理决定数量</w:t>
            </w:r>
          </w:p>
        </w:tc>
      </w:tr>
      <w:tr>
        <w:trPr>
          <w:trHeight w:val="594"/>
        </w:trPr>
        <w:tc>
          <w:tcPr>
            <w:tcW w:w="2719"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26"/>
              <w:widowControl/>
              <w:shd w:val="clear" w:color="auto" w:fill="auto"/>
              <w:adjustRightInd w:val="0"/>
              <w:snapToGrid w:val="0"/>
              <w:spacing w:line="560" w:lineRule="exact"/>
              <w:jc w:val="center"/>
              <w:rPr>
                <w:sz w:val="24"/>
                <w:szCs w:val="24"/>
                <w:shd w:val="clear" w:color="auto" w:fill="auto"/>
              </w:rPr>
            </w:pPr>
            <w:r>
              <w:rPr>
                <w:rFonts w:cs="宋体" w:hint="eastAsia"/>
                <w:kern w:val="0"/>
                <w:sz w:val="24"/>
                <w:szCs w:val="24"/>
                <w:shd w:val="clear" w:color="auto" w:fill="auto"/>
              </w:rPr>
              <w:t>行政许可</w:t>
            </w:r>
          </w:p>
        </w:tc>
        <w:tc>
          <w:tcPr>
            <w:tcW w:w="6275" w:type="dxa"/>
            <w:gridSpan w:val="3"/>
            <w:tcBorders>
              <w:top w:val="nil"/>
              <w:left w:val="nil"/>
              <w:bottom w:val="single" w:sz="8" w:space="0" w:color="auto"/>
              <w:right w:val="single" w:sz="8" w:space="0" w:color="auto"/>
              <w:tl2br w:val="nil"/>
              <w:tr2bl w:val="nil"/>
            </w:tcBorders>
            <w:tcMar>
              <w:left w:w="108" w:type="dxa"/>
              <w:right w:w="108" w:type="dxa"/>
            </w:tcMar>
            <w:vAlign w:val="center"/>
          </w:tcPr>
          <w:p>
            <w:pPr>
              <w:pStyle w:val="28"/>
              <w:shd w:val="clear" w:color="auto" w:fill="auto"/>
              <w:spacing w:line="560" w:lineRule="exact"/>
              <w:jc w:val="center"/>
              <w:rPr>
                <w:rFonts w:eastAsia="方正仿宋_GBK" w:cs="宋体"/>
                <w:sz w:val="24"/>
                <w:szCs w:val="24"/>
                <w:shd w:val="clear" w:color="auto" w:fill="auto"/>
              </w:rPr>
            </w:pPr>
            <w:r>
              <w:rPr>
                <w:rFonts w:eastAsia="方正仿宋_GBK" w:cs="宋体"/>
                <w:sz w:val="24"/>
                <w:szCs w:val="24"/>
                <w:shd w:val="clear" w:color="auto" w:fill="auto"/>
              </w:rPr>
              <w:t>0</w:t>
            </w:r>
          </w:p>
        </w:tc>
      </w:tr>
      <w:tr>
        <w:trPr>
          <w:trHeight w:val="594"/>
        </w:trPr>
        <w:tc>
          <w:tcPr>
            <w:tcW w:w="8994"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26"/>
              <w:widowControl/>
              <w:shd w:val="clear" w:color="auto" w:fill="auto"/>
              <w:spacing w:line="560" w:lineRule="exact"/>
              <w:jc w:val="center"/>
              <w:rPr>
                <w:sz w:val="24"/>
                <w:szCs w:val="24"/>
                <w:shd w:val="clear" w:color="auto" w:fill="auto"/>
              </w:rPr>
            </w:pPr>
            <w:r>
              <w:rPr>
                <w:rFonts w:cs="宋体" w:hint="eastAsia"/>
                <w:kern w:val="0"/>
                <w:sz w:val="24"/>
                <w:szCs w:val="24"/>
                <w:shd w:val="clear" w:color="auto" w:fill="auto"/>
              </w:rPr>
              <w:t>第二十条第（六）项</w:t>
            </w:r>
          </w:p>
        </w:tc>
      </w:tr>
      <w:tr>
        <w:trPr>
          <w:trHeight w:val="594"/>
        </w:trPr>
        <w:tc>
          <w:tcPr>
            <w:tcW w:w="2719"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26"/>
              <w:widowControl/>
              <w:shd w:val="clear" w:color="auto" w:fill="auto"/>
              <w:adjustRightInd w:val="0"/>
              <w:snapToGrid w:val="0"/>
              <w:spacing w:line="560" w:lineRule="exact"/>
              <w:jc w:val="center"/>
              <w:rPr>
                <w:sz w:val="24"/>
                <w:szCs w:val="24"/>
                <w:shd w:val="clear" w:color="auto" w:fill="auto"/>
              </w:rPr>
            </w:pPr>
            <w:r>
              <w:rPr>
                <w:rFonts w:cs="宋体" w:hint="eastAsia"/>
                <w:kern w:val="0"/>
                <w:sz w:val="24"/>
                <w:szCs w:val="24"/>
                <w:shd w:val="clear" w:color="auto" w:fill="auto"/>
              </w:rPr>
              <w:t>信息内容</w:t>
            </w:r>
          </w:p>
        </w:tc>
        <w:tc>
          <w:tcPr>
            <w:tcW w:w="6275" w:type="dxa"/>
            <w:gridSpan w:val="3"/>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29"/>
              <w:widowControl/>
              <w:shd w:val="clear" w:color="auto" w:fill="auto"/>
              <w:adjustRightInd w:val="0"/>
              <w:snapToGrid w:val="0"/>
              <w:spacing w:line="560" w:lineRule="exact"/>
              <w:jc w:val="center"/>
              <w:rPr>
                <w:sz w:val="24"/>
                <w:szCs w:val="24"/>
                <w:shd w:val="clear" w:color="auto" w:fill="auto"/>
              </w:rPr>
            </w:pPr>
            <w:r>
              <w:rPr>
                <w:rFonts w:cs="宋体" w:hint="eastAsia"/>
                <w:kern w:val="0"/>
                <w:sz w:val="24"/>
                <w:szCs w:val="24"/>
                <w:shd w:val="clear" w:color="auto" w:fill="auto"/>
              </w:rPr>
              <w:t>本年处理决定数量</w:t>
            </w:r>
          </w:p>
        </w:tc>
      </w:tr>
      <w:tr>
        <w:trPr>
          <w:trHeight w:val="594"/>
        </w:trPr>
        <w:tc>
          <w:tcPr>
            <w:tcW w:w="2719"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26"/>
              <w:widowControl/>
              <w:shd w:val="clear" w:color="auto" w:fill="auto"/>
              <w:adjustRightInd w:val="0"/>
              <w:snapToGrid w:val="0"/>
              <w:spacing w:line="560" w:lineRule="exact"/>
              <w:jc w:val="center"/>
              <w:rPr>
                <w:sz w:val="24"/>
                <w:szCs w:val="24"/>
                <w:shd w:val="clear" w:color="auto" w:fill="auto"/>
              </w:rPr>
            </w:pPr>
            <w:r>
              <w:rPr>
                <w:rFonts w:cs="宋体" w:hint="eastAsia"/>
                <w:kern w:val="0"/>
                <w:sz w:val="24"/>
                <w:szCs w:val="24"/>
                <w:shd w:val="clear" w:color="auto" w:fill="auto"/>
              </w:rPr>
              <w:t>行政处罚</w:t>
            </w:r>
          </w:p>
        </w:tc>
        <w:tc>
          <w:tcPr>
            <w:tcW w:w="6275" w:type="dxa"/>
            <w:gridSpan w:val="3"/>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cs="宋体"/>
                <w:sz w:val="24"/>
                <w:szCs w:val="24"/>
                <w:shd w:val="clear" w:color="auto" w:fill="auto"/>
              </w:rPr>
            </w:pPr>
            <w:r>
              <w:rPr>
                <w:rFonts w:eastAsia="方正仿宋_GBK" w:cs="宋体"/>
                <w:sz w:val="24"/>
                <w:szCs w:val="24"/>
                <w:shd w:val="clear" w:color="auto" w:fill="auto"/>
              </w:rPr>
              <w:t>122</w:t>
            </w:r>
          </w:p>
        </w:tc>
      </w:tr>
      <w:tr>
        <w:trPr>
          <w:trHeight w:val="594"/>
        </w:trPr>
        <w:tc>
          <w:tcPr>
            <w:tcW w:w="2719"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26"/>
              <w:widowControl/>
              <w:shd w:val="clear" w:color="auto" w:fill="auto"/>
              <w:adjustRightInd w:val="0"/>
              <w:snapToGrid w:val="0"/>
              <w:spacing w:line="560" w:lineRule="exact"/>
              <w:jc w:val="center"/>
              <w:rPr>
                <w:sz w:val="24"/>
                <w:szCs w:val="24"/>
                <w:shd w:val="clear" w:color="auto" w:fill="auto"/>
              </w:rPr>
            </w:pPr>
            <w:r>
              <w:rPr>
                <w:rFonts w:cs="宋体" w:hint="eastAsia"/>
                <w:kern w:val="0"/>
                <w:sz w:val="24"/>
                <w:szCs w:val="24"/>
                <w:shd w:val="clear" w:color="auto" w:fill="auto"/>
              </w:rPr>
              <w:t>行政强制</w:t>
            </w:r>
          </w:p>
        </w:tc>
        <w:tc>
          <w:tcPr>
            <w:tcW w:w="6275" w:type="dxa"/>
            <w:gridSpan w:val="3"/>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cs="宋体"/>
                <w:sz w:val="24"/>
                <w:szCs w:val="24"/>
                <w:shd w:val="clear" w:color="auto" w:fill="auto"/>
              </w:rPr>
            </w:pPr>
            <w:r>
              <w:rPr>
                <w:rFonts w:eastAsia="方正仿宋_GBK" w:cs="宋体" w:hint="eastAsia"/>
                <w:sz w:val="24"/>
                <w:szCs w:val="24"/>
                <w:shd w:val="clear" w:color="auto" w:fill="auto"/>
              </w:rPr>
              <w:t>476</w:t>
            </w:r>
          </w:p>
        </w:tc>
      </w:tr>
      <w:tr>
        <w:trPr>
          <w:trHeight w:val="594"/>
        </w:trPr>
        <w:tc>
          <w:tcPr>
            <w:tcW w:w="8994"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26"/>
              <w:widowControl/>
              <w:shd w:val="clear" w:color="auto" w:fill="auto"/>
              <w:spacing w:line="560" w:lineRule="exact"/>
              <w:jc w:val="center"/>
              <w:rPr>
                <w:sz w:val="24"/>
                <w:szCs w:val="24"/>
                <w:shd w:val="clear" w:color="auto" w:fill="auto"/>
              </w:rPr>
            </w:pPr>
            <w:r>
              <w:rPr>
                <w:rFonts w:cs="宋体" w:hint="eastAsia"/>
                <w:kern w:val="0"/>
                <w:sz w:val="24"/>
                <w:szCs w:val="24"/>
                <w:shd w:val="clear" w:color="auto" w:fill="auto"/>
              </w:rPr>
              <w:t>第二十条第（八）项</w:t>
            </w:r>
          </w:p>
        </w:tc>
      </w:tr>
      <w:tr>
        <w:trPr>
          <w:trHeight w:val="594"/>
        </w:trPr>
        <w:tc>
          <w:tcPr>
            <w:tcW w:w="2719"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26"/>
              <w:widowControl/>
              <w:shd w:val="clear" w:color="auto" w:fill="auto"/>
              <w:adjustRightInd w:val="0"/>
              <w:snapToGrid w:val="0"/>
              <w:spacing w:line="560" w:lineRule="exact"/>
              <w:jc w:val="center"/>
              <w:rPr>
                <w:sz w:val="24"/>
                <w:szCs w:val="24"/>
                <w:shd w:val="clear" w:color="auto" w:fill="auto"/>
              </w:rPr>
            </w:pPr>
            <w:r>
              <w:rPr>
                <w:rFonts w:cs="宋体" w:hint="eastAsia"/>
                <w:kern w:val="0"/>
                <w:sz w:val="24"/>
                <w:szCs w:val="24"/>
                <w:shd w:val="clear" w:color="auto" w:fill="auto"/>
              </w:rPr>
              <w:t>信息内容</w:t>
            </w:r>
          </w:p>
        </w:tc>
        <w:tc>
          <w:tcPr>
            <w:tcW w:w="6275" w:type="dxa"/>
            <w:gridSpan w:val="3"/>
            <w:tcBorders>
              <w:top w:val="nil"/>
              <w:left w:val="nil"/>
              <w:bottom w:val="single" w:sz="8" w:space="0" w:color="auto"/>
              <w:right w:val="single" w:sz="8" w:space="0" w:color="000000"/>
              <w:tl2br w:val="nil"/>
              <w:tr2bl w:val="nil"/>
            </w:tcBorders>
            <w:tcMar>
              <w:left w:w="108" w:type="dxa"/>
              <w:right w:w="108" w:type="dxa"/>
            </w:tcMar>
            <w:vAlign w:val="center"/>
          </w:tcPr>
          <w:p>
            <w:pPr>
              <w:pStyle w:val="30"/>
              <w:widowControl/>
              <w:shd w:val="clear" w:color="auto" w:fill="auto"/>
              <w:adjustRightInd w:val="0"/>
              <w:snapToGrid w:val="0"/>
              <w:spacing w:line="560" w:lineRule="exact"/>
              <w:jc w:val="center"/>
              <w:rPr>
                <w:sz w:val="24"/>
                <w:szCs w:val="24"/>
                <w:shd w:val="clear" w:color="auto" w:fill="auto"/>
              </w:rPr>
            </w:pPr>
            <w:r>
              <w:rPr>
                <w:rFonts w:cs="宋体" w:hint="eastAsia"/>
                <w:kern w:val="0"/>
                <w:sz w:val="24"/>
                <w:szCs w:val="24"/>
                <w:shd w:val="clear" w:color="auto" w:fill="auto"/>
              </w:rPr>
              <w:t>本年收费金额（单位：万元）</w:t>
            </w:r>
          </w:p>
        </w:tc>
      </w:tr>
      <w:tr>
        <w:trPr>
          <w:trHeight w:val="594"/>
        </w:trPr>
        <w:tc>
          <w:tcPr>
            <w:tcW w:w="2719"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26"/>
              <w:widowControl/>
              <w:shd w:val="clear" w:color="auto" w:fill="auto"/>
              <w:adjustRightInd w:val="0"/>
              <w:snapToGrid w:val="0"/>
              <w:spacing w:line="560" w:lineRule="exact"/>
              <w:jc w:val="center"/>
              <w:rPr>
                <w:shd w:val="clear" w:color="auto" w:fill="auto"/>
              </w:rPr>
            </w:pPr>
            <w:r>
              <w:rPr>
                <w:rFonts w:cs="宋体" w:hint="eastAsia"/>
                <w:kern w:val="0"/>
                <w:sz w:val="24"/>
                <w:szCs w:val="24"/>
                <w:shd w:val="clear" w:color="auto" w:fill="auto"/>
              </w:rPr>
              <w:t>行政事业性收费</w:t>
            </w:r>
          </w:p>
        </w:tc>
        <w:tc>
          <w:tcPr>
            <w:tcW w:w="6275" w:type="dxa"/>
            <w:gridSpan w:val="3"/>
            <w:tcBorders>
              <w:top w:val="nil"/>
              <w:left w:val="nil"/>
              <w:bottom w:val="single" w:sz="8" w:space="0" w:color="auto"/>
              <w:right w:val="single" w:sz="8" w:space="0" w:color="000000"/>
              <w:tl2br w:val="nil"/>
              <w:tr2bl w:val="nil"/>
            </w:tcBorders>
            <w:tcMar>
              <w:left w:w="108" w:type="dxa"/>
              <w:right w:w="108" w:type="dxa"/>
            </w:tcMar>
            <w:vAlign w:val="center"/>
          </w:tcPr>
          <w:p>
            <w:pPr>
              <w:pStyle w:val="26"/>
              <w:shd w:val="clear" w:color="auto" w:fill="auto"/>
              <w:spacing w:line="560" w:lineRule="exact"/>
              <w:jc w:val="center"/>
              <w:rPr>
                <w:rFonts w:eastAsia="方正仿宋_GBK" w:cs="宋体"/>
                <w:sz w:val="24"/>
                <w:szCs w:val="24"/>
                <w:shd w:val="clear" w:color="auto" w:fill="auto"/>
              </w:rPr>
            </w:pPr>
            <w:r>
              <w:rPr>
                <w:rFonts w:eastAsia="方正仿宋_GBK" w:cs="宋体" w:hint="eastAsia"/>
                <w:sz w:val="24"/>
                <w:szCs w:val="24"/>
                <w:shd w:val="clear" w:color="auto" w:fill="auto"/>
              </w:rPr>
              <w:t>0</w:t>
            </w:r>
          </w:p>
        </w:tc>
      </w:tr>
    </w:tbl>
    <w:p>
      <w:pPr>
        <w:pStyle w:val="22"/>
        <w:widowControl/>
        <w:shd w:val="clear" w:color="auto" w:fill="auto"/>
        <w:adjustRightInd w:val="0"/>
        <w:snapToGrid w:val="0"/>
        <w:spacing w:before="0" w:beforeAutospacing="0" w:after="0" w:afterAutospacing="0" w:line="560" w:lineRule="exact"/>
        <w:ind w:firstLineChars="200" w:firstLine="640"/>
        <w:jc w:val="both"/>
        <w:rPr>
          <w:rFonts w:eastAsia="方正仿宋_GBK" w:cs="方正黑体_GBK" w:hint="eastAsia"/>
          <w:kern w:val="2"/>
          <w:sz w:val="32"/>
          <w:szCs w:val="32"/>
          <w:shd w:val="clear" w:color="auto" w:fill="auto"/>
        </w:rPr>
      </w:pPr>
      <w:r>
        <w:rPr>
          <w:rFonts w:eastAsia="方正仿宋_GBK" w:cs="方正黑体_GBK" w:hint="eastAsia"/>
          <w:kern w:val="2"/>
          <w:sz w:val="32"/>
          <w:szCs w:val="32"/>
          <w:shd w:val="clear" w:color="auto" w:fill="auto"/>
        </w:rPr>
        <w:t>*备注：本表格行政许可的处理决定数量，包括本机关在本年度内作出的准予许可决定、不予许可决定、变更许可决定、延期（延续）许可决定、撤销许可决定、撤回许可决定等。</w:t>
      </w:r>
      <w:bookmarkStart w:id="1" w:name="_GoBack"/>
      <w:bookmarkEnd w:id="1"/>
    </w:p>
    <w:p>
      <w:pPr>
        <w:pStyle w:val="31"/>
        <w:widowControl/>
        <w:shd w:val="clear" w:color="auto" w:fill="auto"/>
        <w:adjustRightInd w:val="0"/>
        <w:snapToGrid w:val="0"/>
        <w:spacing w:beforeAutospacing="0" w:afterAutospacing="0" w:line="560" w:lineRule="exact"/>
        <w:ind w:firstLineChars="200" w:firstLine="640"/>
        <w:jc w:val="both"/>
        <w:rPr>
          <w:rFonts w:eastAsia="方正黑体_GBK" w:cs="楷体_GB2312"/>
          <w:bCs/>
          <w:sz w:val="32"/>
          <w:szCs w:val="32"/>
          <w:shd w:val="clear" w:color="auto" w:fill="auto"/>
        </w:rPr>
      </w:pPr>
      <w:r>
        <w:rPr>
          <w:rFonts w:eastAsia="方正黑体_GBK" w:cs="楷体_GB2312" w:hint="eastAsia"/>
          <w:bCs/>
          <w:sz w:val="32"/>
          <w:szCs w:val="32"/>
          <w:shd w:val="clear" w:color="auto" w:fill="auto"/>
        </w:rPr>
        <w:t>三、收到和处理政府信息公开申请情况</w:t>
      </w:r>
    </w:p>
    <w:tbl>
      <w:tblPr>
        <w:tblpPr w:leftFromText="180" w:rightFromText="180" w:vertAnchor="text" w:tblpXSpec="center" w:tblpY="1"/>
        <w:tblOverlap w:val="never"/>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96"/>
        <w:gridCol w:w="936"/>
        <w:gridCol w:w="2670"/>
        <w:gridCol w:w="635"/>
        <w:gridCol w:w="675"/>
        <w:gridCol w:w="750"/>
        <w:gridCol w:w="765"/>
        <w:gridCol w:w="765"/>
        <w:gridCol w:w="497"/>
        <w:gridCol w:w="682"/>
      </w:tblGrid>
      <w:tr>
        <w:tc>
          <w:tcPr>
            <w:tcW w:w="4302" w:type="dxa"/>
            <w:gridSpan w:val="3"/>
            <w:vMerge w:val="restart"/>
            <w:tcBorders>
              <w:top w:val="single" w:sz="8" w:space="0" w:color="auto"/>
              <w:left w:val="single" w:sz="8" w:space="0" w:color="auto"/>
              <w:bottom w:val="single" w:sz="8" w:space="0" w:color="auto"/>
              <w:right w:val="single" w:sz="8" w:space="0" w:color="auto"/>
              <w:tl2br w:val="nil"/>
              <w:tr2bl w:val="nil"/>
            </w:tcBorders>
            <w:tcMar>
              <w:left w:w="108" w:type="dxa"/>
              <w:right w:w="108" w:type="dxa"/>
            </w:tcMar>
            <w:vAlign w:val="center"/>
          </w:tcPr>
          <w:p>
            <w:pPr>
              <w:pStyle w:val="26"/>
              <w:widowControl/>
              <w:shd w:val="clear" w:color="auto" w:fill="auto"/>
              <w:spacing w:line="560" w:lineRule="exact"/>
              <w:rPr>
                <w:shd w:val="clear" w:color="auto" w:fill="auto"/>
              </w:rPr>
            </w:pPr>
            <w:r>
              <w:rPr>
                <w:rFonts w:cs="宋体" w:hint="eastAsia"/>
                <w:kern w:val="0"/>
                <w:sz w:val="20"/>
                <w:szCs w:val="20"/>
                <w:shd w:val="clear" w:color="auto" w:fill="auto"/>
              </w:rPr>
              <w:t>（本列数据的勾稽关系为：第一项加第二项之和，等于第三项加第四项之和）</w:t>
            </w:r>
          </w:p>
        </w:tc>
        <w:tc>
          <w:tcPr>
            <w:tcW w:w="4769" w:type="dxa"/>
            <w:gridSpan w:val="7"/>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26"/>
              <w:widowControl/>
              <w:shd w:val="clear" w:color="auto" w:fill="auto"/>
              <w:spacing w:line="560" w:lineRule="exact"/>
              <w:jc w:val="center"/>
              <w:rPr>
                <w:shd w:val="clear" w:color="auto" w:fill="auto"/>
              </w:rPr>
            </w:pPr>
            <w:r>
              <w:rPr>
                <w:rFonts w:cs="宋体" w:hint="eastAsia"/>
                <w:kern w:val="0"/>
                <w:sz w:val="20"/>
                <w:szCs w:val="20"/>
                <w:shd w:val="clear" w:color="auto" w:fill="auto"/>
              </w:rPr>
              <w:t>申请人情况</w:t>
            </w:r>
          </w:p>
        </w:tc>
      </w:tr>
      <w:tr>
        <w:trPr>
          <w:tblHeader/>
        </w:trPr>
        <w:tc>
          <w:tcPr>
            <w:tcW w:w="4302" w:type="dxa"/>
            <w:gridSpan w:val="3"/>
            <w:vMerge/>
            <w:tcBorders>
              <w:top w:val="single" w:sz="8" w:space="0" w:color="auto"/>
              <w:left w:val="single" w:sz="8" w:space="0" w:color="auto"/>
              <w:bottom w:val="single" w:sz="8" w:space="0" w:color="auto"/>
              <w:right w:val="single" w:sz="8" w:space="0" w:color="auto"/>
              <w:tl2br w:val="nil"/>
              <w:tr2bl w:val="nil"/>
            </w:tcBorders>
            <w:tcMar>
              <w:left w:w="108" w:type="dxa"/>
              <w:right w:w="108" w:type="dxa"/>
            </w:tcMar>
            <w:vAlign w:val="center"/>
          </w:tcPr>
          <w:p/>
        </w:tc>
        <w:tc>
          <w:tcPr>
            <w:tcW w:w="635" w:type="dxa"/>
            <w:vMerge w:val="restart"/>
            <w:tcBorders>
              <w:top w:val="nil"/>
              <w:left w:val="nil"/>
              <w:bottom w:val="single" w:sz="8" w:space="0" w:color="auto"/>
              <w:right w:val="single" w:sz="8" w:space="0" w:color="auto"/>
              <w:tl2br w:val="nil"/>
              <w:tr2bl w:val="nil"/>
            </w:tcBorders>
            <w:tcMar>
              <w:left w:w="108" w:type="dxa"/>
              <w:right w:w="108" w:type="dxa"/>
            </w:tcMar>
            <w:vAlign w:val="center"/>
          </w:tcPr>
          <w:p>
            <w:pPr>
              <w:pStyle w:val="26"/>
              <w:widowControl/>
              <w:shd w:val="clear" w:color="auto" w:fill="auto"/>
              <w:spacing w:line="560" w:lineRule="exact"/>
              <w:rPr>
                <w:rFonts w:ascii="Times New Roman" w:hAnsi="Times New Roman"/>
                <w:shd w:val="clear" w:color="auto" w:fill="auto"/>
              </w:rPr>
            </w:pPr>
            <w:r>
              <w:rPr>
                <w:rFonts w:cs="宋体" w:hint="eastAsia"/>
                <w:kern w:val="0"/>
                <w:sz w:val="20"/>
                <w:szCs w:val="20"/>
                <w:shd w:val="clear" w:color="auto" w:fill="auto"/>
              </w:rPr>
              <w:t>自然人</w:t>
            </w:r>
          </w:p>
        </w:tc>
        <w:tc>
          <w:tcPr>
            <w:tcW w:w="3452" w:type="dxa"/>
            <w:gridSpan w:val="5"/>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26"/>
              <w:widowControl/>
              <w:shd w:val="clear" w:color="auto" w:fill="auto"/>
              <w:spacing w:line="560" w:lineRule="exact"/>
              <w:jc w:val="center"/>
              <w:rPr>
                <w:shd w:val="clear" w:color="auto" w:fill="auto"/>
              </w:rPr>
            </w:pPr>
            <w:r>
              <w:rPr>
                <w:rFonts w:cs="宋体" w:hint="eastAsia"/>
                <w:kern w:val="0"/>
                <w:sz w:val="20"/>
                <w:szCs w:val="20"/>
                <w:shd w:val="clear" w:color="auto" w:fill="auto"/>
              </w:rPr>
              <w:t>法人或其他组织</w:t>
            </w:r>
          </w:p>
        </w:tc>
        <w:tc>
          <w:tcPr>
            <w:tcW w:w="682" w:type="dxa"/>
            <w:vMerge w:val="restart"/>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26"/>
              <w:widowControl/>
              <w:shd w:val="clear" w:color="auto" w:fill="auto"/>
              <w:spacing w:line="560" w:lineRule="exact"/>
              <w:rPr>
                <w:shd w:val="clear" w:color="auto" w:fill="auto"/>
              </w:rPr>
            </w:pPr>
            <w:r>
              <w:rPr>
                <w:rFonts w:cs="宋体" w:hint="eastAsia"/>
                <w:kern w:val="0"/>
                <w:sz w:val="20"/>
                <w:szCs w:val="20"/>
                <w:shd w:val="clear" w:color="auto" w:fill="auto"/>
              </w:rPr>
              <w:t>总计</w:t>
            </w:r>
          </w:p>
        </w:tc>
      </w:tr>
      <w:tr>
        <w:trPr>
          <w:trHeight w:val="649"/>
          <w:tblHeader/>
        </w:trPr>
        <w:tc>
          <w:tcPr>
            <w:tcW w:w="4302" w:type="dxa"/>
            <w:gridSpan w:val="3"/>
            <w:vMerge/>
            <w:tcBorders>
              <w:top w:val="single" w:sz="8" w:space="0" w:color="auto"/>
              <w:left w:val="single" w:sz="8" w:space="0" w:color="auto"/>
              <w:bottom w:val="single" w:sz="8" w:space="0" w:color="auto"/>
              <w:right w:val="single" w:sz="8" w:space="0" w:color="auto"/>
              <w:tl2br w:val="nil"/>
              <w:tr2bl w:val="nil"/>
            </w:tcBorders>
            <w:tcMar>
              <w:left w:w="108" w:type="dxa"/>
              <w:right w:w="108" w:type="dxa"/>
            </w:tcMar>
            <w:vAlign w:val="center"/>
          </w:tcPr>
          <w:p/>
        </w:tc>
        <w:tc>
          <w:tcPr>
            <w:tcW w:w="635" w:type="dxa"/>
            <w:vMerge/>
            <w:tcBorders>
              <w:top w:val="nil"/>
              <w:left w:val="nil"/>
              <w:bottom w:val="single" w:sz="8" w:space="0" w:color="auto"/>
              <w:right w:val="single" w:sz="8" w:space="0" w:color="auto"/>
              <w:tl2br w:val="nil"/>
              <w:tr2bl w:val="nil"/>
            </w:tcBorders>
            <w:tcMar>
              <w:left w:w="108" w:type="dxa"/>
              <w:right w:w="108" w:type="dxa"/>
            </w:tcMar>
            <w:vAlign w:val="center"/>
          </w:tcP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widowControl/>
              <w:shd w:val="clear" w:color="auto" w:fill="auto"/>
              <w:spacing w:line="560" w:lineRule="exact"/>
              <w:rPr>
                <w:rFonts w:ascii="Times New Roman" w:hAnsi="Times New Roman"/>
                <w:shd w:val="clear" w:color="auto" w:fill="auto"/>
              </w:rPr>
            </w:pPr>
            <w:r>
              <w:rPr>
                <w:rFonts w:cs="宋体" w:hint="eastAsia"/>
                <w:kern w:val="0"/>
                <w:sz w:val="20"/>
                <w:szCs w:val="20"/>
                <w:shd w:val="clear" w:color="auto" w:fill="auto"/>
              </w:rPr>
              <w:t>商业企业</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widowControl/>
              <w:shd w:val="clear" w:color="auto" w:fill="auto"/>
              <w:spacing w:line="560" w:lineRule="exact"/>
              <w:rPr>
                <w:shd w:val="clear" w:color="auto" w:fill="auto"/>
              </w:rPr>
            </w:pPr>
            <w:r>
              <w:rPr>
                <w:rFonts w:cs="宋体" w:hint="eastAsia"/>
                <w:kern w:val="0"/>
                <w:sz w:val="20"/>
                <w:szCs w:val="20"/>
                <w:shd w:val="clear" w:color="auto" w:fill="auto"/>
              </w:rPr>
              <w:t>科研机构</w:t>
            </w:r>
          </w:p>
        </w:tc>
        <w:tc>
          <w:tcPr>
            <w:tcW w:w="765"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26"/>
              <w:widowControl/>
              <w:shd w:val="clear" w:color="auto" w:fill="auto"/>
              <w:spacing w:line="560" w:lineRule="exact"/>
              <w:rPr>
                <w:shd w:val="clear" w:color="auto" w:fill="auto"/>
              </w:rPr>
            </w:pPr>
            <w:r>
              <w:rPr>
                <w:rFonts w:cs="宋体" w:hint="eastAsia"/>
                <w:kern w:val="0"/>
                <w:sz w:val="20"/>
                <w:szCs w:val="20"/>
                <w:shd w:val="clear" w:color="auto" w:fill="auto"/>
              </w:rPr>
              <w:t>社会公益组织</w:t>
            </w:r>
          </w:p>
        </w:tc>
        <w:tc>
          <w:tcPr>
            <w:tcW w:w="765"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26"/>
              <w:widowControl/>
              <w:shd w:val="clear" w:color="auto" w:fill="auto"/>
              <w:spacing w:line="560" w:lineRule="exact"/>
              <w:rPr>
                <w:shd w:val="clear" w:color="auto" w:fill="auto"/>
              </w:rPr>
            </w:pPr>
            <w:r>
              <w:rPr>
                <w:rFonts w:cs="宋体" w:hint="eastAsia"/>
                <w:kern w:val="0"/>
                <w:sz w:val="20"/>
                <w:szCs w:val="20"/>
                <w:shd w:val="clear" w:color="auto" w:fill="auto"/>
              </w:rPr>
              <w:t>法律服务机构</w:t>
            </w:r>
          </w:p>
        </w:tc>
        <w:tc>
          <w:tcPr>
            <w:tcW w:w="497"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26"/>
              <w:widowControl/>
              <w:shd w:val="clear" w:color="auto" w:fill="auto"/>
              <w:spacing w:line="560" w:lineRule="exact"/>
              <w:rPr>
                <w:shd w:val="clear" w:color="auto" w:fill="auto"/>
              </w:rPr>
            </w:pPr>
            <w:r>
              <w:rPr>
                <w:rFonts w:cs="宋体" w:hint="eastAsia"/>
                <w:kern w:val="0"/>
                <w:sz w:val="20"/>
                <w:szCs w:val="20"/>
                <w:shd w:val="clear" w:color="auto" w:fill="auto"/>
              </w:rPr>
              <w:t>其他</w:t>
            </w:r>
          </w:p>
        </w:tc>
        <w:tc>
          <w:tcPr>
            <w:tcW w:w="682" w:type="dxa"/>
            <w:vMerge/>
            <w:tcBorders>
              <w:top w:val="single" w:sz="8" w:space="0" w:color="auto"/>
              <w:left w:val="nil"/>
              <w:bottom w:val="single" w:sz="8" w:space="0" w:color="auto"/>
              <w:right w:val="single" w:sz="8" w:space="0" w:color="auto"/>
              <w:tl2br w:val="nil"/>
              <w:tr2bl w:val="nil"/>
            </w:tcBorders>
            <w:tcMar>
              <w:left w:w="108" w:type="dxa"/>
              <w:right w:w="108" w:type="dxa"/>
            </w:tcMar>
            <w:vAlign w:val="center"/>
          </w:tcPr>
          <w:p/>
        </w:tc>
      </w:tr>
      <w:tr>
        <w:tc>
          <w:tcPr>
            <w:tcW w:w="4302" w:type="dxa"/>
            <w:gridSpan w:val="3"/>
            <w:tcBorders>
              <w:top w:val="nil"/>
              <w:left w:val="single" w:sz="8" w:space="0" w:color="auto"/>
              <w:bottom w:val="single" w:sz="8" w:space="0" w:color="auto"/>
              <w:right w:val="single" w:sz="8" w:space="0" w:color="auto"/>
              <w:tl2br w:val="nil"/>
              <w:tr2bl w:val="nil"/>
            </w:tcBorders>
            <w:tcMar>
              <w:left w:w="108" w:type="dxa"/>
              <w:right w:w="108" w:type="dxa"/>
            </w:tcMar>
          </w:tcPr>
          <w:p>
            <w:pPr>
              <w:pStyle w:val="26"/>
              <w:widowControl/>
              <w:shd w:val="clear" w:color="auto" w:fill="auto"/>
              <w:spacing w:line="560" w:lineRule="exact"/>
              <w:rPr>
                <w:rFonts w:ascii="Times New Roman" w:hAnsi="Times New Roman"/>
                <w:sz w:val="24"/>
                <w:szCs w:val="24"/>
                <w:shd w:val="clear" w:color="auto" w:fill="auto"/>
              </w:rPr>
            </w:pPr>
            <w:r>
              <w:rPr>
                <w:rFonts w:cs="宋体" w:hint="eastAsia"/>
                <w:kern w:val="0"/>
                <w:sz w:val="24"/>
                <w:szCs w:val="24"/>
                <w:shd w:val="clear" w:color="auto" w:fill="auto"/>
              </w:rPr>
              <w:t>一、本年新收政府信息公开申请数量</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r>
      <w:tr>
        <w:tc>
          <w:tcPr>
            <w:tcW w:w="4302" w:type="dxa"/>
            <w:gridSpan w:val="3"/>
            <w:tcBorders>
              <w:top w:val="nil"/>
              <w:left w:val="single" w:sz="8" w:space="0" w:color="auto"/>
              <w:bottom w:val="single" w:sz="8" w:space="0" w:color="auto"/>
              <w:right w:val="single" w:sz="8" w:space="0" w:color="auto"/>
              <w:tl2br w:val="nil"/>
              <w:tr2bl w:val="nil"/>
            </w:tcBorders>
            <w:tcMar>
              <w:left w:w="108" w:type="dxa"/>
              <w:right w:w="108" w:type="dxa"/>
            </w:tcMar>
          </w:tcPr>
          <w:p>
            <w:pPr>
              <w:pStyle w:val="26"/>
              <w:widowControl/>
              <w:shd w:val="clear" w:color="auto" w:fill="auto"/>
              <w:spacing w:line="560" w:lineRule="exact"/>
              <w:rPr>
                <w:sz w:val="24"/>
                <w:szCs w:val="24"/>
                <w:shd w:val="clear" w:color="auto" w:fill="auto"/>
              </w:rPr>
            </w:pPr>
            <w:r>
              <w:rPr>
                <w:rFonts w:cs="宋体" w:hint="eastAsia"/>
                <w:kern w:val="0"/>
                <w:sz w:val="24"/>
                <w:szCs w:val="24"/>
                <w:shd w:val="clear" w:color="auto" w:fill="auto"/>
              </w:rPr>
              <w:t>二、上年结转政府信息公开申请数量</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r>
      <w:tr>
        <w:tc>
          <w:tcPr>
            <w:tcW w:w="696" w:type="dxa"/>
            <w:vMerge w:val="restart"/>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26"/>
              <w:widowControl/>
              <w:shd w:val="clear" w:color="auto" w:fill="auto"/>
              <w:spacing w:line="560" w:lineRule="exact"/>
              <w:rPr>
                <w:sz w:val="24"/>
                <w:szCs w:val="24"/>
                <w:shd w:val="clear" w:color="auto" w:fill="auto"/>
              </w:rPr>
            </w:pPr>
            <w:r>
              <w:rPr>
                <w:rFonts w:cs="宋体" w:hint="eastAsia"/>
                <w:kern w:val="0"/>
                <w:sz w:val="24"/>
                <w:szCs w:val="24"/>
                <w:shd w:val="clear" w:color="auto" w:fill="auto"/>
              </w:rPr>
              <w:t>三、本年度办理结果</w:t>
            </w:r>
          </w:p>
        </w:tc>
        <w:tc>
          <w:tcPr>
            <w:tcW w:w="3606" w:type="dxa"/>
            <w:gridSpan w:val="2"/>
            <w:tcBorders>
              <w:top w:val="nil"/>
              <w:left w:val="nil"/>
              <w:bottom w:val="single" w:sz="8" w:space="0" w:color="auto"/>
              <w:right w:val="single" w:sz="8" w:space="0" w:color="auto"/>
              <w:tl2br w:val="nil"/>
              <w:tr2bl w:val="nil"/>
            </w:tcBorders>
            <w:tcMar>
              <w:left w:w="108" w:type="dxa"/>
              <w:right w:w="108" w:type="dxa"/>
            </w:tcMar>
            <w:vAlign w:val="center"/>
          </w:tcPr>
          <w:p>
            <w:pPr>
              <w:pStyle w:val="26"/>
              <w:widowControl/>
              <w:shd w:val="clear" w:color="auto" w:fill="auto"/>
              <w:spacing w:line="560" w:lineRule="exact"/>
              <w:rPr>
                <w:sz w:val="24"/>
                <w:szCs w:val="24"/>
                <w:shd w:val="clear" w:color="auto" w:fill="auto"/>
              </w:rPr>
            </w:pPr>
            <w:r>
              <w:rPr>
                <w:rFonts w:eastAsia="楷体" w:cs="楷体" w:hint="eastAsia"/>
                <w:kern w:val="0"/>
                <w:sz w:val="24"/>
                <w:szCs w:val="24"/>
                <w:shd w:val="clear" w:color="auto" w:fill="auto"/>
              </w:rPr>
              <w:t>（一）予以公开</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3606" w:type="dxa"/>
            <w:gridSpan w:val="2"/>
            <w:tcBorders>
              <w:top w:val="nil"/>
              <w:left w:val="nil"/>
              <w:bottom w:val="single" w:sz="8" w:space="0" w:color="auto"/>
              <w:right w:val="single" w:sz="8" w:space="0" w:color="auto"/>
              <w:tl2br w:val="nil"/>
              <w:tr2bl w:val="nil"/>
            </w:tcBorders>
            <w:tcMar>
              <w:left w:w="108" w:type="dxa"/>
              <w:right w:w="108" w:type="dxa"/>
            </w:tcMar>
            <w:vAlign w:val="center"/>
          </w:tcPr>
          <w:p>
            <w:pPr>
              <w:pStyle w:val="26"/>
              <w:widowControl/>
              <w:shd w:val="clear" w:color="auto" w:fill="auto"/>
              <w:spacing w:line="560" w:lineRule="exact"/>
              <w:rPr>
                <w:rFonts w:ascii="Times New Roman" w:hAnsi="Times New Roman"/>
                <w:sz w:val="24"/>
                <w:szCs w:val="24"/>
                <w:shd w:val="clear" w:color="auto" w:fill="auto"/>
              </w:rPr>
            </w:pPr>
            <w:r>
              <w:rPr>
                <w:rFonts w:eastAsia="楷体" w:cs="楷体" w:hint="eastAsia"/>
                <w:kern w:val="0"/>
                <w:sz w:val="24"/>
                <w:szCs w:val="24"/>
                <w:shd w:val="clear" w:color="auto" w:fill="auto"/>
              </w:rPr>
              <w:t>（二）部分公开（区分处理的，只计这一情形，不计其他情形）</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tcMar>
              <w:left w:w="108" w:type="dxa"/>
              <w:right w:w="108" w:type="dxa"/>
            </w:tcMar>
            <w:vAlign w:val="center"/>
          </w:tcPr>
          <w:p>
            <w:pPr>
              <w:pStyle w:val="26"/>
              <w:widowControl/>
              <w:shd w:val="clear" w:color="auto" w:fill="auto"/>
              <w:spacing w:line="560" w:lineRule="exact"/>
              <w:rPr>
                <w:rFonts w:ascii="Times New Roman" w:hAnsi="Times New Roman"/>
                <w:sz w:val="24"/>
                <w:szCs w:val="24"/>
                <w:shd w:val="clear" w:color="auto" w:fill="auto"/>
              </w:rPr>
            </w:pPr>
            <w:r>
              <w:rPr>
                <w:rFonts w:eastAsia="楷体" w:cs="楷体" w:hint="eastAsia"/>
                <w:kern w:val="0"/>
                <w:sz w:val="24"/>
                <w:szCs w:val="24"/>
                <w:shd w:val="clear" w:color="auto" w:fill="auto"/>
              </w:rPr>
              <w:t>（三）不予公开</w:t>
            </w: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widowControl/>
              <w:shd w:val="clear" w:color="auto" w:fill="auto"/>
              <w:spacing w:line="560" w:lineRule="exact"/>
              <w:rPr>
                <w:sz w:val="24"/>
                <w:szCs w:val="24"/>
                <w:shd w:val="clear" w:color="auto" w:fill="auto"/>
              </w:rPr>
            </w:pPr>
            <w:r>
              <w:rPr>
                <w:rFonts w:eastAsia="楷体" w:cs="楷体" w:hint="eastAsia"/>
                <w:kern w:val="0"/>
                <w:sz w:val="24"/>
                <w:szCs w:val="24"/>
                <w:shd w:val="clear" w:color="auto" w:fill="auto"/>
              </w:rPr>
              <w:t>1.属于国家秘密</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widowControl/>
              <w:shd w:val="clear" w:color="auto" w:fill="auto"/>
              <w:spacing w:line="560" w:lineRule="exact"/>
              <w:rPr>
                <w:rFonts w:ascii="Times New Roman" w:hAnsi="Times New Roman"/>
                <w:sz w:val="24"/>
                <w:szCs w:val="24"/>
                <w:shd w:val="clear" w:color="auto" w:fill="auto"/>
              </w:rPr>
            </w:pPr>
            <w:r>
              <w:rPr>
                <w:rFonts w:eastAsia="楷体" w:cs="楷体" w:hint="eastAsia"/>
                <w:kern w:val="0"/>
                <w:sz w:val="24"/>
                <w:szCs w:val="24"/>
                <w:shd w:val="clear" w:color="auto" w:fill="auto"/>
              </w:rPr>
              <w:t>2.其他法律行政法规禁止公开</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widowControl/>
              <w:shd w:val="clear" w:color="auto" w:fill="auto"/>
              <w:spacing w:line="560" w:lineRule="exact"/>
              <w:rPr>
                <w:rFonts w:ascii="Times New Roman" w:hAnsi="Times New Roman"/>
                <w:sz w:val="24"/>
                <w:szCs w:val="24"/>
                <w:shd w:val="clear" w:color="auto" w:fill="auto"/>
              </w:rPr>
            </w:pPr>
            <w:r>
              <w:rPr>
                <w:rFonts w:eastAsia="楷体" w:cs="楷体" w:hint="eastAsia"/>
                <w:kern w:val="0"/>
                <w:sz w:val="24"/>
                <w:szCs w:val="24"/>
                <w:shd w:val="clear" w:color="auto" w:fill="auto"/>
              </w:rPr>
              <w:t>3.危及“三安全一稳定”</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widowControl/>
              <w:shd w:val="clear" w:color="auto" w:fill="auto"/>
              <w:spacing w:line="560" w:lineRule="exact"/>
              <w:rPr>
                <w:rFonts w:ascii="Times New Roman" w:hAnsi="Times New Roman"/>
                <w:sz w:val="24"/>
                <w:szCs w:val="24"/>
                <w:shd w:val="clear" w:color="auto" w:fill="auto"/>
              </w:rPr>
            </w:pPr>
            <w:r>
              <w:rPr>
                <w:rFonts w:eastAsia="楷体" w:cs="楷体" w:hint="eastAsia"/>
                <w:kern w:val="0"/>
                <w:sz w:val="24"/>
                <w:szCs w:val="24"/>
                <w:shd w:val="clear" w:color="auto" w:fill="auto"/>
              </w:rPr>
              <w:t>4.保护第三方合法权益</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widowControl/>
              <w:shd w:val="clear" w:color="auto" w:fill="auto"/>
              <w:spacing w:line="560" w:lineRule="exact"/>
              <w:rPr>
                <w:rFonts w:ascii="Times New Roman" w:hAnsi="Times New Roman"/>
                <w:sz w:val="24"/>
                <w:szCs w:val="24"/>
                <w:shd w:val="clear" w:color="auto" w:fill="auto"/>
              </w:rPr>
            </w:pPr>
            <w:r>
              <w:rPr>
                <w:rFonts w:eastAsia="楷体" w:cs="楷体" w:hint="eastAsia"/>
                <w:kern w:val="0"/>
                <w:sz w:val="24"/>
                <w:szCs w:val="24"/>
                <w:shd w:val="clear" w:color="auto" w:fill="auto"/>
              </w:rPr>
              <w:t>5.属于三类内部事务信息</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widowControl/>
              <w:shd w:val="clear" w:color="auto" w:fill="auto"/>
              <w:spacing w:line="560" w:lineRule="exact"/>
              <w:rPr>
                <w:rFonts w:ascii="Times New Roman" w:hAnsi="Times New Roman"/>
                <w:sz w:val="24"/>
                <w:szCs w:val="24"/>
                <w:shd w:val="clear" w:color="auto" w:fill="auto"/>
              </w:rPr>
            </w:pPr>
            <w:r>
              <w:rPr>
                <w:rFonts w:eastAsia="楷体" w:cs="楷体" w:hint="eastAsia"/>
                <w:kern w:val="0"/>
                <w:sz w:val="24"/>
                <w:szCs w:val="24"/>
                <w:shd w:val="clear" w:color="auto" w:fill="auto"/>
              </w:rPr>
              <w:t>6.属于四类过程性信息</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widowControl/>
              <w:shd w:val="clear" w:color="auto" w:fill="auto"/>
              <w:spacing w:line="560" w:lineRule="exact"/>
              <w:rPr>
                <w:rFonts w:ascii="Times New Roman" w:hAnsi="Times New Roman"/>
                <w:sz w:val="24"/>
                <w:szCs w:val="24"/>
                <w:shd w:val="clear" w:color="auto" w:fill="auto"/>
              </w:rPr>
            </w:pPr>
            <w:r>
              <w:rPr>
                <w:rFonts w:eastAsia="楷体" w:cs="楷体" w:hint="eastAsia"/>
                <w:kern w:val="0"/>
                <w:sz w:val="24"/>
                <w:szCs w:val="24"/>
                <w:shd w:val="clear" w:color="auto" w:fill="auto"/>
              </w:rPr>
              <w:t>7.属于行政执法案卷</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widowControl/>
              <w:shd w:val="clear" w:color="auto" w:fill="auto"/>
              <w:spacing w:line="560" w:lineRule="exact"/>
              <w:rPr>
                <w:rFonts w:ascii="Times New Roman" w:hAnsi="Times New Roman"/>
                <w:sz w:val="24"/>
                <w:szCs w:val="24"/>
                <w:shd w:val="clear" w:color="auto" w:fill="auto"/>
              </w:rPr>
            </w:pPr>
            <w:r>
              <w:rPr>
                <w:rFonts w:eastAsia="楷体" w:cs="楷体" w:hint="eastAsia"/>
                <w:kern w:val="0"/>
                <w:sz w:val="24"/>
                <w:szCs w:val="24"/>
                <w:shd w:val="clear" w:color="auto" w:fill="auto"/>
              </w:rPr>
              <w:t>8.属于行政查询事项</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tcMar>
              <w:left w:w="108" w:type="dxa"/>
              <w:right w:w="108" w:type="dxa"/>
            </w:tcMar>
            <w:vAlign w:val="center"/>
          </w:tcPr>
          <w:p>
            <w:pPr>
              <w:pStyle w:val="26"/>
              <w:widowControl/>
              <w:shd w:val="clear" w:color="auto" w:fill="auto"/>
              <w:spacing w:line="560" w:lineRule="exact"/>
              <w:rPr>
                <w:rFonts w:ascii="Times New Roman" w:hAnsi="Times New Roman"/>
                <w:sz w:val="24"/>
                <w:szCs w:val="24"/>
                <w:shd w:val="clear" w:color="auto" w:fill="auto"/>
              </w:rPr>
            </w:pPr>
            <w:r>
              <w:rPr>
                <w:rFonts w:eastAsia="楷体" w:cs="楷体" w:hint="eastAsia"/>
                <w:kern w:val="0"/>
                <w:sz w:val="24"/>
                <w:szCs w:val="24"/>
                <w:shd w:val="clear" w:color="auto" w:fill="auto"/>
              </w:rPr>
              <w:t>（四）无法提供</w:t>
            </w: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widowControl/>
              <w:shd w:val="clear" w:color="auto" w:fill="auto"/>
              <w:spacing w:line="560" w:lineRule="exact"/>
              <w:rPr>
                <w:sz w:val="24"/>
                <w:szCs w:val="24"/>
                <w:shd w:val="clear" w:color="auto" w:fill="auto"/>
              </w:rPr>
            </w:pPr>
            <w:r>
              <w:rPr>
                <w:rFonts w:eastAsia="楷体" w:cs="楷体" w:hint="eastAsia"/>
                <w:kern w:val="0"/>
                <w:sz w:val="24"/>
                <w:szCs w:val="24"/>
                <w:shd w:val="clear" w:color="auto" w:fill="auto"/>
              </w:rPr>
              <w:t>1.本机关不掌握相关政府信息</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widowControl/>
              <w:shd w:val="clear" w:color="auto" w:fill="auto"/>
              <w:spacing w:line="560" w:lineRule="exact"/>
              <w:rPr>
                <w:rFonts w:ascii="Times New Roman" w:hAnsi="Times New Roman"/>
                <w:sz w:val="24"/>
                <w:szCs w:val="24"/>
                <w:shd w:val="clear" w:color="auto" w:fill="auto"/>
              </w:rPr>
            </w:pPr>
            <w:r>
              <w:rPr>
                <w:rFonts w:eastAsia="楷体" w:cs="楷体" w:hint="eastAsia"/>
                <w:kern w:val="0"/>
                <w:sz w:val="24"/>
                <w:szCs w:val="24"/>
                <w:shd w:val="clear" w:color="auto" w:fill="auto"/>
              </w:rPr>
              <w:t>2.没有现成信息需要另行制作</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widowControl/>
              <w:shd w:val="clear" w:color="auto" w:fill="auto"/>
              <w:spacing w:line="560" w:lineRule="exact"/>
              <w:rPr>
                <w:rFonts w:ascii="Times New Roman" w:hAnsi="Times New Roman"/>
                <w:sz w:val="24"/>
                <w:szCs w:val="24"/>
                <w:shd w:val="clear" w:color="auto" w:fill="auto"/>
              </w:rPr>
            </w:pPr>
            <w:r>
              <w:rPr>
                <w:rFonts w:eastAsia="楷体" w:cs="楷体" w:hint="eastAsia"/>
                <w:kern w:val="0"/>
                <w:sz w:val="24"/>
                <w:szCs w:val="24"/>
                <w:shd w:val="clear" w:color="auto" w:fill="auto"/>
              </w:rPr>
              <w:t>3.补正后申请内容仍不明确</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tcMar>
              <w:left w:w="108" w:type="dxa"/>
              <w:right w:w="108" w:type="dxa"/>
            </w:tcMar>
            <w:vAlign w:val="center"/>
          </w:tcPr>
          <w:p>
            <w:pPr>
              <w:pStyle w:val="26"/>
              <w:widowControl/>
              <w:shd w:val="clear" w:color="auto" w:fill="auto"/>
              <w:spacing w:line="560" w:lineRule="exact"/>
              <w:rPr>
                <w:rFonts w:ascii="Times New Roman" w:hAnsi="Times New Roman"/>
                <w:sz w:val="24"/>
                <w:szCs w:val="24"/>
                <w:shd w:val="clear" w:color="auto" w:fill="auto"/>
              </w:rPr>
            </w:pPr>
            <w:r>
              <w:rPr>
                <w:rFonts w:eastAsia="楷体" w:cs="楷体" w:hint="eastAsia"/>
                <w:kern w:val="0"/>
                <w:sz w:val="24"/>
                <w:szCs w:val="24"/>
                <w:shd w:val="clear" w:color="auto" w:fill="auto"/>
              </w:rPr>
              <w:t>（五）不予处理</w:t>
            </w: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widowControl/>
              <w:shd w:val="clear" w:color="auto" w:fill="auto"/>
              <w:spacing w:line="560" w:lineRule="exact"/>
              <w:rPr>
                <w:sz w:val="24"/>
                <w:szCs w:val="24"/>
                <w:shd w:val="clear" w:color="auto" w:fill="auto"/>
              </w:rPr>
            </w:pPr>
            <w:r>
              <w:rPr>
                <w:rFonts w:eastAsia="楷体" w:cs="楷体" w:hint="eastAsia"/>
                <w:kern w:val="0"/>
                <w:sz w:val="24"/>
                <w:szCs w:val="24"/>
                <w:shd w:val="clear" w:color="auto" w:fill="auto"/>
              </w:rPr>
              <w:t>1.信访举报投诉类申请</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widowControl/>
              <w:shd w:val="clear" w:color="auto" w:fill="auto"/>
              <w:spacing w:line="560" w:lineRule="exact"/>
              <w:rPr>
                <w:rFonts w:ascii="Times New Roman" w:hAnsi="Times New Roman"/>
                <w:sz w:val="24"/>
                <w:szCs w:val="24"/>
                <w:shd w:val="clear" w:color="auto" w:fill="auto"/>
              </w:rPr>
            </w:pPr>
            <w:r>
              <w:rPr>
                <w:rFonts w:eastAsia="楷体" w:cs="楷体" w:hint="eastAsia"/>
                <w:kern w:val="0"/>
                <w:sz w:val="24"/>
                <w:szCs w:val="24"/>
                <w:shd w:val="clear" w:color="auto" w:fill="auto"/>
              </w:rPr>
              <w:t>2.重复申请</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widowControl/>
              <w:shd w:val="clear" w:color="auto" w:fill="auto"/>
              <w:spacing w:line="560" w:lineRule="exact"/>
              <w:rPr>
                <w:rFonts w:ascii="Times New Roman" w:hAnsi="Times New Roman"/>
                <w:sz w:val="24"/>
                <w:szCs w:val="24"/>
                <w:shd w:val="clear" w:color="auto" w:fill="auto"/>
              </w:rPr>
            </w:pPr>
            <w:r>
              <w:rPr>
                <w:rFonts w:eastAsia="楷体" w:cs="楷体" w:hint="eastAsia"/>
                <w:kern w:val="0"/>
                <w:sz w:val="24"/>
                <w:szCs w:val="24"/>
                <w:shd w:val="clear" w:color="auto" w:fill="auto"/>
              </w:rPr>
              <w:t>3.要求提供公开出版物</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r>
      <w:tr>
        <w:trPr>
          <w:trHeight w:val="810"/>
        </w:trP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widowControl/>
              <w:shd w:val="clear" w:color="auto" w:fill="auto"/>
              <w:spacing w:line="560" w:lineRule="exact"/>
              <w:rPr>
                <w:rFonts w:ascii="Times New Roman" w:hAnsi="Times New Roman"/>
                <w:sz w:val="24"/>
                <w:szCs w:val="24"/>
                <w:shd w:val="clear" w:color="auto" w:fill="auto"/>
              </w:rPr>
            </w:pPr>
            <w:r>
              <w:rPr>
                <w:rFonts w:eastAsia="楷体" w:cs="楷体" w:hint="eastAsia"/>
                <w:kern w:val="0"/>
                <w:sz w:val="24"/>
                <w:szCs w:val="24"/>
                <w:shd w:val="clear" w:color="auto" w:fill="auto"/>
              </w:rPr>
              <w:t>4.无正当理由大量反复申请</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widowControl/>
              <w:shd w:val="clear" w:color="auto" w:fill="auto"/>
              <w:spacing w:line="560" w:lineRule="exact"/>
              <w:rPr>
                <w:rFonts w:ascii="Times New Roman" w:hAnsi="Times New Roman"/>
                <w:sz w:val="24"/>
                <w:szCs w:val="24"/>
                <w:shd w:val="clear" w:color="auto" w:fill="auto"/>
              </w:rPr>
            </w:pPr>
            <w:r>
              <w:rPr>
                <w:rFonts w:eastAsia="楷体" w:cs="楷体" w:hint="eastAsia"/>
                <w:kern w:val="0"/>
                <w:sz w:val="24"/>
                <w:szCs w:val="24"/>
                <w:shd w:val="clear" w:color="auto" w:fill="auto"/>
              </w:rPr>
              <w:t>5.要求行政机关确认或重新出具已获取信息</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tcMar>
              <w:left w:w="108" w:type="dxa"/>
              <w:right w:w="108" w:type="dxa"/>
            </w:tcMar>
            <w:vAlign w:val="center"/>
          </w:tcPr>
          <w:p>
            <w:pPr>
              <w:pStyle w:val="26"/>
              <w:widowControl/>
              <w:shd w:val="clear" w:color="auto" w:fill="auto"/>
              <w:spacing w:line="560" w:lineRule="exact"/>
              <w:rPr>
                <w:rFonts w:ascii="Times New Roman" w:hAnsi="Times New Roman"/>
                <w:sz w:val="24"/>
                <w:szCs w:val="24"/>
                <w:shd w:val="clear" w:color="auto" w:fill="auto"/>
              </w:rPr>
            </w:pPr>
            <w:r>
              <w:rPr>
                <w:rFonts w:eastAsia="楷体" w:cs="楷体" w:hint="eastAsia"/>
                <w:kern w:val="0"/>
                <w:sz w:val="24"/>
                <w:szCs w:val="24"/>
                <w:shd w:val="clear" w:color="auto" w:fill="auto"/>
              </w:rPr>
              <w:t>（六）其他处理</w:t>
            </w:r>
          </w:p>
        </w:tc>
        <w:tc>
          <w:tcPr>
            <w:tcW w:w="2670" w:type="dxa"/>
            <w:tcBorders>
              <w:top w:val="nil"/>
              <w:left w:val="single" w:sz="8" w:space="0" w:color="auto"/>
              <w:bottom w:val="single" w:sz="8" w:space="0" w:color="auto"/>
              <w:right w:val="single" w:sz="8" w:space="0" w:color="auto"/>
              <w:tl2br w:val="nil"/>
              <w:tr2bl w:val="nil"/>
            </w:tcBorders>
            <w:tcMar>
              <w:left w:w="108" w:type="dxa"/>
              <w:right w:w="108" w:type="dxa"/>
            </w:tcMar>
          </w:tcPr>
          <w:p>
            <w:pPr>
              <w:pStyle w:val="26"/>
              <w:widowControl/>
              <w:shd w:val="clear" w:color="auto" w:fill="auto"/>
              <w:spacing w:line="560" w:lineRule="exact"/>
              <w:rPr>
                <w:rFonts w:eastAsia="楷体" w:cs="楷体"/>
                <w:kern w:val="0"/>
                <w:sz w:val="24"/>
                <w:szCs w:val="24"/>
                <w:shd w:val="clear" w:color="auto" w:fill="auto"/>
              </w:rPr>
            </w:pPr>
            <w:r>
              <w:rPr>
                <w:rFonts w:eastAsia="楷体" w:cs="楷体" w:hint="eastAsia"/>
                <w:kern w:val="0"/>
                <w:sz w:val="24"/>
                <w:szCs w:val="24"/>
                <w:shd w:val="clear" w:color="auto" w:fill="auto"/>
              </w:rPr>
              <w:t>1.申请人无正当理由逾期不补正、行政机关不再处理其政府信息公开申请</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vAlign w:val="center"/>
          </w:tcPr>
          <w:p/>
        </w:tc>
        <w:tc>
          <w:tcPr>
            <w:tcW w:w="936" w:type="dxa"/>
            <w:vMerge/>
            <w:tcBorders>
              <w:top w:val="nil"/>
              <w:left w:val="nil"/>
              <w:bottom w:val="single" w:sz="8" w:space="0" w:color="auto"/>
              <w:right w:val="single" w:sz="8" w:space="0" w:color="auto"/>
              <w:tl2br w:val="nil"/>
              <w:tr2bl w:val="nil"/>
            </w:tcBorders>
            <w:vAlign w:val="center"/>
          </w:tcPr>
          <w:p/>
        </w:tc>
        <w:tc>
          <w:tcPr>
            <w:tcW w:w="2670" w:type="dxa"/>
            <w:tcBorders>
              <w:top w:val="nil"/>
              <w:left w:val="single" w:sz="8" w:space="0" w:color="auto"/>
              <w:bottom w:val="single" w:sz="8" w:space="0" w:color="auto"/>
              <w:right w:val="single" w:sz="8" w:space="0" w:color="auto"/>
              <w:tl2br w:val="nil"/>
              <w:tr2bl w:val="nil"/>
            </w:tcBorders>
          </w:tcPr>
          <w:p>
            <w:pPr>
              <w:pStyle w:val="26"/>
              <w:widowControl/>
              <w:shd w:val="clear" w:color="auto" w:fill="auto"/>
              <w:spacing w:line="560" w:lineRule="exact"/>
              <w:rPr>
                <w:rFonts w:ascii="Times New Roman" w:eastAsia="楷体" w:cs="楷体" w:hAnsi="Times New Roman"/>
                <w:kern w:val="0"/>
                <w:sz w:val="24"/>
                <w:szCs w:val="24"/>
                <w:shd w:val="clear" w:color="auto" w:fill="auto"/>
              </w:rPr>
            </w:pPr>
            <w:r>
              <w:rPr>
                <w:rFonts w:eastAsia="楷体" w:cs="楷体" w:hint="eastAsia"/>
                <w:kern w:val="0"/>
                <w:sz w:val="24"/>
                <w:szCs w:val="24"/>
                <w:shd w:val="clear" w:color="auto" w:fill="auto"/>
              </w:rPr>
              <w:t>2.申请人逾期未按收费通知要求缴纳费用、行政机关不再处理其政府信息公开申请</w:t>
            </w:r>
          </w:p>
        </w:tc>
        <w:tc>
          <w:tcPr>
            <w:tcW w:w="635" w:type="dxa"/>
            <w:tcBorders>
              <w:top w:val="nil"/>
              <w:left w:val="nil"/>
              <w:bottom w:val="single" w:sz="8" w:space="0" w:color="auto"/>
              <w:right w:val="single" w:sz="8" w:space="0" w:color="auto"/>
              <w:tl2br w:val="nil"/>
              <w:tr2bl w:val="nil"/>
            </w:tcBorders>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vAlign w:val="center"/>
          </w:tcPr>
          <w:p/>
        </w:tc>
        <w:tc>
          <w:tcPr>
            <w:tcW w:w="936" w:type="dxa"/>
            <w:vMerge/>
            <w:tcBorders>
              <w:top w:val="nil"/>
              <w:left w:val="nil"/>
              <w:bottom w:val="single" w:sz="8" w:space="0" w:color="auto"/>
              <w:right w:val="single" w:sz="8" w:space="0" w:color="auto"/>
              <w:tl2br w:val="nil"/>
              <w:tr2bl w:val="nil"/>
            </w:tcBorders>
            <w:vAlign w:val="center"/>
          </w:tcPr>
          <w:p/>
        </w:tc>
        <w:tc>
          <w:tcPr>
            <w:tcW w:w="2670" w:type="dxa"/>
            <w:tcBorders>
              <w:top w:val="nil"/>
              <w:left w:val="single" w:sz="8" w:space="0" w:color="auto"/>
              <w:bottom w:val="single" w:sz="8" w:space="0" w:color="auto"/>
              <w:right w:val="single" w:sz="8" w:space="0" w:color="auto"/>
              <w:tl2br w:val="nil"/>
              <w:tr2bl w:val="nil"/>
            </w:tcBorders>
          </w:tcPr>
          <w:p>
            <w:pPr>
              <w:pStyle w:val="26"/>
              <w:widowControl/>
              <w:shd w:val="clear" w:color="auto" w:fill="auto"/>
              <w:spacing w:line="560" w:lineRule="exact"/>
              <w:rPr>
                <w:rFonts w:ascii="Times New Roman" w:eastAsia="楷体" w:cs="楷体" w:hAnsi="Times New Roman"/>
                <w:kern w:val="0"/>
                <w:sz w:val="24"/>
                <w:szCs w:val="24"/>
                <w:shd w:val="clear" w:color="auto" w:fill="auto"/>
              </w:rPr>
            </w:pPr>
            <w:r>
              <w:rPr>
                <w:rFonts w:eastAsia="楷体" w:cs="楷体" w:hint="eastAsia"/>
                <w:kern w:val="0"/>
                <w:sz w:val="24"/>
                <w:szCs w:val="24"/>
                <w:shd w:val="clear" w:color="auto" w:fill="auto"/>
              </w:rPr>
              <w:t>3.咨询事项，指引咨询渠道</w:t>
            </w:r>
          </w:p>
        </w:tc>
        <w:tc>
          <w:tcPr>
            <w:tcW w:w="635" w:type="dxa"/>
            <w:tcBorders>
              <w:top w:val="nil"/>
              <w:left w:val="nil"/>
              <w:bottom w:val="single" w:sz="8" w:space="0" w:color="auto"/>
              <w:right w:val="single" w:sz="8" w:space="0" w:color="auto"/>
              <w:tl2br w:val="nil"/>
              <w:tr2bl w:val="nil"/>
            </w:tcBorders>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vAlign w:val="center"/>
          </w:tcPr>
          <w:p/>
        </w:tc>
        <w:tc>
          <w:tcPr>
            <w:tcW w:w="936" w:type="dxa"/>
            <w:vMerge/>
            <w:tcBorders>
              <w:top w:val="nil"/>
              <w:left w:val="nil"/>
              <w:bottom w:val="single" w:sz="8" w:space="0" w:color="auto"/>
              <w:right w:val="single" w:sz="8" w:space="0" w:color="auto"/>
              <w:tl2br w:val="nil"/>
              <w:tr2bl w:val="nil"/>
            </w:tcBorders>
            <w:vAlign w:val="center"/>
          </w:tcPr>
          <w:p/>
        </w:tc>
        <w:tc>
          <w:tcPr>
            <w:tcW w:w="2670" w:type="dxa"/>
            <w:tcBorders>
              <w:top w:val="nil"/>
              <w:left w:val="single" w:sz="8" w:space="0" w:color="auto"/>
              <w:bottom w:val="single" w:sz="8" w:space="0" w:color="auto"/>
              <w:right w:val="single" w:sz="8" w:space="0" w:color="auto"/>
              <w:tl2br w:val="nil"/>
              <w:tr2bl w:val="nil"/>
            </w:tcBorders>
          </w:tcPr>
          <w:p>
            <w:pPr>
              <w:pStyle w:val="26"/>
              <w:widowControl/>
              <w:shd w:val="clear" w:color="auto" w:fill="auto"/>
              <w:spacing w:line="560" w:lineRule="exact"/>
              <w:rPr>
                <w:rFonts w:ascii="Times New Roman" w:eastAsia="楷体" w:cs="楷体" w:hAnsi="Times New Roman"/>
                <w:kern w:val="0"/>
                <w:sz w:val="24"/>
                <w:szCs w:val="24"/>
                <w:shd w:val="clear" w:color="auto" w:fill="auto"/>
              </w:rPr>
            </w:pPr>
            <w:r>
              <w:rPr>
                <w:rFonts w:eastAsia="楷体" w:cs="楷体" w:hint="eastAsia"/>
                <w:kern w:val="0"/>
                <w:sz w:val="24"/>
                <w:szCs w:val="24"/>
                <w:shd w:val="clear" w:color="auto" w:fill="auto"/>
              </w:rPr>
              <w:t>4.申请人撤销申请</w:t>
            </w:r>
          </w:p>
        </w:tc>
        <w:tc>
          <w:tcPr>
            <w:tcW w:w="635" w:type="dxa"/>
            <w:tcBorders>
              <w:top w:val="nil"/>
              <w:left w:val="nil"/>
              <w:bottom w:val="single" w:sz="8" w:space="0" w:color="auto"/>
              <w:right w:val="single" w:sz="8" w:space="0" w:color="auto"/>
              <w:tl2br w:val="nil"/>
              <w:tr2bl w:val="nil"/>
            </w:tcBorders>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3606" w:type="dxa"/>
            <w:gridSpan w:val="2"/>
            <w:tcBorders>
              <w:top w:val="nil"/>
              <w:left w:val="nil"/>
              <w:bottom w:val="single" w:sz="8" w:space="0" w:color="auto"/>
              <w:right w:val="single" w:sz="8" w:space="0" w:color="auto"/>
              <w:tl2br w:val="nil"/>
              <w:tr2bl w:val="nil"/>
            </w:tcBorders>
            <w:tcMar>
              <w:left w:w="108" w:type="dxa"/>
              <w:right w:w="108" w:type="dxa"/>
            </w:tcMar>
            <w:vAlign w:val="center"/>
          </w:tcPr>
          <w:p>
            <w:pPr>
              <w:pStyle w:val="26"/>
              <w:widowControl/>
              <w:shd w:val="clear" w:color="auto" w:fill="auto"/>
              <w:spacing w:line="560" w:lineRule="exact"/>
              <w:rPr>
                <w:rFonts w:ascii="Times New Roman" w:hAnsi="Times New Roman"/>
                <w:sz w:val="24"/>
                <w:szCs w:val="24"/>
                <w:shd w:val="clear" w:color="auto" w:fill="auto"/>
              </w:rPr>
            </w:pPr>
            <w:r>
              <w:rPr>
                <w:rFonts w:eastAsia="楷体" w:cs="楷体" w:hint="eastAsia"/>
                <w:kern w:val="0"/>
                <w:sz w:val="24"/>
                <w:szCs w:val="24"/>
                <w:shd w:val="clear" w:color="auto" w:fill="auto"/>
              </w:rPr>
              <w:t>（七）总计</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r>
      <w:tr>
        <w:tc>
          <w:tcPr>
            <w:tcW w:w="4302" w:type="dxa"/>
            <w:gridSpan w:val="3"/>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26"/>
              <w:widowControl/>
              <w:shd w:val="clear" w:color="auto" w:fill="auto"/>
              <w:spacing w:line="560" w:lineRule="exact"/>
              <w:rPr>
                <w:shd w:val="clear" w:color="auto" w:fill="auto"/>
              </w:rPr>
            </w:pPr>
            <w:r>
              <w:rPr>
                <w:rFonts w:cs="宋体" w:hint="eastAsia"/>
                <w:kern w:val="0"/>
                <w:sz w:val="24"/>
                <w:szCs w:val="24"/>
                <w:shd w:val="clear" w:color="auto" w:fill="auto"/>
              </w:rPr>
              <w:t>四、结转下年度继续办理</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r>
    </w:tbl>
    <w:p>
      <w:pPr>
        <w:pStyle w:val="31"/>
        <w:widowControl/>
        <w:shd w:val="clear" w:color="auto" w:fill="auto"/>
        <w:spacing w:beforeAutospacing="0" w:afterAutospacing="0" w:line="560" w:lineRule="exact"/>
        <w:ind w:firstLineChars="200" w:firstLine="640"/>
        <w:jc w:val="both"/>
        <w:rPr>
          <w:rFonts w:cs="宋体"/>
          <w:szCs w:val="24"/>
          <w:shd w:val="clear" w:color="auto" w:fill="auto"/>
        </w:rPr>
      </w:pPr>
      <w:r>
        <w:rPr>
          <w:rFonts w:eastAsia="方正黑体_GBK" w:cs="楷体_GB2312" w:hint="eastAsia"/>
          <w:bCs/>
          <w:sz w:val="32"/>
          <w:szCs w:val="32"/>
          <w:shd w:val="clear" w:color="auto" w:fill="auto"/>
        </w:rPr>
        <w:t>四、政府信息公开行政复议、行政诉讼情况</w:t>
      </w:r>
    </w:p>
    <w:tbl>
      <w:tblPr>
        <w:jc w:val="center"/>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c>
          <w:tcPr>
            <w:tcW w:w="3074" w:type="dxa"/>
            <w:gridSpan w:val="5"/>
            <w:tcBorders>
              <w:top w:val="single" w:sz="8" w:space="0" w:color="auto"/>
              <w:left w:val="single" w:sz="8" w:space="0" w:color="auto"/>
              <w:bottom w:val="single" w:sz="8" w:space="0" w:color="auto"/>
              <w:right w:val="single" w:sz="8" w:space="0" w:color="auto"/>
              <w:tl2br w:val="nil"/>
              <w:tr2bl w:val="nil"/>
            </w:tcBorders>
            <w:tcMar>
              <w:left w:w="108" w:type="dxa"/>
              <w:right w:w="108" w:type="dxa"/>
            </w:tcMar>
            <w:vAlign w:val="center"/>
          </w:tcPr>
          <w:p>
            <w:pPr>
              <w:pStyle w:val="26"/>
              <w:widowControl/>
              <w:shd w:val="clear" w:color="auto" w:fill="auto"/>
              <w:spacing w:line="560" w:lineRule="exact"/>
              <w:jc w:val="center"/>
              <w:rPr>
                <w:sz w:val="24"/>
                <w:szCs w:val="24"/>
                <w:shd w:val="clear" w:color="auto" w:fill="auto"/>
              </w:rPr>
            </w:pPr>
            <w:r>
              <w:rPr>
                <w:rFonts w:cs="宋体" w:hint="eastAsia"/>
                <w:kern w:val="0"/>
                <w:sz w:val="24"/>
                <w:szCs w:val="24"/>
                <w:shd w:val="clear" w:color="auto" w:fill="auto"/>
              </w:rPr>
              <w:t>行政复议</w:t>
            </w:r>
          </w:p>
        </w:tc>
        <w:tc>
          <w:tcPr>
            <w:tcW w:w="5997" w:type="dxa"/>
            <w:gridSpan w:val="10"/>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26"/>
              <w:widowControl/>
              <w:shd w:val="clear" w:color="auto" w:fill="auto"/>
              <w:spacing w:line="560" w:lineRule="exact"/>
              <w:jc w:val="center"/>
              <w:rPr>
                <w:sz w:val="24"/>
                <w:szCs w:val="24"/>
                <w:shd w:val="clear" w:color="auto" w:fill="auto"/>
              </w:rPr>
            </w:pPr>
            <w:r>
              <w:rPr>
                <w:rFonts w:cs="宋体" w:hint="eastAsia"/>
                <w:kern w:val="0"/>
                <w:sz w:val="24"/>
                <w:szCs w:val="24"/>
                <w:shd w:val="clear" w:color="auto" w:fill="auto"/>
              </w:rPr>
              <w:t>行政诉讼</w:t>
            </w:r>
          </w:p>
        </w:tc>
      </w:tr>
      <w:tr>
        <w:tc>
          <w:tcPr>
            <w:tcW w:w="604" w:type="dxa"/>
            <w:vMerge w:val="restart"/>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26"/>
              <w:widowControl/>
              <w:shd w:val="clear" w:color="auto" w:fill="auto"/>
              <w:spacing w:line="560" w:lineRule="exact"/>
              <w:rPr>
                <w:sz w:val="24"/>
                <w:szCs w:val="24"/>
                <w:shd w:val="clear" w:color="auto" w:fill="auto"/>
              </w:rPr>
            </w:pPr>
            <w:r>
              <w:rPr>
                <w:rFonts w:cs="宋体" w:hint="eastAsia"/>
                <w:kern w:val="0"/>
                <w:sz w:val="24"/>
                <w:szCs w:val="24"/>
                <w:shd w:val="clear" w:color="auto" w:fill="auto"/>
              </w:rPr>
              <w:t>结果维持</w:t>
            </w:r>
          </w:p>
        </w:tc>
        <w:tc>
          <w:tcPr>
            <w:tcW w:w="604" w:type="dxa"/>
            <w:vMerge w:val="restart"/>
            <w:tcBorders>
              <w:top w:val="nil"/>
              <w:left w:val="nil"/>
              <w:bottom w:val="single" w:sz="8" w:space="0" w:color="auto"/>
              <w:right w:val="single" w:sz="8" w:space="0" w:color="auto"/>
              <w:tl2br w:val="nil"/>
              <w:tr2bl w:val="nil"/>
            </w:tcBorders>
            <w:tcMar>
              <w:left w:w="108" w:type="dxa"/>
              <w:right w:w="108" w:type="dxa"/>
            </w:tcMar>
            <w:vAlign w:val="center"/>
          </w:tcPr>
          <w:p>
            <w:pPr>
              <w:pStyle w:val="26"/>
              <w:widowControl/>
              <w:shd w:val="clear" w:color="auto" w:fill="auto"/>
              <w:spacing w:line="560" w:lineRule="exact"/>
              <w:rPr>
                <w:sz w:val="24"/>
                <w:szCs w:val="24"/>
                <w:shd w:val="clear" w:color="auto" w:fill="auto"/>
              </w:rPr>
            </w:pPr>
            <w:r>
              <w:rPr>
                <w:rFonts w:cs="宋体" w:hint="eastAsia"/>
                <w:kern w:val="0"/>
                <w:sz w:val="24"/>
                <w:szCs w:val="24"/>
                <w:shd w:val="clear" w:color="auto" w:fill="auto"/>
              </w:rPr>
              <w:t>结果纠正</w:t>
            </w:r>
          </w:p>
        </w:tc>
        <w:tc>
          <w:tcPr>
            <w:tcW w:w="604" w:type="dxa"/>
            <w:vMerge w:val="restart"/>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26"/>
              <w:widowControl/>
              <w:shd w:val="clear" w:color="auto" w:fill="auto"/>
              <w:spacing w:line="560" w:lineRule="exact"/>
              <w:rPr>
                <w:sz w:val="24"/>
                <w:szCs w:val="24"/>
                <w:shd w:val="clear" w:color="auto" w:fill="auto"/>
              </w:rPr>
            </w:pPr>
            <w:r>
              <w:rPr>
                <w:rFonts w:cs="宋体" w:hint="eastAsia"/>
                <w:kern w:val="0"/>
                <w:sz w:val="24"/>
                <w:szCs w:val="24"/>
                <w:shd w:val="clear" w:color="auto" w:fill="auto"/>
              </w:rPr>
              <w:t>其他结果</w:t>
            </w:r>
          </w:p>
        </w:tc>
        <w:tc>
          <w:tcPr>
            <w:tcW w:w="604" w:type="dxa"/>
            <w:vMerge w:val="restart"/>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26"/>
              <w:widowControl/>
              <w:shd w:val="clear" w:color="auto" w:fill="auto"/>
              <w:spacing w:line="560" w:lineRule="exact"/>
              <w:rPr>
                <w:sz w:val="24"/>
                <w:szCs w:val="24"/>
                <w:shd w:val="clear" w:color="auto" w:fill="auto"/>
              </w:rPr>
            </w:pPr>
            <w:r>
              <w:rPr>
                <w:rFonts w:cs="宋体" w:hint="eastAsia"/>
                <w:kern w:val="0"/>
                <w:sz w:val="24"/>
                <w:szCs w:val="24"/>
                <w:shd w:val="clear" w:color="auto" w:fill="auto"/>
              </w:rPr>
              <w:t>尚未审结</w:t>
            </w:r>
          </w:p>
        </w:tc>
        <w:tc>
          <w:tcPr>
            <w:tcW w:w="658" w:type="dxa"/>
            <w:vMerge w:val="restart"/>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26"/>
              <w:widowControl/>
              <w:shd w:val="clear" w:color="auto" w:fill="auto"/>
              <w:spacing w:line="560" w:lineRule="exact"/>
              <w:rPr>
                <w:sz w:val="24"/>
                <w:szCs w:val="24"/>
                <w:shd w:val="clear" w:color="auto" w:fill="auto"/>
              </w:rPr>
            </w:pPr>
            <w:r>
              <w:rPr>
                <w:rFonts w:cs="宋体" w:hint="eastAsia"/>
                <w:kern w:val="0"/>
                <w:sz w:val="24"/>
                <w:szCs w:val="24"/>
                <w:shd w:val="clear" w:color="auto" w:fill="auto"/>
              </w:rPr>
              <w:t>总计</w:t>
            </w:r>
          </w:p>
        </w:tc>
        <w:tc>
          <w:tcPr>
            <w:tcW w:w="2970" w:type="dxa"/>
            <w:gridSpan w:val="5"/>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26"/>
              <w:widowControl/>
              <w:shd w:val="clear" w:color="auto" w:fill="auto"/>
              <w:spacing w:line="560" w:lineRule="exact"/>
              <w:jc w:val="center"/>
              <w:rPr>
                <w:sz w:val="24"/>
                <w:szCs w:val="24"/>
                <w:shd w:val="clear" w:color="auto" w:fill="auto"/>
              </w:rPr>
            </w:pPr>
            <w:r>
              <w:rPr>
                <w:rFonts w:cs="宋体" w:hint="eastAsia"/>
                <w:kern w:val="0"/>
                <w:sz w:val="24"/>
                <w:szCs w:val="24"/>
                <w:shd w:val="clear" w:color="auto" w:fill="auto"/>
              </w:rPr>
              <w:t>未经复议直接起诉</w:t>
            </w:r>
          </w:p>
        </w:tc>
        <w:tc>
          <w:tcPr>
            <w:tcW w:w="3027" w:type="dxa"/>
            <w:gridSpan w:val="5"/>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26"/>
              <w:widowControl/>
              <w:shd w:val="clear" w:color="auto" w:fill="auto"/>
              <w:spacing w:line="560" w:lineRule="exact"/>
              <w:jc w:val="center"/>
              <w:rPr>
                <w:sz w:val="24"/>
                <w:szCs w:val="24"/>
                <w:shd w:val="clear" w:color="auto" w:fill="auto"/>
              </w:rPr>
            </w:pPr>
            <w:r>
              <w:rPr>
                <w:rFonts w:cs="宋体" w:hint="eastAsia"/>
                <w:kern w:val="0"/>
                <w:sz w:val="24"/>
                <w:szCs w:val="24"/>
                <w:shd w:val="clear" w:color="auto" w:fill="auto"/>
              </w:rPr>
              <w:t>复议后起诉</w:t>
            </w:r>
          </w:p>
        </w:tc>
      </w:tr>
      <w:tr>
        <w:tc>
          <w:tcPr>
            <w:tcW w:w="604"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604" w:type="dxa"/>
            <w:vMerge/>
            <w:tcBorders>
              <w:top w:val="nil"/>
              <w:left w:val="nil"/>
              <w:bottom w:val="single" w:sz="8" w:space="0" w:color="auto"/>
              <w:right w:val="single" w:sz="8" w:space="0" w:color="auto"/>
              <w:tl2br w:val="nil"/>
              <w:tr2bl w:val="nil"/>
            </w:tcBorders>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l2br w:val="nil"/>
              <w:tr2bl w:val="nil"/>
            </w:tcBorders>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l2br w:val="nil"/>
              <w:tr2bl w:val="nil"/>
            </w:tcBorders>
            <w:tcMar>
              <w:left w:w="108" w:type="dxa"/>
              <w:right w:w="108" w:type="dxa"/>
            </w:tcMar>
            <w:vAlign w:val="center"/>
          </w:tcPr>
          <w:p/>
        </w:tc>
        <w:tc>
          <w:tcPr>
            <w:tcW w:w="658" w:type="dxa"/>
            <w:vMerge/>
            <w:tcBorders>
              <w:top w:val="single" w:sz="8" w:space="0" w:color="auto"/>
              <w:left w:val="nil"/>
              <w:bottom w:val="single" w:sz="8" w:space="0" w:color="auto"/>
              <w:right w:val="single" w:sz="8" w:space="0" w:color="auto"/>
              <w:tl2br w:val="nil"/>
              <w:tr2bl w:val="nil"/>
            </w:tcBorders>
            <w:tcMar>
              <w:left w:w="108" w:type="dxa"/>
              <w:right w:w="108" w:type="dxa"/>
            </w:tcMar>
            <w:vAlign w:val="center"/>
          </w:tcPr>
          <w:p/>
        </w:tc>
        <w:tc>
          <w:tcPr>
            <w:tcW w:w="550"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widowControl/>
              <w:shd w:val="clear" w:color="auto" w:fill="auto"/>
              <w:spacing w:line="560" w:lineRule="exact"/>
              <w:rPr>
                <w:rFonts w:ascii="Times New Roman" w:hAnsi="Times New Roman"/>
                <w:sz w:val="24"/>
                <w:szCs w:val="24"/>
                <w:shd w:val="clear" w:color="auto" w:fill="auto"/>
              </w:rPr>
            </w:pPr>
            <w:r>
              <w:rPr>
                <w:rFonts w:cs="宋体" w:hint="eastAsia"/>
                <w:kern w:val="0"/>
                <w:sz w:val="24"/>
                <w:szCs w:val="24"/>
                <w:shd w:val="clear" w:color="auto" w:fill="auto"/>
              </w:rPr>
              <w:t>结果维持</w:t>
            </w:r>
          </w:p>
        </w:tc>
        <w:tc>
          <w:tcPr>
            <w:tcW w:w="60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widowControl/>
              <w:shd w:val="clear" w:color="auto" w:fill="auto"/>
              <w:spacing w:line="560" w:lineRule="exact"/>
              <w:rPr>
                <w:sz w:val="24"/>
                <w:szCs w:val="24"/>
                <w:shd w:val="clear" w:color="auto" w:fill="auto"/>
              </w:rPr>
            </w:pPr>
            <w:r>
              <w:rPr>
                <w:rFonts w:cs="宋体" w:hint="eastAsia"/>
                <w:kern w:val="0"/>
                <w:sz w:val="24"/>
                <w:szCs w:val="24"/>
                <w:shd w:val="clear" w:color="auto" w:fill="auto"/>
              </w:rPr>
              <w:t>结果纠正</w:t>
            </w:r>
          </w:p>
        </w:tc>
        <w:tc>
          <w:tcPr>
            <w:tcW w:w="605"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26"/>
              <w:widowControl/>
              <w:shd w:val="clear" w:color="auto" w:fill="auto"/>
              <w:spacing w:line="560" w:lineRule="exact"/>
              <w:rPr>
                <w:sz w:val="24"/>
                <w:szCs w:val="24"/>
                <w:shd w:val="clear" w:color="auto" w:fill="auto"/>
              </w:rPr>
            </w:pPr>
            <w:r>
              <w:rPr>
                <w:rFonts w:cs="宋体" w:hint="eastAsia"/>
                <w:kern w:val="0"/>
                <w:sz w:val="24"/>
                <w:szCs w:val="24"/>
                <w:shd w:val="clear" w:color="auto" w:fill="auto"/>
              </w:rPr>
              <w:t>其他结果</w:t>
            </w:r>
          </w:p>
        </w:tc>
        <w:tc>
          <w:tcPr>
            <w:tcW w:w="605"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26"/>
              <w:widowControl/>
              <w:shd w:val="clear" w:color="auto" w:fill="auto"/>
              <w:spacing w:line="560" w:lineRule="exact"/>
              <w:rPr>
                <w:sz w:val="24"/>
                <w:szCs w:val="24"/>
                <w:shd w:val="clear" w:color="auto" w:fill="auto"/>
              </w:rPr>
            </w:pPr>
            <w:r>
              <w:rPr>
                <w:rFonts w:cs="宋体" w:hint="eastAsia"/>
                <w:kern w:val="0"/>
                <w:sz w:val="24"/>
                <w:szCs w:val="24"/>
                <w:shd w:val="clear" w:color="auto" w:fill="auto"/>
              </w:rPr>
              <w:t>尚未审结</w:t>
            </w:r>
          </w:p>
        </w:tc>
        <w:tc>
          <w:tcPr>
            <w:tcW w:w="605"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26"/>
              <w:widowControl/>
              <w:shd w:val="clear" w:color="auto" w:fill="auto"/>
              <w:spacing w:line="560" w:lineRule="exact"/>
              <w:rPr>
                <w:sz w:val="24"/>
                <w:szCs w:val="24"/>
                <w:shd w:val="clear" w:color="auto" w:fill="auto"/>
              </w:rPr>
            </w:pPr>
            <w:r>
              <w:rPr>
                <w:rFonts w:cs="宋体" w:hint="eastAsia"/>
                <w:kern w:val="0"/>
                <w:sz w:val="24"/>
                <w:szCs w:val="24"/>
                <w:shd w:val="clear" w:color="auto" w:fill="auto"/>
              </w:rPr>
              <w:t>总计</w:t>
            </w:r>
          </w:p>
        </w:tc>
        <w:tc>
          <w:tcPr>
            <w:tcW w:w="605"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26"/>
              <w:widowControl/>
              <w:shd w:val="clear" w:color="auto" w:fill="auto"/>
              <w:spacing w:line="560" w:lineRule="exact"/>
              <w:rPr>
                <w:sz w:val="24"/>
                <w:szCs w:val="24"/>
                <w:shd w:val="clear" w:color="auto" w:fill="auto"/>
              </w:rPr>
            </w:pPr>
            <w:r>
              <w:rPr>
                <w:rFonts w:cs="宋体" w:hint="eastAsia"/>
                <w:kern w:val="0"/>
                <w:sz w:val="24"/>
                <w:szCs w:val="24"/>
                <w:shd w:val="clear" w:color="auto" w:fill="auto"/>
              </w:rPr>
              <w:t>结果维持</w:t>
            </w:r>
          </w:p>
        </w:tc>
        <w:tc>
          <w:tcPr>
            <w:tcW w:w="605"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26"/>
              <w:widowControl/>
              <w:shd w:val="clear" w:color="auto" w:fill="auto"/>
              <w:spacing w:line="560" w:lineRule="exact"/>
              <w:rPr>
                <w:sz w:val="24"/>
                <w:szCs w:val="24"/>
                <w:shd w:val="clear" w:color="auto" w:fill="auto"/>
              </w:rPr>
            </w:pPr>
            <w:r>
              <w:rPr>
                <w:rFonts w:cs="宋体" w:hint="eastAsia"/>
                <w:kern w:val="0"/>
                <w:sz w:val="24"/>
                <w:szCs w:val="24"/>
                <w:shd w:val="clear" w:color="auto" w:fill="auto"/>
              </w:rPr>
              <w:t>结果纠正</w:t>
            </w:r>
          </w:p>
        </w:tc>
        <w:tc>
          <w:tcPr>
            <w:tcW w:w="605"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26"/>
              <w:widowControl/>
              <w:shd w:val="clear" w:color="auto" w:fill="auto"/>
              <w:spacing w:line="560" w:lineRule="exact"/>
              <w:rPr>
                <w:sz w:val="24"/>
                <w:szCs w:val="24"/>
                <w:shd w:val="clear" w:color="auto" w:fill="auto"/>
              </w:rPr>
            </w:pPr>
            <w:r>
              <w:rPr>
                <w:rFonts w:cs="宋体" w:hint="eastAsia"/>
                <w:kern w:val="0"/>
                <w:sz w:val="24"/>
                <w:szCs w:val="24"/>
                <w:shd w:val="clear" w:color="auto" w:fill="auto"/>
              </w:rPr>
              <w:t>其他结果</w:t>
            </w:r>
          </w:p>
        </w:tc>
        <w:tc>
          <w:tcPr>
            <w:tcW w:w="606"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26"/>
              <w:widowControl/>
              <w:shd w:val="clear" w:color="auto" w:fill="auto"/>
              <w:spacing w:line="560" w:lineRule="exact"/>
              <w:rPr>
                <w:sz w:val="24"/>
                <w:szCs w:val="24"/>
                <w:shd w:val="clear" w:color="auto" w:fill="auto"/>
              </w:rPr>
            </w:pPr>
            <w:r>
              <w:rPr>
                <w:rFonts w:cs="宋体" w:hint="eastAsia"/>
                <w:kern w:val="0"/>
                <w:sz w:val="24"/>
                <w:szCs w:val="24"/>
                <w:shd w:val="clear" w:color="auto" w:fill="auto"/>
              </w:rPr>
              <w:t>尚未审结</w:t>
            </w:r>
          </w:p>
        </w:tc>
        <w:tc>
          <w:tcPr>
            <w:tcW w:w="606"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26"/>
              <w:widowControl/>
              <w:shd w:val="clear" w:color="auto" w:fill="auto"/>
              <w:spacing w:line="560" w:lineRule="exact"/>
              <w:rPr>
                <w:sz w:val="24"/>
                <w:szCs w:val="24"/>
                <w:shd w:val="clear" w:color="auto" w:fill="auto"/>
              </w:rPr>
            </w:pPr>
            <w:r>
              <w:rPr>
                <w:rFonts w:cs="宋体" w:hint="eastAsia"/>
                <w:kern w:val="0"/>
                <w:sz w:val="24"/>
                <w:szCs w:val="24"/>
                <w:shd w:val="clear" w:color="auto" w:fill="auto"/>
              </w:rPr>
              <w:t>总计</w:t>
            </w:r>
          </w:p>
        </w:tc>
      </w:tr>
      <w:tr>
        <w:trPr>
          <w:trHeight w:val="862"/>
        </w:trPr>
        <w:tc>
          <w:tcPr>
            <w:tcW w:w="604"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04"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04"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04"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58"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550"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0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0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0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0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0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0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05"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06"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06" w:type="dxa"/>
            <w:tcBorders>
              <w:top w:val="nil"/>
              <w:left w:val="nil"/>
              <w:bottom w:val="single" w:sz="8" w:space="0" w:color="auto"/>
              <w:right w:val="single" w:sz="8" w:space="0" w:color="auto"/>
              <w:tl2br w:val="nil"/>
              <w:tr2bl w:val="nil"/>
            </w:tcBorders>
            <w:tcMar>
              <w:left w:w="108" w:type="dxa"/>
              <w:right w:w="108" w:type="dxa"/>
            </w:tcMar>
            <w:vAlign w:val="center"/>
          </w:tcPr>
          <w:p>
            <w:pPr>
              <w:pStyle w:val="26"/>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r>
    </w:tbl>
    <w:p>
      <w:pPr>
        <w:pStyle w:val="31"/>
        <w:widowControl/>
        <w:shd w:val="clear" w:color="auto" w:fill="auto"/>
        <w:spacing w:beforeAutospacing="0" w:afterAutospacing="0" w:line="560" w:lineRule="exact"/>
        <w:ind w:firstLineChars="200" w:firstLine="640"/>
        <w:jc w:val="both"/>
        <w:rPr>
          <w:rFonts w:eastAsia="方正黑体_GBK" w:cs="楷体_GB2312"/>
          <w:bCs/>
          <w:sz w:val="32"/>
          <w:szCs w:val="32"/>
          <w:shd w:val="clear" w:color="auto" w:fill="auto"/>
        </w:rPr>
      </w:pPr>
      <w:r>
        <w:rPr>
          <w:rFonts w:eastAsia="方正黑体_GBK" w:cs="楷体_GB2312" w:hint="eastAsia"/>
          <w:bCs/>
          <w:sz w:val="32"/>
          <w:szCs w:val="32"/>
          <w:shd w:val="clear" w:color="auto" w:fill="auto"/>
        </w:rPr>
        <w:t>五、存在的主要问题及改进情况</w:t>
      </w:r>
    </w:p>
    <w:p>
      <w:pPr>
        <w:pStyle w:val="32"/>
        <w:shd w:val="clear" w:color="auto" w:fill="auto"/>
        <w:adjustRightInd w:val="0"/>
        <w:snapToGrid w:val="0"/>
        <w:ind w:firstLineChars="200" w:firstLine="624"/>
        <w:rPr>
          <w:rFonts w:eastAsia="方正楷体_GBK"/>
          <w:b/>
          <w:bCs/>
          <w:shd w:val="clear" w:color="auto" w:fill="auto"/>
        </w:rPr>
      </w:pPr>
      <w:r>
        <w:rPr>
          <w:rFonts w:eastAsia="方正楷体_GBK" w:hint="eastAsia"/>
          <w:b/>
          <w:bCs/>
          <w:shd w:val="clear" w:color="auto" w:fill="auto"/>
        </w:rPr>
        <w:t>（一）202</w:t>
      </w:r>
      <w:r>
        <w:rPr>
          <w:rFonts w:eastAsia="方正楷体_GBK"/>
          <w:b/>
          <w:bCs/>
          <w:shd w:val="clear" w:color="auto" w:fill="auto"/>
        </w:rPr>
        <w:t>3</w:t>
      </w:r>
      <w:r>
        <w:rPr>
          <w:rFonts w:eastAsia="方正楷体_GBK" w:hint="eastAsia"/>
          <w:b/>
          <w:bCs/>
          <w:shd w:val="clear" w:color="auto" w:fill="auto"/>
        </w:rPr>
        <w:t>年年报中所提问题整改情况。</w:t>
      </w:r>
    </w:p>
    <w:p>
      <w:pPr>
        <w:pStyle w:val="32"/>
        <w:shd w:val="clear" w:color="auto" w:fill="auto"/>
        <w:adjustRightInd w:val="0"/>
        <w:snapToGrid w:val="0"/>
        <w:ind w:firstLineChars="200" w:firstLine="624"/>
        <w:rPr>
          <w:shd w:val="clear" w:color="auto" w:fill="auto"/>
        </w:rPr>
      </w:pPr>
      <w:r>
        <w:rPr>
          <w:rFonts w:hint="eastAsia"/>
          <w:shd w:val="clear" w:color="auto" w:fill="auto"/>
        </w:rPr>
        <w:t>大铲海关202</w:t>
      </w:r>
      <w:r>
        <w:rPr>
          <w:shd w:val="clear" w:color="auto" w:fill="auto"/>
        </w:rPr>
        <w:t>3</w:t>
      </w:r>
      <w:r>
        <w:rPr>
          <w:rFonts w:hint="eastAsia"/>
          <w:shd w:val="clear" w:color="auto" w:fill="auto"/>
        </w:rPr>
        <w:t>年年报中提出</w:t>
      </w:r>
      <w:r>
        <w:rPr>
          <w:shd w:val="clear" w:color="auto" w:fill="auto"/>
        </w:rPr>
        <w:t>以下</w:t>
      </w:r>
      <w:r>
        <w:rPr>
          <w:rFonts w:hint="eastAsia"/>
          <w:shd w:val="clear" w:color="auto" w:fill="auto"/>
        </w:rPr>
        <w:t>问题：当前大铲海关政务公开宣传推广方式主要集中于线下，新媒体等线上宣传方式运用得不多。</w:t>
      </w:r>
    </w:p>
    <w:p>
      <w:pPr>
        <w:pStyle w:val="32"/>
        <w:shd w:val="clear" w:color="auto" w:fill="auto"/>
        <w:adjustRightInd w:val="0"/>
        <w:snapToGrid w:val="0"/>
        <w:ind w:firstLineChars="200" w:firstLine="624"/>
        <w:rPr>
          <w:shd w:val="clear" w:color="auto" w:fill="auto"/>
        </w:rPr>
      </w:pPr>
      <w:r>
        <w:rPr>
          <w:shd w:val="clear" w:color="auto" w:fill="auto"/>
        </w:rPr>
        <w:t>上述</w:t>
      </w:r>
      <w:r>
        <w:rPr>
          <w:rFonts w:hint="eastAsia"/>
          <w:shd w:val="clear" w:color="auto" w:fill="auto"/>
        </w:rPr>
        <w:t>问题在202</w:t>
      </w:r>
      <w:r>
        <w:rPr>
          <w:shd w:val="clear" w:color="auto" w:fill="auto"/>
        </w:rPr>
        <w:t>4</w:t>
      </w:r>
      <w:r>
        <w:rPr>
          <w:rFonts w:hint="eastAsia"/>
          <w:shd w:val="clear" w:color="auto" w:fill="auto"/>
        </w:rPr>
        <w:t>年</w:t>
      </w:r>
      <w:r>
        <w:rPr>
          <w:shd w:val="clear" w:color="auto" w:fill="auto"/>
        </w:rPr>
        <w:t>均</w:t>
      </w:r>
      <w:r>
        <w:rPr>
          <w:rFonts w:hint="eastAsia"/>
          <w:shd w:val="clear" w:color="auto" w:fill="auto"/>
        </w:rPr>
        <w:t>已采取措施完成整改：</w:t>
      </w:r>
      <w:r>
        <w:rPr>
          <w:shd w:val="clear" w:color="auto" w:fill="auto"/>
        </w:rPr>
        <w:t>大铲海关结合无居民海岛客观条件限制的实际情况，通过线上政策法规宣讲会、视频会等形式实时解答企业疑问，通过关级</w:t>
      </w:r>
      <w:r>
        <w:rPr>
          <w:rFonts w:hint="eastAsia"/>
          <w:shd w:val="clear" w:color="auto" w:fill="auto"/>
        </w:rPr>
        <w:t>专用</w:t>
      </w:r>
      <w:r>
        <w:rPr>
          <w:shd w:val="clear" w:color="auto" w:fill="auto"/>
        </w:rPr>
        <w:t>微信向船员推送相关法规制度</w:t>
      </w:r>
      <w:r>
        <w:rPr>
          <w:rFonts w:hint="eastAsia"/>
          <w:shd w:val="clear" w:color="auto" w:fill="auto"/>
        </w:rPr>
        <w:t>，解答燃油申报、行李携带等规定，向船员提供“一对一”政务公开服务</w:t>
      </w:r>
      <w:r>
        <w:rPr>
          <w:shd w:val="clear" w:color="auto" w:fill="auto"/>
        </w:rPr>
        <w:t>。</w:t>
      </w:r>
    </w:p>
    <w:p>
      <w:pPr>
        <w:pStyle w:val="33"/>
        <w:shd w:val="clear" w:color="auto" w:fill="auto"/>
        <w:adjustRightInd w:val="0"/>
        <w:snapToGrid w:val="0"/>
        <w:ind w:firstLineChars="200" w:firstLine="624"/>
        <w:rPr>
          <w:shd w:val="clear" w:color="auto" w:fill="auto"/>
        </w:rPr>
      </w:pPr>
      <w:r>
        <w:rPr>
          <w:rFonts w:eastAsia="方正楷体_GBK" w:hint="eastAsia"/>
          <w:b/>
          <w:bCs/>
          <w:shd w:val="clear" w:color="auto" w:fill="auto"/>
        </w:rPr>
        <w:t>（二）目前存在的问题。</w:t>
      </w:r>
    </w:p>
    <w:p>
      <w:pPr>
        <w:pStyle w:val="21"/>
        <w:shd w:val="clear" w:color="auto" w:fill="auto"/>
        <w:spacing w:line="560" w:lineRule="exact"/>
        <w:ind w:left="0"/>
        <w:rPr>
          <w:spacing w:val="-4"/>
          <w:szCs w:val="20"/>
          <w:shd w:val="clear" w:color="auto" w:fill="auto"/>
        </w:rPr>
      </w:pPr>
      <w:r>
        <w:rPr>
          <w:rFonts w:hint="eastAsia"/>
          <w:spacing w:val="-4"/>
          <w:szCs w:val="20"/>
          <w:shd w:val="clear" w:color="auto" w:fill="auto"/>
        </w:rPr>
        <w:t xml:space="preserve">    政府信息公开</w:t>
      </w:r>
      <w:r>
        <w:rPr>
          <w:spacing w:val="-4"/>
          <w:szCs w:val="20"/>
          <w:shd w:val="clear" w:color="auto" w:fill="auto"/>
        </w:rPr>
        <w:t>岗位人员专业水平有待加强，基层</w:t>
      </w:r>
      <w:r>
        <w:rPr>
          <w:rFonts w:hint="eastAsia"/>
          <w:spacing w:val="-4"/>
          <w:szCs w:val="20"/>
          <w:shd w:val="clear" w:color="auto" w:fill="auto"/>
        </w:rPr>
        <w:t>政务公开</w:t>
      </w:r>
      <w:r>
        <w:rPr>
          <w:spacing w:val="-4"/>
          <w:szCs w:val="20"/>
          <w:shd w:val="clear" w:color="auto" w:fill="auto"/>
        </w:rPr>
        <w:t>标准化规范化建设</w:t>
      </w:r>
      <w:r>
        <w:rPr>
          <w:rFonts w:hint="eastAsia"/>
          <w:spacing w:val="-4"/>
          <w:szCs w:val="20"/>
          <w:shd w:val="clear" w:color="auto" w:fill="auto"/>
        </w:rPr>
        <w:t>仍有提升空间</w:t>
      </w:r>
      <w:r>
        <w:rPr>
          <w:spacing w:val="-4"/>
          <w:szCs w:val="20"/>
          <w:shd w:val="clear" w:color="auto" w:fill="auto"/>
        </w:rPr>
        <w:t>。</w:t>
      </w:r>
    </w:p>
    <w:p>
      <w:pPr>
        <w:pStyle w:val="31"/>
        <w:widowControl/>
        <w:shd w:val="clear" w:color="auto" w:fill="auto"/>
        <w:spacing w:beforeAutospacing="0" w:afterAutospacing="0" w:line="560" w:lineRule="exact"/>
        <w:ind w:firstLineChars="200" w:firstLine="640"/>
        <w:jc w:val="both"/>
        <w:rPr>
          <w:rFonts w:eastAsia="方正黑体_GBK" w:cs="楷体_GB2312"/>
          <w:bCs/>
          <w:sz w:val="32"/>
          <w:szCs w:val="32"/>
          <w:shd w:val="clear" w:color="auto" w:fill="auto"/>
        </w:rPr>
      </w:pPr>
      <w:r>
        <w:rPr>
          <w:rFonts w:eastAsia="方正黑体_GBK" w:cs="楷体_GB2312" w:hint="eastAsia"/>
          <w:bCs/>
          <w:sz w:val="32"/>
          <w:szCs w:val="32"/>
          <w:shd w:val="clear" w:color="auto" w:fill="auto"/>
        </w:rPr>
        <w:t>六、其他需要报告的事项</w:t>
      </w:r>
    </w:p>
    <w:p>
      <w:pPr>
        <w:shd w:val="clear" w:color="auto" w:fill="auto"/>
        <w:spacing w:line="560" w:lineRule="exact"/>
        <w:ind w:firstLineChars="200" w:firstLine="624"/>
        <w:rPr>
          <w:rFonts w:ascii="Times New Roman" w:eastAsia="方正仿宋_GBK" w:cs="Times New Roman" w:hAnsi="Times New Roman"/>
          <w:spacing w:val="-4"/>
          <w:sz w:val="32"/>
          <w:szCs w:val="20"/>
          <w:shd w:val="clear" w:color="auto" w:fill="auto"/>
        </w:rPr>
      </w:pPr>
      <w:r>
        <w:rPr>
          <w:rFonts w:ascii="Times New Roman" w:eastAsia="方正仿宋_GBK" w:cs="Times New Roman" w:hAnsi="Times New Roman" w:hint="eastAsia"/>
          <w:spacing w:val="-4"/>
          <w:sz w:val="32"/>
          <w:szCs w:val="20"/>
          <w:shd w:val="clear" w:color="auto" w:fill="auto"/>
        </w:rPr>
        <w:t>大铲海关严格按照《国务院办公厅关于印发〈政府信息公开信息处理费管理办法〉的通知》，规范政府信息公开信息处理费收取工作，202</w:t>
      </w:r>
      <w:r>
        <w:rPr>
          <w:rFonts w:ascii="Times New Roman" w:eastAsia="方正仿宋_GBK" w:cs="Times New Roman" w:hAnsi="Times New Roman"/>
          <w:spacing w:val="-4"/>
          <w:sz w:val="32"/>
          <w:szCs w:val="20"/>
          <w:shd w:val="clear" w:color="auto" w:fill="auto"/>
        </w:rPr>
        <w:t>4</w:t>
      </w:r>
      <w:r>
        <w:rPr>
          <w:rFonts w:ascii="Times New Roman" w:eastAsia="方正仿宋_GBK" w:cs="Times New Roman" w:hAnsi="Times New Roman" w:hint="eastAsia"/>
          <w:spacing w:val="-4"/>
          <w:sz w:val="32"/>
          <w:szCs w:val="20"/>
          <w:shd w:val="clear" w:color="auto" w:fill="auto"/>
        </w:rPr>
        <w:t>年未收取政府信息公开</w:t>
      </w:r>
      <w:r>
        <w:rPr>
          <w:rFonts w:ascii="Times New Roman" w:eastAsia="方正仿宋_GBK" w:cs="Times New Roman" w:hAnsi="Times New Roman"/>
          <w:spacing w:val="-4"/>
          <w:sz w:val="32"/>
          <w:szCs w:val="20"/>
          <w:shd w:val="clear" w:color="auto" w:fill="auto"/>
        </w:rPr>
        <w:t>信息处理</w:t>
      </w:r>
      <w:r>
        <w:rPr>
          <w:rFonts w:ascii="Times New Roman" w:eastAsia="方正仿宋_GBK" w:cs="Times New Roman" w:hAnsi="Times New Roman" w:hint="eastAsia"/>
          <w:spacing w:val="-4"/>
          <w:sz w:val="32"/>
          <w:szCs w:val="20"/>
          <w:shd w:val="clear" w:color="auto" w:fill="auto"/>
        </w:rPr>
        <w:t>费。</w:t>
      </w:r>
    </w:p>
    <w:sectPr>
      <w:footerReference w:type="default" r:id="rId2"/>
      <w:pgSz w:w="11907" w:h="16840"/>
      <w:pgMar w:top="1928" w:right="1588" w:bottom="1588" w:left="1588" w:header="851" w:footer="992" w:gutter="0"/>
      <w:pgNumType w:fmt="numberInDash"/>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E0002EFF" w:usb1="C000785B" w:usb2="00000009" w:usb3="00000000" w:csb0="000001FF" w:csb1="00000000"/>
  </w:font>
  <w:font w:name="方正小标宋_GBK">
    <w:altName w:val="微软雅黑"/>
    <w:panose1 w:val="03000509000000000000"/>
    <w:charset w:val="86"/>
    <w:family w:val="script"/>
    <w:pitch w:val="variable"/>
    <w:sig w:usb0="00000001" w:usb1="080E0000" w:usb2="00000010" w:usb3="00000000" w:csb0="00040000" w:csb1="00000000"/>
  </w:font>
  <w:font w:name="方正黑体_GBK">
    <w:altName w:val="微软雅黑"/>
    <w:panose1 w:val="03000509000000000000"/>
    <w:charset w:val="86"/>
    <w:family w:val="script"/>
    <w:pitch w:val="variable"/>
    <w:sig w:usb0="00000001" w:usb1="080E0000" w:usb2="00000010" w:usb3="00000000" w:csb0="00040000" w:csb1="00000000"/>
  </w:font>
  <w:font w:name="楷体_GB2312">
    <w:altName w:val="楷体"/>
    <w:panose1 w:val="00000000000000000000"/>
    <w:charset w:val="00"/>
    <w:family w:val="auto"/>
    <w:pitch w:val="variable"/>
    <w:sig w:usb0="00000000" w:usb1="00000000" w:usb2="00000000" w:usb3="00000000" w:csb0="00040001" w:csb1="00000000"/>
  </w:font>
  <w:font w:name="方正仿宋_GBK">
    <w:altName w:val="微软雅黑"/>
    <w:panose1 w:val="03000509000000000000"/>
    <w:charset w:val="86"/>
    <w:family w:val="script"/>
    <w:pitch w:val="variable"/>
    <w:sig w:usb0="00000001" w:usb1="080E0000" w:usb2="00000010" w:usb3="00000000" w:csb0="00040000" w:csb1="00000000"/>
  </w:font>
  <w:font w:name="方正楷体_GBK">
    <w:altName w:val="微软雅黑"/>
    <w:panose1 w:val="03000509000000000000"/>
    <w:charset w:val="86"/>
    <w:family w:val="script"/>
    <w:pitch w:val="variable"/>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楷体">
    <w:altName w:val="方正楷体_GBK"/>
    <w:panose1 w:val="02010609060101010101"/>
    <w:charset w:val="86"/>
    <w:family w:val="modern"/>
    <w:pitch w:val="variable"/>
    <w:sig w:usb0="800002BF" w:usb1="38CF7CFA" w:usb2="00000016" w:usb3="00000000" w:csb0="00040001" w:csb1="00000000"/>
  </w:font>
  <w:font w:name="等线">
    <w:altName w:val="方正黑体_GBK"/>
    <w:panose1 w:val="02010600030101010101"/>
    <w:charset w:val="86"/>
    <w:family w:val="auto"/>
    <w:pitch w:val="variable"/>
    <w:sig w:usb0="A00002BF" w:usb1="38CF7CFA" w:usb2="00000016" w:usb3="00000000" w:csb0="0004000F" w:csb1="00000000"/>
  </w:font>
  <w:font w:name="Arial">
    <w:altName w:val="DejaVu Sans"/>
    <w:panose1 w:val="020B0604020202020204"/>
    <w:charset w:val="00"/>
    <w:family w:val="auto"/>
    <w:pitch w:val="variable"/>
    <w:sig w:usb0="00007A87" w:usb1="80000000" w:usb2="00000008" w:usb3="00000000" w:csb0="400001FF" w:csb1="FFFF0000"/>
  </w:font>
  <w:font w:name="黑体">
    <w:altName w:val="华文细黑"/>
    <w:panose1 w:val="02010600040101010101"/>
    <w:charset w:val="86"/>
    <w:family w:val="auto"/>
    <w:pitch w:val="variable"/>
    <w:sig w:usb0="00000287" w:usb1="080F0000" w:usb2="00000000" w:usb3="00000000" w:csb0="0004009F" w:csb1="DFD7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tabs>
        <w:tab w:val="center" w:pos="4153"/>
        <w:tab w:val="right" w:pos="8306"/>
      </w:tabs>
      <w:jc w:val="center"/>
      <w:rPr>
        <w:rFonts w:hint="eastAsia"/>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Pr>
        <w:rFonts w:ascii="Times New Roman" w:hAnsi="Times New Roman"/>
        <w:sz w:val="24"/>
        <w:szCs w:val="24"/>
        <w:lang w:val="zh-CN"/>
      </w:rPr>
      <w:t>2</w:t>
    </w:r>
    <w:r>
      <w:rPr>
        <w:rFonts w:ascii="Times New Roman" w:hAnsi="Times New Roman"/>
        <w:sz w:val="24"/>
        <w:szCs w:val="24"/>
      </w:rPr>
      <w:fldChar w:fldCharType="end"/>
    </w:r>
  </w:p>
  <w:p>
    <w:pPr>
      <w:pStyle w:val="16"/>
      <w:tabs>
        <w:tab w:val="center" w:pos="4153"/>
        <w:tab w:val="right" w:pos="8306"/>
      </w:tabs>
      <w:rPr>
        <w:rFonts w:hint="eastAsia"/>
      </w:rPr>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85"/>
  <w:doNotDisplayPageBoundarie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等线" w:eastAsia="等线" w:cs="Arial"/>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header"/>
    <w:basedOn w:val="0"/>
    <w:pPr>
      <w:tabs>
        <w:tab w:val="center" w:pos="4153"/>
        <w:tab w:val="right" w:pos="8306"/>
      </w:tabs>
      <w:snapToGrid w:val="0"/>
      <w:jc w:val="center"/>
    </w:pPr>
    <w:rPr>
      <w:sz w:val="18"/>
      <w:szCs w:val="18"/>
    </w:rPr>
  </w:style>
  <w:style w:type="paragraph" w:styleId="16">
    <w:name w:val="footer"/>
    <w:basedOn w:val="0"/>
    <w:pPr>
      <w:tabs>
        <w:tab w:val="center" w:pos="4153"/>
        <w:tab w:val="right" w:pos="8306"/>
      </w:tabs>
      <w:snapToGrid w:val="0"/>
      <w:jc w:val="left"/>
    </w:pPr>
    <w:rPr>
      <w:sz w:val="18"/>
      <w:szCs w:val="18"/>
    </w:rPr>
  </w:style>
  <w:style w:type="paragraph" w:customStyle="1" w:styleId="17">
    <w:name w:val="样式 50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18">
    <w:name w:val="样式 小四"/>
    <w:pPr>
      <w:widowControl w:val="0"/>
      <w:spacing w:beforeAutospacing="1" w:afterAutospacing="1"/>
    </w:pPr>
    <w:rPr>
      <w:rFonts w:ascii="Times New Roman" w:eastAsia="宋体" w:cs="Times New Roman" w:hAnsi="Times New Roman"/>
      <w:kern w:val="0"/>
      <w:sz w:val="24"/>
      <w:szCs w:val="30"/>
      <w:lang w:val="en-US" w:eastAsia="zh-CN" w:bidi="ar-SA"/>
    </w:rPr>
  </w:style>
  <w:style w:type="paragraph" w:customStyle="1" w:styleId="19">
    <w:name w:val="样式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20">
    <w:name w:val="List Paragraph"/>
    <w:basedOn w:val="0"/>
    <w:pPr>
      <w:ind w:firstLineChars="200" w:firstLine="200"/>
    </w:pPr>
  </w:style>
  <w:style w:type="paragraph" w:styleId="21">
    <w:name w:val="index 7"/>
    <w:basedOn w:val="0"/>
    <w:autoRedefine/>
    <w:next w:val="0"/>
    <w:pPr>
      <w:ind w:left="2520"/>
    </w:pPr>
    <w:rPr>
      <w:rFonts w:ascii="Times New Roman" w:eastAsia="方正仿宋_GBK" w:cs="Times New Roman" w:hAnsi="Times New Roman"/>
      <w:sz w:val="32"/>
    </w:rPr>
  </w:style>
  <w:style w:type="paragraph" w:styleId="22">
    <w:name w:val="Normal (Web)"/>
    <w:next w:val="29"/>
    <w:pPr>
      <w:widowControl w:val="0"/>
      <w:spacing w:before="100" w:beforeAutospacing="1" w:after="100" w:afterAutospacing="1"/>
      <w:jc w:val="left"/>
    </w:pPr>
    <w:rPr>
      <w:rFonts w:ascii="Times New Roman" w:eastAsia="宋体" w:cs="Times New Roman" w:hAnsi="Times New Roman"/>
      <w:kern w:val="0"/>
      <w:sz w:val="24"/>
      <w:szCs w:val="24"/>
      <w:lang w:val="en-US" w:eastAsia="zh-CN" w:bidi="ar-SA"/>
    </w:rPr>
  </w:style>
  <w:style w:type="paragraph" w:customStyle="1" w:styleId="23">
    <w:name w:val="样式 6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24">
    <w:name w:val="正文5"/>
    <w:pPr>
      <w:widowControl w:val="0"/>
      <w:jc w:val="both"/>
    </w:pPr>
    <w:rPr>
      <w:rFonts w:ascii="Times New Roman" w:eastAsia="方正仿宋_GBK" w:cs="Times New Roman" w:hAnsi="Times New Roman"/>
      <w:kern w:val="2"/>
      <w:sz w:val="32"/>
      <w:szCs w:val="20"/>
      <w:lang w:val="en-US" w:eastAsia="zh-CN" w:bidi="ar-SA"/>
    </w:rPr>
  </w:style>
  <w:style w:type="paragraph" w:customStyle="1" w:styleId="25">
    <w:name w:val="样式 1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26">
    <w:name w:val="样式 小三"/>
    <w:pPr>
      <w:widowControl w:val="0"/>
      <w:jc w:val="both"/>
    </w:pPr>
    <w:rPr>
      <w:rFonts w:ascii="Times New Roman" w:eastAsia="宋体" w:cs="Times New Roman" w:hAnsi="Times New Roman"/>
      <w:kern w:val="2"/>
      <w:sz w:val="30"/>
      <w:szCs w:val="30"/>
      <w:lang w:val="en-US" w:eastAsia="zh-CN" w:bidi="ar-SA"/>
    </w:rPr>
  </w:style>
  <w:style w:type="paragraph" w:customStyle="1" w:styleId="27">
    <w:name w:val="样式 5 小三"/>
    <w:pPr>
      <w:widowControl w:val="0"/>
      <w:jc w:val="both"/>
    </w:pPr>
    <w:rPr>
      <w:rFonts w:ascii="Times New Roman" w:eastAsia="宋体" w:cs="Times New Roman" w:hAnsi="Times New Roman"/>
      <w:kern w:val="2"/>
      <w:sz w:val="30"/>
      <w:szCs w:val="30"/>
      <w:lang w:val="en-US" w:eastAsia="zh-CN" w:bidi="ar-SA"/>
    </w:rPr>
  </w:style>
  <w:style w:type="paragraph" w:customStyle="1" w:styleId="28">
    <w:name w:val="样式 16 小三"/>
    <w:pPr>
      <w:widowControl w:val="0"/>
      <w:jc w:val="both"/>
    </w:pPr>
    <w:rPr>
      <w:rFonts w:ascii="Times New Roman" w:eastAsia="宋体" w:cs="Times New Roman" w:hAnsi="Times New Roman"/>
      <w:kern w:val="2"/>
      <w:sz w:val="30"/>
      <w:szCs w:val="30"/>
      <w:lang w:val="en-US" w:eastAsia="zh-CN" w:bidi="ar-SA"/>
    </w:rPr>
  </w:style>
  <w:style w:type="paragraph" w:customStyle="1" w:styleId="29">
    <w:name w:val="样式 8 小三"/>
    <w:pPr>
      <w:widowControl w:val="0"/>
      <w:jc w:val="both"/>
    </w:pPr>
    <w:rPr>
      <w:rFonts w:ascii="Times New Roman" w:eastAsia="宋体" w:cs="Times New Roman" w:hAnsi="Times New Roman"/>
      <w:kern w:val="2"/>
      <w:sz w:val="30"/>
      <w:szCs w:val="30"/>
      <w:lang w:val="en-US" w:eastAsia="zh-CN" w:bidi="ar-SA"/>
    </w:rPr>
  </w:style>
  <w:style w:type="paragraph" w:customStyle="1" w:styleId="30">
    <w:name w:val="样式 12 小三"/>
    <w:pPr>
      <w:widowControl w:val="0"/>
      <w:jc w:val="both"/>
    </w:pPr>
    <w:rPr>
      <w:rFonts w:ascii="Times New Roman" w:eastAsia="宋体" w:cs="Times New Roman" w:hAnsi="Times New Roman"/>
      <w:kern w:val="2"/>
      <w:sz w:val="30"/>
      <w:szCs w:val="30"/>
      <w:lang w:val="en-US" w:eastAsia="zh-CN" w:bidi="ar-SA"/>
    </w:rPr>
  </w:style>
  <w:style w:type="paragraph" w:customStyle="1" w:styleId="31">
    <w:name w:val="样式 1 小四"/>
    <w:pPr>
      <w:widowControl w:val="0"/>
      <w:spacing w:beforeAutospacing="1" w:afterAutospacing="1"/>
    </w:pPr>
    <w:rPr>
      <w:rFonts w:ascii="Times New Roman" w:eastAsia="宋体" w:cs="Times New Roman" w:hAnsi="Times New Roman"/>
      <w:kern w:val="0"/>
      <w:sz w:val="24"/>
      <w:szCs w:val="30"/>
      <w:lang w:val="en-US" w:eastAsia="zh-CN" w:bidi="ar-SA"/>
    </w:rPr>
  </w:style>
  <w:style w:type="paragraph" w:customStyle="1" w:styleId="32">
    <w:name w:val="样式 8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33">
    <w:name w:val="样式 13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styleId="34">
    <w:name w:val="Body Text Indent"/>
    <w:basedOn w:val="0"/>
    <w:pPr>
      <w:spacing w:after="120"/>
      <w:ind w:leftChars="200" w:left="200"/>
    </w:pPr>
  </w:style>
  <w:style w:type="character" w:styleId="35">
    <w:name w:val="Hyperlink"/>
    <w:basedOn w:val="10"/>
    <w:rPr>
      <w:color w:val="467886"/>
      <w:u w:val="single"/>
    </w:rPr>
  </w:style>
  <w:style w:type="character" w:customStyle="1" w:styleId="36">
    <w:name w:val="Unresolved Mention"/>
    <w:basedOn w:val="10"/>
    <w:rPr>
      <w:color w:val="605E5C"/>
      <w:shd w:val="clear" w:color="auto" w:fill="E1DFDD"/>
    </w:rPr>
  </w:style>
  <w:style w:type="paragraph" w:styleId="37">
    <w:name w:val="annotation text"/>
    <w:basedOn w:val="0"/>
    <w:pPr>
      <w:jc w:val="left"/>
    </w:pPr>
  </w:style>
  <w:style w:type="paragraph" w:styleId="38">
    <w:name w:val="annotation subject"/>
    <w:basedOn w:val="37"/>
    <w:next w:val="37"/>
    <w:rPr>
      <w:b/>
    </w:rPr>
  </w:style>
  <w:style w:type="paragraph" w:customStyle="1" w:styleId="39">
    <w:name w:val="样式 2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40">
    <w:name w:val="样式 3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41">
    <w:name w:val="样式 2 小四"/>
    <w:pPr>
      <w:widowControl w:val="0"/>
    </w:pPr>
    <w:rPr>
      <w:rFonts w:ascii="宋体" w:eastAsia="宋体" w:cs="Times New Roman"/>
      <w:kern w:val="2"/>
      <w:sz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522</TotalTime>
  <Application>Yozo_Office</Application>
  <Pages>7</Pages>
  <Words>2537</Words>
  <Characters>2626</Characters>
  <Lines>439</Lines>
  <Paragraphs>313</Paragraphs>
  <CharactersWithSpaces>2631</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571542981@qq.com</dc:creator>
  <cp:lastModifiedBy>刘书华</cp:lastModifiedBy>
  <cp:revision>402</cp:revision>
  <dcterms:created xsi:type="dcterms:W3CDTF">2025-01-06T00:51:00Z</dcterms:created>
  <dcterms:modified xsi:type="dcterms:W3CDTF">2025-01-26T07:52:23Z</dcterms:modified>
</cp:coreProperties>
</file>