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39"/>
        <w:shd w:val="clear" w:color="auto" w:fill="auto"/>
        <w:spacing w:line="580" w:lineRule="exact"/>
        <w:jc w:val="center"/>
        <w:rPr>
          <w:rFonts w:ascii="方正小标宋_GBK" w:eastAsia="方正小标宋_GBK" w:cs="方正小标宋_GBK"/>
          <w:sz w:val="44"/>
          <w:szCs w:val="44"/>
          <w:shd w:val="clear" w:color="auto" w:fill="auto"/>
        </w:rPr>
      </w:pPr>
      <w:bookmarkStart w:id="0" w:name="_Hlk25540369"/>
      <w:bookmarkStart w:id="1" w:name="cogw__正文__file"/>
      <w:r>
        <w:rPr>
          <w:rFonts w:ascii="方正小标宋_GBK" w:eastAsia="方正小标宋_GBK" w:cs="方正小标宋_GBK"/>
          <w:sz w:val="44"/>
          <w:szCs w:val="44"/>
          <w:shd w:val="clear" w:color="auto" w:fill="auto"/>
        </w:rPr>
        <w:t>清远</w:t>
      </w:r>
      <w:r>
        <w:rPr>
          <w:rFonts w:ascii="方正小标宋_GBK" w:eastAsia="方正小标宋_GBK" w:cs="方正小标宋_GBK" w:hint="eastAsia"/>
          <w:sz w:val="44"/>
          <w:szCs w:val="44"/>
          <w:shd w:val="clear" w:color="auto" w:fill="auto"/>
        </w:rPr>
        <w:t>海关2024年政府信息公开工作年度报告</w:t>
      </w:r>
      <w:bookmarkEnd w:id="0"/>
    </w:p>
    <w:p>
      <w:pPr>
        <w:pStyle w:val="80"/>
        <w:widowControl/>
        <w:shd w:val="clear" w:color="auto" w:fill="auto"/>
        <w:adjustRightInd w:val="0"/>
        <w:snapToGrid w:val="0"/>
        <w:spacing w:beforeAutospacing="0" w:afterAutospacing="0" w:line="560" w:lineRule="exact"/>
        <w:ind w:firstLineChars="200" w:firstLine="640"/>
        <w:jc w:val="both"/>
        <w:rPr>
          <w:rFonts w:ascii="方正仿宋_GBK" w:eastAsia="方正仿宋_GBK"/>
          <w:bCs/>
          <w:sz w:val="32"/>
          <w:szCs w:val="32"/>
          <w:shd w:val="clear" w:color="auto" w:fill="auto"/>
        </w:rPr>
      </w:pPr>
    </w:p>
    <w:p>
      <w:pPr>
        <w:pStyle w:val="80"/>
        <w:widowControl/>
        <w:shd w:val="clear" w:color="auto" w:fill="auto"/>
        <w:adjustRightInd w:val="0"/>
        <w:snapToGrid w:val="0"/>
        <w:spacing w:beforeAutospacing="0" w:afterAutospacing="0" w:line="560" w:lineRule="exact"/>
        <w:ind w:firstLineChars="200" w:firstLine="640"/>
        <w:jc w:val="both"/>
        <w:rPr>
          <w:rFonts w:ascii="方正仿宋_GBK" w:eastAsia="方正仿宋_GBK"/>
          <w:bCs/>
          <w:sz w:val="32"/>
          <w:szCs w:val="32"/>
          <w:shd w:val="clear" w:color="auto" w:fill="auto"/>
        </w:rPr>
      </w:pPr>
      <w:r>
        <w:rPr>
          <w:rFonts w:ascii="方正仿宋_GBK" w:eastAsia="方正仿宋_GBK" w:hint="eastAsia"/>
          <w:bCs/>
          <w:sz w:val="32"/>
          <w:szCs w:val="32"/>
          <w:shd w:val="clear" w:color="auto" w:fill="auto"/>
        </w:rPr>
        <w:t>根据《中华人民共和国政府信息公开条例》《国务院办公厅政府信息与政务公开办公室关于政府信息公开工作年度报告有关事项的通知》《国务院办公厅政府信息与政务公开办公室关于印发〈中华人民共和国政府信息公开工作年度报告格式〉的通知》等规定，梳理编制</w:t>
      </w:r>
      <w:r>
        <w:rPr>
          <w:rFonts w:ascii="方正仿宋_GBK" w:eastAsia="方正仿宋_GBK"/>
          <w:bCs/>
          <w:sz w:val="32"/>
          <w:szCs w:val="32"/>
          <w:shd w:val="clear" w:color="auto" w:fill="auto"/>
        </w:rPr>
        <w:t>清远</w:t>
      </w:r>
      <w:r>
        <w:rPr>
          <w:rFonts w:ascii="方正仿宋_GBK" w:eastAsia="方正仿宋_GBK" w:hint="eastAsia"/>
          <w:bCs/>
          <w:sz w:val="32"/>
          <w:szCs w:val="32"/>
          <w:shd w:val="clear" w:color="auto" w:fill="auto"/>
        </w:rPr>
        <w:t>海关</w:t>
      </w:r>
      <w:r>
        <w:rPr>
          <w:rFonts w:eastAsia="方正仿宋_GBK"/>
          <w:bCs/>
          <w:sz w:val="32"/>
          <w:szCs w:val="32"/>
          <w:shd w:val="clear" w:color="auto" w:fill="auto"/>
        </w:rPr>
        <w:t>2024</w:t>
      </w:r>
      <w:r>
        <w:rPr>
          <w:rFonts w:ascii="方正仿宋_GBK" w:eastAsia="方正仿宋_GBK" w:hint="eastAsia"/>
          <w:bCs/>
          <w:sz w:val="32"/>
          <w:szCs w:val="32"/>
          <w:shd w:val="clear" w:color="auto" w:fill="auto"/>
        </w:rPr>
        <w:t>年政府信息公开工作年报。年报中所列数据的统计期限，自</w:t>
      </w:r>
      <w:r>
        <w:rPr>
          <w:rFonts w:eastAsia="方正仿宋_GBK"/>
          <w:bCs/>
          <w:sz w:val="32"/>
          <w:szCs w:val="32"/>
          <w:shd w:val="clear" w:color="auto" w:fill="auto"/>
        </w:rPr>
        <w:t>2024</w:t>
      </w:r>
      <w:r>
        <w:rPr>
          <w:rFonts w:ascii="方正仿宋_GBK" w:eastAsia="方正仿宋_GBK" w:hint="eastAsia"/>
          <w:bCs/>
          <w:sz w:val="32"/>
          <w:szCs w:val="32"/>
          <w:shd w:val="clear" w:color="auto" w:fill="auto"/>
        </w:rPr>
        <w:t>年</w:t>
      </w:r>
      <w:r>
        <w:rPr>
          <w:rFonts w:eastAsia="方正仿宋_GBK"/>
          <w:bCs/>
          <w:sz w:val="32"/>
          <w:szCs w:val="32"/>
          <w:shd w:val="clear" w:color="auto" w:fill="auto"/>
        </w:rPr>
        <w:t>1</w:t>
      </w:r>
      <w:r>
        <w:rPr>
          <w:rFonts w:ascii="方正仿宋_GBK" w:eastAsia="方正仿宋_GBK" w:hint="eastAsia"/>
          <w:bCs/>
          <w:sz w:val="32"/>
          <w:szCs w:val="32"/>
          <w:shd w:val="clear" w:color="auto" w:fill="auto"/>
        </w:rPr>
        <w:t>月</w:t>
      </w:r>
      <w:r>
        <w:rPr>
          <w:rFonts w:eastAsia="方正仿宋_GBK"/>
          <w:bCs/>
          <w:sz w:val="32"/>
          <w:szCs w:val="32"/>
          <w:shd w:val="clear" w:color="auto" w:fill="auto"/>
        </w:rPr>
        <w:t>1</w:t>
      </w:r>
      <w:r>
        <w:rPr>
          <w:rFonts w:ascii="方正仿宋_GBK" w:eastAsia="方正仿宋_GBK" w:hint="eastAsia"/>
          <w:bCs/>
          <w:sz w:val="32"/>
          <w:szCs w:val="32"/>
          <w:shd w:val="clear" w:color="auto" w:fill="auto"/>
        </w:rPr>
        <w:t>日起至</w:t>
      </w:r>
      <w:r>
        <w:rPr>
          <w:rFonts w:eastAsia="方正仿宋_GBK"/>
          <w:bCs/>
          <w:sz w:val="32"/>
          <w:szCs w:val="32"/>
          <w:shd w:val="clear" w:color="auto" w:fill="auto"/>
        </w:rPr>
        <w:t>2024</w:t>
      </w:r>
      <w:r>
        <w:rPr>
          <w:rFonts w:ascii="方正仿宋_GBK" w:eastAsia="方正仿宋_GBK" w:hint="eastAsia"/>
          <w:bCs/>
          <w:sz w:val="32"/>
          <w:szCs w:val="32"/>
          <w:shd w:val="clear" w:color="auto" w:fill="auto"/>
        </w:rPr>
        <w:t>年</w:t>
      </w:r>
      <w:r>
        <w:rPr>
          <w:rFonts w:eastAsia="方正仿宋_GBK"/>
          <w:bCs/>
          <w:sz w:val="32"/>
          <w:szCs w:val="32"/>
          <w:shd w:val="clear" w:color="auto" w:fill="auto"/>
        </w:rPr>
        <w:t>12</w:t>
      </w:r>
      <w:r>
        <w:rPr>
          <w:rFonts w:ascii="方正仿宋_GBK" w:eastAsia="方正仿宋_GBK" w:hint="eastAsia"/>
          <w:bCs/>
          <w:sz w:val="32"/>
          <w:szCs w:val="32"/>
          <w:shd w:val="clear" w:color="auto" w:fill="auto"/>
        </w:rPr>
        <w:t>月</w:t>
      </w:r>
      <w:r>
        <w:rPr>
          <w:rFonts w:eastAsia="方正仿宋_GBK"/>
          <w:bCs/>
          <w:sz w:val="32"/>
          <w:szCs w:val="32"/>
          <w:shd w:val="clear" w:color="auto" w:fill="auto"/>
        </w:rPr>
        <w:t>31</w:t>
      </w:r>
      <w:r>
        <w:rPr>
          <w:rFonts w:ascii="方正仿宋_GBK" w:eastAsia="方正仿宋_GBK" w:hint="eastAsia"/>
          <w:bCs/>
          <w:sz w:val="32"/>
          <w:szCs w:val="32"/>
          <w:shd w:val="clear" w:color="auto" w:fill="auto"/>
        </w:rPr>
        <w:t>日止。如对本年报有疑问或有任何意见、建议，请联系清远海关办公室。地址：广东省清远市清城区北江三路</w:t>
      </w:r>
      <w:r>
        <w:rPr>
          <w:rFonts w:eastAsia="方正仿宋_GBK"/>
          <w:bCs/>
          <w:sz w:val="32"/>
          <w:szCs w:val="32"/>
          <w:shd w:val="clear" w:color="auto" w:fill="auto"/>
        </w:rPr>
        <w:t>13</w:t>
      </w:r>
      <w:r>
        <w:rPr>
          <w:rFonts w:ascii="方正仿宋_GBK" w:eastAsia="方正仿宋_GBK" w:hint="eastAsia"/>
          <w:bCs/>
          <w:sz w:val="32"/>
          <w:szCs w:val="32"/>
          <w:shd w:val="clear" w:color="auto" w:fill="auto"/>
        </w:rPr>
        <w:t>号；邮编：</w:t>
      </w:r>
      <w:r>
        <w:rPr>
          <w:rFonts w:eastAsia="方正仿宋_GBK"/>
          <w:bCs/>
          <w:sz w:val="32"/>
          <w:szCs w:val="32"/>
          <w:shd w:val="clear" w:color="auto" w:fill="auto"/>
        </w:rPr>
        <w:t>511515</w:t>
      </w:r>
      <w:r>
        <w:rPr>
          <w:rFonts w:ascii="方正仿宋_GBK" w:eastAsia="方正仿宋_GBK" w:hint="eastAsia"/>
          <w:bCs/>
          <w:sz w:val="32"/>
          <w:szCs w:val="32"/>
          <w:shd w:val="clear" w:color="auto" w:fill="auto"/>
        </w:rPr>
        <w:t>；电话：</w:t>
      </w:r>
      <w:r>
        <w:rPr>
          <w:rFonts w:eastAsia="方正仿宋_GBK"/>
          <w:bCs/>
          <w:sz w:val="32"/>
          <w:szCs w:val="32"/>
          <w:shd w:val="clear" w:color="auto" w:fill="auto"/>
        </w:rPr>
        <w:t>0763-3855086</w:t>
      </w:r>
      <w:r>
        <w:rPr>
          <w:rFonts w:ascii="方正仿宋_GBK" w:eastAsia="方正仿宋_GBK" w:hint="eastAsia"/>
          <w:bCs/>
          <w:sz w:val="32"/>
          <w:szCs w:val="32"/>
          <w:shd w:val="clear" w:color="auto" w:fill="auto"/>
        </w:rPr>
        <w:t>；电子邮箱：</w:t>
      </w:r>
      <w:r>
        <w:rPr>
          <w:rFonts w:eastAsia="方正仿宋_GBK"/>
          <w:bCs/>
          <w:color w:val="000000"/>
          <w:sz w:val="32"/>
          <w:szCs w:val="32"/>
          <w:shd w:val="clear" w:color="auto" w:fill="auto"/>
        </w:rPr>
        <w:t>qy3855091@customs.gov.cn</w:t>
      </w:r>
      <w:r>
        <w:rPr>
          <w:rFonts w:ascii="方正仿宋_GBK" w:eastAsia="方正仿宋_GBK" w:hint="eastAsia"/>
          <w:bCs/>
          <w:sz w:val="32"/>
          <w:szCs w:val="32"/>
          <w:shd w:val="clear" w:color="auto" w:fill="auto"/>
        </w:rPr>
        <w:t>。</w:t>
      </w:r>
    </w:p>
    <w:p>
      <w:pPr>
        <w:pStyle w:val="81"/>
        <w:widowControl/>
        <w:shd w:val="clear" w:color="auto" w:fill="auto"/>
        <w:adjustRightInd w:val="0"/>
        <w:snapToGrid w:val="0"/>
        <w:spacing w:beforeAutospacing="0" w:afterAutospacing="0" w:line="560" w:lineRule="exact"/>
        <w:ind w:firstLineChars="200" w:firstLine="640"/>
        <w:jc w:val="both"/>
        <w:rPr>
          <w:rFonts w:ascii="方正黑体_GBK" w:eastAsia="方正黑体_GBK" w:cs="楷体_GB2312"/>
          <w:bCs/>
          <w:sz w:val="32"/>
          <w:szCs w:val="32"/>
          <w:shd w:val="clear" w:color="auto" w:fill="auto"/>
        </w:rPr>
      </w:pPr>
      <w:r>
        <w:rPr>
          <w:rFonts w:ascii="方正黑体_GBK" w:eastAsia="方正黑体_GBK" w:cs="楷体_GB2312" w:hint="eastAsia"/>
          <w:bCs/>
          <w:sz w:val="32"/>
          <w:szCs w:val="32"/>
          <w:shd w:val="clear" w:color="auto" w:fill="auto"/>
        </w:rPr>
        <w:t>一、总体情况</w:t>
      </w:r>
    </w:p>
    <w:p>
      <w:pPr>
        <w:pStyle w:val="80"/>
        <w:widowControl/>
        <w:shd w:val="clear" w:color="auto" w:fill="auto"/>
        <w:adjustRightInd w:val="0"/>
        <w:snapToGrid w:val="0"/>
        <w:spacing w:beforeAutospacing="0" w:afterAutospacing="0" w:line="560" w:lineRule="exact"/>
        <w:ind w:firstLineChars="200" w:firstLine="640"/>
        <w:jc w:val="both"/>
        <w:rPr>
          <w:rFonts w:eastAsia="方正仿宋_GBK"/>
          <w:bCs/>
          <w:sz w:val="32"/>
          <w:szCs w:val="32"/>
          <w:shd w:val="clear" w:color="auto" w:fill="auto"/>
        </w:rPr>
      </w:pPr>
      <w:r>
        <w:rPr>
          <w:rFonts w:eastAsia="方正仿宋_GBK"/>
          <w:bCs/>
          <w:sz w:val="32"/>
          <w:szCs w:val="32"/>
          <w:shd w:val="clear" w:color="auto" w:fill="auto"/>
        </w:rPr>
        <w:t>2024年，清远海关以习近平新时代中国特色社会主义思想为指导，全面贯彻落实党的二十大和二十届二中、三中全会精神，深入学习贯彻习近平总书记</w:t>
      </w:r>
      <w:r>
        <w:rPr>
          <w:rFonts w:ascii="Times New Roman" w:eastAsia="方正仿宋_GBK" w:hAnsi="Times New Roman"/>
          <w:sz w:val="32"/>
          <w:szCs w:val="32"/>
          <w:shd w:val="clear" w:color="auto" w:fill="auto"/>
        </w:rPr>
        <w:t>重要指示批示和</w:t>
      </w:r>
      <w:r>
        <w:rPr>
          <w:rFonts w:eastAsia="方正仿宋_GBK"/>
          <w:bCs/>
          <w:sz w:val="32"/>
          <w:szCs w:val="32"/>
          <w:shd w:val="clear" w:color="auto" w:fill="auto"/>
        </w:rPr>
        <w:t>给红其拉甫海关全体关员重要回信精神，严格按照《中华人民共和国政府信息公开条例》等要求，坚持新时代政务公开工作理念，深入推进基层政务公开标准化规范化建设，通过开展</w:t>
      </w:r>
      <w:r>
        <w:rPr>
          <w:rFonts w:eastAsia="方正仿宋_GBK" w:hint="eastAsia"/>
          <w:sz w:val="32"/>
          <w:szCs w:val="32"/>
          <w:shd w:val="clear" w:color="auto" w:fill="auto"/>
        </w:rPr>
        <w:t>“我陪群众走流程”政务服务提升行动</w:t>
      </w:r>
      <w:r>
        <w:rPr>
          <w:rFonts w:eastAsia="方正仿宋_GBK"/>
          <w:sz w:val="32"/>
          <w:szCs w:val="32"/>
          <w:shd w:val="clear" w:color="auto" w:fill="auto"/>
        </w:rPr>
        <w:t>持续夯实相关工作</w:t>
      </w:r>
      <w:r>
        <w:rPr>
          <w:rFonts w:eastAsia="方正仿宋_GBK"/>
          <w:bCs/>
          <w:sz w:val="32"/>
          <w:szCs w:val="32"/>
          <w:shd w:val="clear" w:color="auto" w:fill="auto"/>
        </w:rPr>
        <w:t>。现将工作情况报告如下：</w:t>
      </w:r>
    </w:p>
    <w:p>
      <w:pPr>
        <w:pStyle w:val="82"/>
        <w:shd w:val="clear" w:color="auto" w:fill="auto"/>
        <w:spacing w:line="560" w:lineRule="exact"/>
        <w:ind w:firstLineChars="200" w:firstLine="640"/>
        <w:rPr>
          <w:rFonts w:ascii="方正仿宋_GBK" w:eastAsia="方正仿宋_GBK"/>
          <w:spacing w:val="-4"/>
          <w:sz w:val="32"/>
          <w:szCs w:val="32"/>
          <w:shd w:val="clear" w:color="auto" w:fill="auto"/>
        </w:rPr>
      </w:pPr>
      <w:r>
        <w:rPr>
          <w:rFonts w:ascii="方正楷体_GBK" w:eastAsia="方正楷体_GBK" w:hint="eastAsia"/>
          <w:b/>
          <w:bCs/>
          <w:sz w:val="32"/>
          <w:szCs w:val="32"/>
          <w:shd w:val="clear" w:color="auto" w:fill="auto"/>
        </w:rPr>
        <w:t>（一）</w:t>
      </w:r>
      <w:r>
        <w:rPr>
          <w:rFonts w:ascii="方正楷体_GBK" w:eastAsia="方正楷体_GBK"/>
          <w:b/>
          <w:bCs/>
          <w:sz w:val="32"/>
          <w:szCs w:val="32"/>
          <w:shd w:val="clear" w:color="auto" w:fill="auto"/>
        </w:rPr>
        <w:t>细致</w:t>
      </w:r>
      <w:r>
        <w:rPr>
          <w:rFonts w:ascii="方正楷体_GBK" w:eastAsia="方正楷体_GBK" w:hint="eastAsia"/>
          <w:b/>
          <w:bCs/>
          <w:sz w:val="32"/>
          <w:szCs w:val="32"/>
          <w:shd w:val="clear" w:color="auto" w:fill="auto"/>
        </w:rPr>
        <w:t>做好主动公开</w:t>
      </w:r>
      <w:r>
        <w:rPr>
          <w:rFonts w:ascii="方正楷体_GBK" w:eastAsia="方正楷体_GBK"/>
          <w:b/>
          <w:bCs/>
          <w:sz w:val="32"/>
          <w:szCs w:val="32"/>
          <w:shd w:val="clear" w:color="auto" w:fill="auto"/>
        </w:rPr>
        <w:t>工作</w:t>
      </w:r>
      <w:r>
        <w:rPr>
          <w:rFonts w:ascii="方正楷体_GBK" w:eastAsia="方正楷体_GBK" w:hint="eastAsia"/>
          <w:b/>
          <w:bCs/>
          <w:sz w:val="32"/>
          <w:szCs w:val="32"/>
          <w:shd w:val="clear" w:color="auto" w:fill="auto"/>
        </w:rPr>
        <w:t>。</w:t>
      </w:r>
    </w:p>
    <w:p>
      <w:pPr>
        <w:pStyle w:val="83"/>
        <w:shd w:val="clear" w:color="auto" w:fill="auto"/>
        <w:spacing w:line="560" w:lineRule="exact"/>
        <w:ind w:firstLineChars="200" w:firstLine="624"/>
        <w:rPr>
          <w:rFonts w:ascii="方正楷体_GBK" w:eastAsia="方正楷体_GBK"/>
          <w:b/>
          <w:bCs/>
          <w:sz w:val="32"/>
          <w:szCs w:val="32"/>
          <w:shd w:val="clear" w:color="auto" w:fill="auto"/>
        </w:rPr>
      </w:pPr>
      <w:bookmarkEnd w:id="1"/>
      <w:r>
        <w:rPr>
          <w:rFonts w:ascii="方正仿宋_GBK" w:eastAsia="方正仿宋_GBK"/>
          <w:spacing w:val="-4"/>
          <w:sz w:val="32"/>
          <w:szCs w:val="32"/>
          <w:shd w:val="clear" w:color="auto" w:fill="auto"/>
        </w:rPr>
        <w:t>通过广州海关门户网站、</w:t>
      </w:r>
      <w:r>
        <w:rPr>
          <w:rFonts w:ascii="方正仿宋_GBK" w:eastAsia="方正仿宋_GBK" w:hint="eastAsia"/>
          <w:spacing w:val="-4"/>
          <w:sz w:val="32"/>
          <w:szCs w:val="32"/>
          <w:shd w:val="clear" w:color="auto" w:fill="auto"/>
        </w:rPr>
        <w:t>“</w:t>
      </w:r>
      <w:r>
        <w:rPr>
          <w:rFonts w:ascii="方正仿宋_GBK" w:eastAsia="方正仿宋_GBK"/>
          <w:spacing w:val="-4"/>
          <w:sz w:val="32"/>
          <w:szCs w:val="32"/>
          <w:shd w:val="clear" w:color="auto" w:fill="auto"/>
        </w:rPr>
        <w:t>广州海关</w:t>
      </w:r>
      <w:r>
        <w:rPr>
          <w:rFonts w:ascii="Times New Roman" w:eastAsia="方正仿宋_GBK" w:cs="Times New Roman" w:hAnsi="Times New Roman"/>
          <w:spacing w:val="-4"/>
          <w:sz w:val="32"/>
          <w:szCs w:val="32"/>
          <w:shd w:val="clear" w:color="auto" w:fill="auto"/>
        </w:rPr>
        <w:t>12360</w:t>
      </w:r>
      <w:r>
        <w:rPr>
          <w:rFonts w:ascii="方正仿宋_GBK" w:eastAsia="方正仿宋_GBK" w:hint="eastAsia"/>
          <w:spacing w:val="-4"/>
          <w:sz w:val="32"/>
          <w:szCs w:val="32"/>
          <w:shd w:val="clear" w:color="auto" w:fill="auto"/>
        </w:rPr>
        <w:t>”</w:t>
      </w:r>
      <w:r>
        <w:rPr>
          <w:rFonts w:ascii="方正仿宋_GBK" w:eastAsia="方正仿宋_GBK"/>
          <w:spacing w:val="-4"/>
          <w:sz w:val="32"/>
          <w:szCs w:val="32"/>
          <w:shd w:val="clear" w:color="auto" w:fill="auto"/>
        </w:rPr>
        <w:t>微信公众号、线下基层政务公开专区等渠道，主动公开</w:t>
      </w:r>
      <w:r>
        <w:rPr>
          <w:rFonts w:ascii="方正仿宋_GBK" w:eastAsia="方正仿宋_GBK" w:hint="eastAsia"/>
          <w:spacing w:val="-4"/>
          <w:sz w:val="32"/>
          <w:szCs w:val="32"/>
          <w:shd w:val="clear" w:color="auto" w:fill="auto"/>
        </w:rPr>
        <w:t>机构</w:t>
      </w:r>
      <w:r>
        <w:rPr>
          <w:rFonts w:ascii="方正仿宋_GBK" w:eastAsia="方正仿宋_GBK"/>
          <w:spacing w:val="-4"/>
          <w:sz w:val="32"/>
          <w:szCs w:val="32"/>
          <w:shd w:val="clear" w:color="auto" w:fill="auto"/>
        </w:rPr>
        <w:t>概况</w:t>
      </w:r>
      <w:r>
        <w:rPr>
          <w:rFonts w:ascii="方正仿宋_GBK" w:eastAsia="方正仿宋_GBK" w:hint="eastAsia"/>
          <w:spacing w:val="-4"/>
          <w:sz w:val="32"/>
          <w:szCs w:val="32"/>
          <w:shd w:val="clear" w:color="auto" w:fill="auto"/>
        </w:rPr>
        <w:t>、政策法规、行政执法信息、咨询联系</w:t>
      </w:r>
      <w:r>
        <w:rPr>
          <w:rFonts w:ascii="方正仿宋_GBK" w:eastAsia="方正仿宋_GBK"/>
          <w:spacing w:val="-4"/>
          <w:sz w:val="32"/>
          <w:szCs w:val="32"/>
          <w:shd w:val="clear" w:color="auto" w:fill="auto"/>
        </w:rPr>
        <w:t>方式</w:t>
      </w:r>
      <w:r>
        <w:rPr>
          <w:rFonts w:ascii="方正仿宋_GBK" w:eastAsia="方正仿宋_GBK" w:hint="eastAsia"/>
          <w:spacing w:val="-4"/>
          <w:sz w:val="32"/>
          <w:szCs w:val="32"/>
          <w:shd w:val="clear" w:color="auto" w:fill="auto"/>
        </w:rPr>
        <w:t>等</w:t>
      </w:r>
      <w:r>
        <w:rPr>
          <w:rFonts w:ascii="方正仿宋_GBK" w:eastAsia="方正仿宋_GBK"/>
          <w:spacing w:val="-4"/>
          <w:sz w:val="32"/>
          <w:szCs w:val="32"/>
          <w:shd w:val="clear" w:color="auto" w:fill="auto"/>
        </w:rPr>
        <w:t>信息。结合</w:t>
      </w:r>
      <w:r>
        <w:rPr>
          <w:rFonts w:ascii="Times New Roman" w:eastAsia="方正仿宋_GBK" w:cs="Times New Roman" w:hAnsi="Times New Roman" w:hint="eastAsia"/>
          <w:sz w:val="32"/>
          <w:szCs w:val="32"/>
          <w:shd w:val="clear" w:color="auto" w:fill="auto"/>
        </w:rPr>
        <w:t>“我陪群众走流程”政务服务提升行动</w:t>
      </w:r>
      <w:r>
        <w:rPr>
          <w:rFonts w:ascii="Times New Roman" w:eastAsia="方正仿宋_GBK" w:cs="Times New Roman" w:hAnsi="Times New Roman"/>
          <w:sz w:val="32"/>
          <w:szCs w:val="32"/>
          <w:shd w:val="clear" w:color="auto" w:fill="auto"/>
        </w:rPr>
        <w:t>，</w:t>
      </w:r>
      <w:r>
        <w:rPr>
          <w:rFonts w:eastAsia="方正仿宋_GBK"/>
          <w:sz w:val="32"/>
          <w:szCs w:val="32"/>
          <w:shd w:val="clear" w:color="auto" w:fill="auto"/>
        </w:rPr>
        <w:t>以企业群众视角</w:t>
      </w:r>
      <w:r>
        <w:rPr>
          <w:rFonts w:ascii="Times New Roman" w:eastAsia="方正仿宋_GBK" w:cs="Times New Roman" w:hAnsi="Times New Roman" w:hint="eastAsia"/>
          <w:sz w:val="32"/>
          <w:szCs w:val="32"/>
          <w:shd w:val="clear" w:color="auto" w:fill="auto"/>
        </w:rPr>
        <w:t>“</w:t>
      </w:r>
      <w:r>
        <w:rPr>
          <w:rFonts w:ascii="Times New Roman" w:eastAsia="方正仿宋_GBK" w:cs="Times New Roman" w:hAnsi="Times New Roman"/>
          <w:sz w:val="32"/>
          <w:szCs w:val="32"/>
          <w:shd w:val="clear" w:color="auto" w:fill="auto"/>
        </w:rPr>
        <w:t>换位体验</w:t>
      </w:r>
      <w:r>
        <w:rPr>
          <w:rFonts w:ascii="Times New Roman" w:eastAsia="方正仿宋_GBK" w:cs="Times New Roman" w:hAnsi="Times New Roman" w:hint="eastAsia"/>
          <w:sz w:val="32"/>
          <w:szCs w:val="32"/>
          <w:shd w:val="clear" w:color="auto" w:fill="auto"/>
        </w:rPr>
        <w:t>”</w:t>
      </w:r>
      <w:r>
        <w:rPr>
          <w:rFonts w:ascii="Times New Roman" w:eastAsia="方正仿宋_GBK" w:hAnsi="Times New Roman"/>
          <w:sz w:val="32"/>
          <w:szCs w:val="32"/>
          <w:shd w:val="clear" w:color="auto" w:fill="auto"/>
        </w:rPr>
        <w:t>海关办事</w:t>
      </w:r>
      <w:r>
        <w:rPr>
          <w:rFonts w:ascii="Times New Roman" w:eastAsia="方正仿宋_GBK" w:hAnsi="Times New Roman" w:hint="eastAsia"/>
          <w:sz w:val="32"/>
          <w:szCs w:val="32"/>
          <w:shd w:val="clear" w:color="auto" w:fill="auto"/>
        </w:rPr>
        <w:t>流程是否</w:t>
      </w:r>
      <w:r>
        <w:rPr>
          <w:rFonts w:ascii="Times New Roman" w:eastAsia="方正仿宋_GBK" w:hAnsi="Times New Roman"/>
          <w:sz w:val="32"/>
          <w:szCs w:val="32"/>
          <w:shd w:val="clear" w:color="auto" w:fill="auto"/>
        </w:rPr>
        <w:t>畅顺</w:t>
      </w:r>
      <w:r>
        <w:rPr>
          <w:rFonts w:ascii="Times New Roman" w:eastAsia="方正仿宋_GBK" w:hAnsi="Times New Roman" w:hint="eastAsia"/>
          <w:sz w:val="32"/>
          <w:szCs w:val="32"/>
          <w:shd w:val="clear" w:color="auto" w:fill="auto"/>
        </w:rPr>
        <w:t>、标识是否规范、咨询</w:t>
      </w:r>
      <w:r>
        <w:rPr>
          <w:rFonts w:ascii="Times New Roman" w:eastAsia="方正仿宋_GBK" w:hAnsi="Times New Roman"/>
          <w:sz w:val="32"/>
          <w:szCs w:val="32"/>
          <w:shd w:val="clear" w:color="auto" w:fill="auto"/>
        </w:rPr>
        <w:t>答复</w:t>
      </w:r>
      <w:r>
        <w:rPr>
          <w:rFonts w:ascii="Times New Roman" w:eastAsia="方正仿宋_GBK" w:hAnsi="Times New Roman" w:hint="eastAsia"/>
          <w:sz w:val="32"/>
          <w:szCs w:val="32"/>
          <w:shd w:val="clear" w:color="auto" w:fill="auto"/>
        </w:rPr>
        <w:t>是否有效、政策解读及</w:t>
      </w:r>
      <w:r>
        <w:rPr>
          <w:rFonts w:ascii="Times New Roman" w:eastAsia="方正仿宋_GBK" w:hAnsi="Times New Roman"/>
          <w:sz w:val="32"/>
          <w:szCs w:val="32"/>
          <w:shd w:val="clear" w:color="auto" w:fill="auto"/>
        </w:rPr>
        <w:t>办事指引</w:t>
      </w:r>
      <w:r>
        <w:rPr>
          <w:rFonts w:ascii="Times New Roman" w:eastAsia="方正仿宋_GBK" w:hAnsi="Times New Roman" w:hint="eastAsia"/>
          <w:sz w:val="32"/>
          <w:szCs w:val="32"/>
          <w:shd w:val="clear" w:color="auto" w:fill="auto"/>
        </w:rPr>
        <w:t>是否全面准确、</w:t>
      </w:r>
      <w:r>
        <w:rPr>
          <w:rFonts w:ascii="Times New Roman" w:eastAsia="方正仿宋_GBK" w:hAnsi="Times New Roman"/>
          <w:sz w:val="32"/>
          <w:szCs w:val="32"/>
          <w:shd w:val="clear" w:color="auto" w:fill="auto"/>
        </w:rPr>
        <w:t>线上办理是否实用好用、</w:t>
      </w:r>
      <w:r>
        <w:rPr>
          <w:rFonts w:ascii="Times New Roman" w:eastAsia="方正仿宋_GBK" w:hAnsi="Times New Roman" w:hint="eastAsia"/>
          <w:sz w:val="32"/>
          <w:szCs w:val="32"/>
          <w:shd w:val="clear" w:color="auto" w:fill="auto"/>
        </w:rPr>
        <w:t>服务设施是否</w:t>
      </w:r>
      <w:r>
        <w:rPr>
          <w:rFonts w:ascii="Times New Roman" w:eastAsia="方正仿宋_GBK" w:hAnsi="Times New Roman"/>
          <w:sz w:val="32"/>
          <w:szCs w:val="32"/>
          <w:shd w:val="clear" w:color="auto" w:fill="auto"/>
        </w:rPr>
        <w:t>完善便捷，并结合企业群众意见建议及时优化完善。</w:t>
      </w:r>
    </w:p>
    <w:p>
      <w:pPr>
        <w:pStyle w:val="83"/>
        <w:shd w:val="clear" w:color="auto" w:fill="auto"/>
        <w:spacing w:line="560" w:lineRule="exact"/>
        <w:ind w:firstLineChars="200" w:firstLine="640"/>
        <w:rPr>
          <w:rFonts w:ascii="方正楷体_GBK" w:eastAsia="方正楷体_GBK"/>
          <w:b/>
          <w:bCs/>
          <w:sz w:val="32"/>
          <w:szCs w:val="32"/>
          <w:shd w:val="clear" w:color="auto" w:fill="auto"/>
        </w:rPr>
      </w:pPr>
      <w:r>
        <w:rPr>
          <w:rFonts w:ascii="方正楷体_GBK" w:eastAsia="方正楷体_GBK"/>
          <w:b/>
          <w:bCs/>
          <w:sz w:val="32"/>
          <w:szCs w:val="32"/>
          <w:shd w:val="clear" w:color="auto" w:fill="auto"/>
        </w:rPr>
        <w:t>（二）畅顺依申请公开等信息沟通渠道。</w:t>
      </w:r>
    </w:p>
    <w:p>
      <w:pPr>
        <w:pStyle w:val="83"/>
        <w:shd w:val="clear" w:color="auto" w:fill="auto"/>
        <w:spacing w:line="560" w:lineRule="exact"/>
        <w:ind w:firstLineChars="200" w:firstLine="640"/>
        <w:rPr>
          <w:rFonts w:ascii="Times New Roman" w:eastAsia="方正仿宋_GBK" w:cs="Times New Roman" w:hAnsi="Times New Roman"/>
          <w:sz w:val="32"/>
          <w:szCs w:val="32"/>
          <w:shd w:val="clear" w:color="auto" w:fill="auto"/>
        </w:rPr>
      </w:pPr>
      <w:r>
        <w:rPr>
          <w:rFonts w:ascii="Times New Roman" w:eastAsia="方正仿宋_GBK" w:cs="Times New Roman" w:hAnsi="Times New Roman"/>
          <w:sz w:val="32"/>
          <w:szCs w:val="32"/>
          <w:shd w:val="clear" w:color="auto" w:fill="auto"/>
        </w:rPr>
        <w:t>定期查阅信件、电子邮件、传真等依申请公开受理渠道，加强专职人员岗位培训，定期开展培训学习，确保指引精准、办理规范。积极开展</w:t>
      </w:r>
      <w:r>
        <w:rPr>
          <w:rFonts w:ascii="方正仿宋_GBK" w:eastAsia="方正仿宋_GBK" w:hint="eastAsia"/>
          <w:spacing w:val="-4"/>
          <w:sz w:val="32"/>
          <w:szCs w:val="32"/>
          <w:shd w:val="clear" w:color="auto" w:fill="auto"/>
        </w:rPr>
        <w:t>“</w:t>
      </w:r>
      <w:r>
        <w:rPr>
          <w:rFonts w:ascii="方正仿宋_GBK" w:eastAsia="方正仿宋_GBK"/>
          <w:spacing w:val="-4"/>
          <w:sz w:val="32"/>
          <w:szCs w:val="32"/>
          <w:shd w:val="clear" w:color="auto" w:fill="auto"/>
        </w:rPr>
        <w:t>百企调研</w:t>
      </w:r>
      <w:r>
        <w:rPr>
          <w:rFonts w:ascii="方正仿宋_GBK" w:eastAsia="方正仿宋_GBK" w:hint="eastAsia"/>
          <w:spacing w:val="-4"/>
          <w:sz w:val="32"/>
          <w:szCs w:val="32"/>
          <w:shd w:val="clear" w:color="auto" w:fill="auto"/>
        </w:rPr>
        <w:t>”</w:t>
      </w:r>
      <w:r>
        <w:rPr>
          <w:rFonts w:ascii="方正仿宋_GBK" w:eastAsia="方正仿宋_GBK"/>
          <w:spacing w:val="-4"/>
          <w:sz w:val="32"/>
          <w:szCs w:val="32"/>
          <w:shd w:val="clear" w:color="auto" w:fill="auto"/>
        </w:rPr>
        <w:t>活动、</w:t>
      </w:r>
      <w:r>
        <w:rPr>
          <w:rFonts w:ascii="方正仿宋_GBK" w:eastAsia="方正仿宋_GBK" w:hint="eastAsia"/>
          <w:spacing w:val="-4"/>
          <w:sz w:val="32"/>
          <w:szCs w:val="32"/>
          <w:shd w:val="clear" w:color="auto" w:fill="auto"/>
        </w:rPr>
        <w:t>“</w:t>
      </w:r>
      <w:r>
        <w:rPr>
          <w:rFonts w:ascii="方正仿宋_GBK" w:eastAsia="方正仿宋_GBK"/>
          <w:spacing w:val="-4"/>
          <w:sz w:val="32"/>
          <w:szCs w:val="32"/>
          <w:shd w:val="clear" w:color="auto" w:fill="auto"/>
        </w:rPr>
        <w:t>政策直通车</w:t>
      </w:r>
      <w:r>
        <w:rPr>
          <w:rFonts w:ascii="方正仿宋_GBK" w:eastAsia="方正仿宋_GBK" w:hint="eastAsia"/>
          <w:spacing w:val="-4"/>
          <w:sz w:val="32"/>
          <w:szCs w:val="32"/>
          <w:shd w:val="clear" w:color="auto" w:fill="auto"/>
        </w:rPr>
        <w:t>”</w:t>
      </w:r>
      <w:r>
        <w:rPr>
          <w:rFonts w:ascii="方正仿宋_GBK" w:eastAsia="方正仿宋_GBK"/>
          <w:spacing w:val="-4"/>
          <w:sz w:val="32"/>
          <w:szCs w:val="32"/>
          <w:shd w:val="clear" w:color="auto" w:fill="auto"/>
        </w:rPr>
        <w:t>系列宣讲活动、</w:t>
      </w:r>
      <w:r>
        <w:rPr>
          <w:rFonts w:ascii="Times New Roman" w:eastAsia="方正仿宋_GBK" w:hAnsi="Times New Roman" w:hint="eastAsia"/>
          <w:sz w:val="32"/>
          <w:szCs w:val="32"/>
          <w:shd w:val="clear" w:color="auto" w:fill="auto"/>
        </w:rPr>
        <w:t>“海关进企业、海关进社区、海关进校园”——“</w:t>
      </w:r>
      <w:r>
        <w:rPr>
          <w:rFonts w:ascii="Times New Roman" w:eastAsia="方正仿宋_GBK" w:hAnsi="Times New Roman"/>
          <w:sz w:val="32"/>
          <w:szCs w:val="32"/>
          <w:shd w:val="clear" w:color="auto" w:fill="auto"/>
        </w:rPr>
        <w:t>三进</w:t>
      </w:r>
      <w:r>
        <w:rPr>
          <w:rFonts w:ascii="Times New Roman" w:eastAsia="方正仿宋_GBK" w:hAnsi="Times New Roman" w:hint="eastAsia"/>
          <w:sz w:val="32"/>
          <w:szCs w:val="32"/>
          <w:shd w:val="clear" w:color="auto" w:fill="auto"/>
        </w:rPr>
        <w:t>”</w:t>
      </w:r>
      <w:r>
        <w:rPr>
          <w:rFonts w:ascii="Times New Roman" w:eastAsia="方正仿宋_GBK" w:hAnsi="Times New Roman"/>
          <w:sz w:val="32"/>
          <w:szCs w:val="32"/>
          <w:shd w:val="clear" w:color="auto" w:fill="auto"/>
        </w:rPr>
        <w:t>品牌活动，年内共开展活动99场次</w:t>
      </w:r>
      <w:r>
        <w:rPr>
          <w:rFonts w:ascii="Times New Roman" w:eastAsia="方正仿宋_GBK" w:cs="Times New Roman" w:hAnsi="Times New Roman"/>
          <w:sz w:val="32"/>
          <w:szCs w:val="32"/>
          <w:shd w:val="clear" w:color="auto" w:fill="auto"/>
        </w:rPr>
        <w:t>。</w:t>
      </w:r>
      <w:r>
        <w:rPr>
          <w:rFonts w:ascii="方正仿宋_GBK" w:eastAsia="方正仿宋_GBK" w:hint="eastAsia"/>
          <w:sz w:val="32"/>
          <w:szCs w:val="32"/>
          <w:shd w:val="clear" w:color="auto" w:fill="auto"/>
        </w:rPr>
        <w:t>建设“北江清枫”实体工作室，打造践行新时代“枫桥经验”实体空间</w:t>
      </w:r>
      <w:r>
        <w:rPr>
          <w:rFonts w:ascii="方正仿宋_GBK" w:eastAsia="方正仿宋_GBK"/>
          <w:sz w:val="32"/>
          <w:szCs w:val="32"/>
          <w:shd w:val="clear" w:color="auto" w:fill="auto"/>
        </w:rPr>
        <w:t>，</w:t>
      </w:r>
      <w:r>
        <w:rPr>
          <w:rFonts w:ascii="方正仿宋_GBK" w:eastAsia="方正仿宋_GBK" w:cs="方正仿宋_GBK" w:hint="eastAsia"/>
          <w:bCs/>
          <w:color w:val="000000"/>
          <w:kern w:val="0"/>
          <w:sz w:val="32"/>
          <w:szCs w:val="32"/>
          <w:shd w:val="clear" w:color="auto" w:fill="auto"/>
        </w:rPr>
        <w:t>及时</w:t>
      </w:r>
      <w:r>
        <w:rPr>
          <w:rFonts w:ascii="方正仿宋_GBK" w:eastAsia="方正仿宋_GBK" w:cs="方正仿宋_GBK"/>
          <w:bCs/>
          <w:color w:val="000000"/>
          <w:kern w:val="0"/>
          <w:sz w:val="32"/>
          <w:szCs w:val="32"/>
          <w:shd w:val="clear" w:color="auto" w:fill="auto"/>
        </w:rPr>
        <w:t>收集并回应</w:t>
      </w:r>
      <w:r>
        <w:rPr>
          <w:rFonts w:ascii="方正仿宋_GBK" w:eastAsia="方正仿宋_GBK" w:cs="方正仿宋_GBK" w:hint="eastAsia"/>
          <w:bCs/>
          <w:color w:val="000000"/>
          <w:kern w:val="0"/>
          <w:sz w:val="32"/>
          <w:szCs w:val="32"/>
          <w:shd w:val="clear" w:color="auto" w:fill="auto"/>
        </w:rPr>
        <w:t>企业法治需求、行政诉求</w:t>
      </w:r>
      <w:r>
        <w:rPr>
          <w:rFonts w:ascii="Times New Roman" w:eastAsia="方正仿宋_GBK" w:cs="Times New Roman" w:hAnsi="Times New Roman"/>
          <w:sz w:val="32"/>
          <w:szCs w:val="32"/>
          <w:shd w:val="clear" w:color="auto" w:fill="auto"/>
        </w:rPr>
        <w:t>。</w:t>
      </w:r>
    </w:p>
    <w:p>
      <w:pPr>
        <w:pStyle w:val="84"/>
        <w:shd w:val="clear" w:color="auto" w:fill="auto"/>
        <w:spacing w:line="560" w:lineRule="exact"/>
        <w:ind w:firstLineChars="200" w:firstLine="640"/>
        <w:rPr>
          <w:rFonts w:ascii="方正仿宋_GBK" w:eastAsia="方正仿宋_GBK"/>
          <w:spacing w:val="-4"/>
          <w:sz w:val="32"/>
          <w:szCs w:val="32"/>
          <w:shd w:val="clear" w:color="auto" w:fill="auto"/>
        </w:rPr>
      </w:pPr>
      <w:r>
        <w:rPr>
          <w:rFonts w:ascii="方正楷体_GBK" w:eastAsia="方正楷体_GBK"/>
          <w:b/>
          <w:bCs/>
          <w:sz w:val="32"/>
          <w:szCs w:val="32"/>
          <w:shd w:val="clear" w:color="auto" w:fill="auto"/>
        </w:rPr>
        <w:t>（三）加强政府信息管理效能。</w:t>
      </w:r>
    </w:p>
    <w:p>
      <w:pPr>
        <w:pStyle w:val="84"/>
        <w:shd w:val="clear" w:color="auto" w:fill="auto"/>
        <w:spacing w:line="560" w:lineRule="exact"/>
        <w:ind w:firstLineChars="200" w:firstLine="624"/>
        <w:rPr>
          <w:rFonts w:ascii="Times New Roman" w:eastAsia="方正仿宋_GBK" w:cs="Times New Roman" w:hAnsi="Times New Roman"/>
          <w:sz w:val="32"/>
          <w:szCs w:val="32"/>
          <w:shd w:val="clear" w:color="auto" w:fill="auto"/>
        </w:rPr>
      </w:pPr>
      <w:r>
        <w:rPr>
          <w:rFonts w:ascii="方正仿宋_GBK" w:eastAsia="方正仿宋_GBK"/>
          <w:spacing w:val="-4"/>
          <w:sz w:val="32"/>
          <w:szCs w:val="32"/>
          <w:shd w:val="clear" w:color="auto" w:fill="auto"/>
        </w:rPr>
        <w:t>做好政府信息公开</w:t>
      </w:r>
      <w:r>
        <w:rPr>
          <w:rFonts w:ascii="方正仿宋_GBK" w:eastAsia="方正仿宋_GBK" w:hint="eastAsia"/>
          <w:spacing w:val="-4"/>
          <w:sz w:val="32"/>
          <w:szCs w:val="32"/>
          <w:shd w:val="clear" w:color="auto" w:fill="auto"/>
        </w:rPr>
        <w:t>“</w:t>
      </w:r>
      <w:r>
        <w:rPr>
          <w:rFonts w:ascii="方正仿宋_GBK" w:eastAsia="方正仿宋_GBK"/>
          <w:spacing w:val="-4"/>
          <w:sz w:val="32"/>
          <w:szCs w:val="32"/>
          <w:shd w:val="clear" w:color="auto" w:fill="auto"/>
        </w:rPr>
        <w:t>全周期管理</w:t>
      </w:r>
      <w:r>
        <w:rPr>
          <w:rFonts w:ascii="方正仿宋_GBK" w:eastAsia="方正仿宋_GBK" w:hint="eastAsia"/>
          <w:spacing w:val="-4"/>
          <w:sz w:val="32"/>
          <w:szCs w:val="32"/>
          <w:shd w:val="clear" w:color="auto" w:fill="auto"/>
        </w:rPr>
        <w:t>”</w:t>
      </w:r>
      <w:r>
        <w:rPr>
          <w:rFonts w:ascii="方正仿宋_GBK" w:eastAsia="方正仿宋_GBK"/>
          <w:spacing w:val="-4"/>
          <w:sz w:val="32"/>
          <w:szCs w:val="32"/>
          <w:shd w:val="clear" w:color="auto" w:fill="auto"/>
        </w:rPr>
        <w:t>，</w:t>
      </w:r>
      <w:r>
        <w:rPr>
          <w:rFonts w:ascii="Times New Roman" w:eastAsia="方正仿宋_GBK" w:cs="Times New Roman" w:hAnsi="Times New Roman"/>
          <w:sz w:val="32"/>
          <w:szCs w:val="32"/>
          <w:shd w:val="clear" w:color="auto" w:fill="auto"/>
        </w:rPr>
        <w:t>按照《清远海关政务公开标准事项目录》规范事项名称、公开时限、公开载体、公开对象等内容，同时建立标准事项目录动态调整机制，</w:t>
      </w:r>
      <w:r>
        <w:rPr>
          <w:rFonts w:ascii="方正仿宋_GBK" w:eastAsia="方正仿宋_GBK"/>
          <w:spacing w:val="-4"/>
          <w:sz w:val="32"/>
          <w:szCs w:val="32"/>
          <w:shd w:val="clear" w:color="auto" w:fill="auto"/>
        </w:rPr>
        <w:t>定期巡查检查已公开信息，</w:t>
      </w:r>
      <w:r>
        <w:rPr>
          <w:rFonts w:ascii="Times New Roman" w:eastAsia="方正仿宋_GBK" w:cs="Times New Roman" w:hAnsi="Times New Roman"/>
          <w:sz w:val="32"/>
          <w:szCs w:val="32"/>
          <w:shd w:val="clear" w:color="auto" w:fill="auto"/>
        </w:rPr>
        <w:t>确保信息及时、准确、有效</w:t>
      </w:r>
      <w:r>
        <w:rPr>
          <w:rFonts w:ascii="方正仿宋_GBK" w:eastAsia="方正仿宋_GBK"/>
          <w:spacing w:val="-4"/>
          <w:sz w:val="32"/>
          <w:szCs w:val="32"/>
          <w:shd w:val="clear" w:color="auto" w:fill="auto"/>
        </w:rPr>
        <w:t>。</w:t>
      </w:r>
    </w:p>
    <w:p>
      <w:pPr>
        <w:pStyle w:val="85"/>
        <w:widowControl/>
        <w:shd w:val="clear" w:color="auto" w:fill="auto"/>
        <w:tabs>
          <w:tab w:val="left" w:pos="6500"/>
        </w:tabs>
        <w:adjustRightInd w:val="0"/>
        <w:snapToGrid w:val="0"/>
        <w:spacing w:beforeAutospacing="0" w:afterAutospacing="0" w:line="560" w:lineRule="exact"/>
        <w:ind w:firstLineChars="200" w:firstLine="640"/>
        <w:jc w:val="both"/>
        <w:rPr>
          <w:rFonts w:ascii="方正楷体_GBK" w:eastAsia="方正楷体_GBK"/>
          <w:b/>
          <w:bCs/>
          <w:sz w:val="32"/>
          <w:szCs w:val="32"/>
          <w:shd w:val="clear" w:color="auto" w:fill="auto"/>
        </w:rPr>
      </w:pPr>
      <w:r>
        <w:rPr>
          <w:rFonts w:ascii="方正楷体_GBK" w:eastAsia="方正楷体_GBK"/>
          <w:b/>
          <w:bCs/>
          <w:sz w:val="32"/>
          <w:szCs w:val="32"/>
          <w:shd w:val="clear" w:color="auto" w:fill="auto"/>
        </w:rPr>
        <w:t>（四）扩大政务公开宣传成果。</w:t>
      </w:r>
    </w:p>
    <w:p>
      <w:pPr>
        <w:pStyle w:val="85"/>
        <w:widowControl/>
        <w:shd w:val="clear" w:color="auto" w:fill="auto"/>
        <w:tabs>
          <w:tab w:val="left" w:pos="6500"/>
        </w:tabs>
        <w:adjustRightInd w:val="0"/>
        <w:snapToGrid w:val="0"/>
        <w:spacing w:beforeAutospacing="0" w:afterAutospacing="0" w:line="560" w:lineRule="exact"/>
        <w:ind w:firstLineChars="200" w:firstLine="640"/>
        <w:jc w:val="both"/>
        <w:rPr>
          <w:rFonts w:eastAsia="方正仿宋_GBK"/>
          <w:sz w:val="32"/>
          <w:szCs w:val="32"/>
          <w:shd w:val="clear" w:color="auto" w:fill="auto"/>
        </w:rPr>
      </w:pPr>
      <w:r>
        <w:rPr>
          <w:rFonts w:eastAsia="方正仿宋_GBK"/>
          <w:sz w:val="32"/>
          <w:szCs w:val="32"/>
          <w:shd w:val="clear" w:color="auto" w:fill="auto"/>
        </w:rPr>
        <w:t>聚焦企业群众最关心、最想了解的事项和社会最关注的热点、难点问题，结合</w:t>
      </w:r>
      <w:r>
        <w:rPr>
          <w:rFonts w:ascii="方正仿宋_GBK" w:eastAsia="方正仿宋_GBK" w:cs="方正仿宋_GBK" w:hint="eastAsia"/>
          <w:bCs/>
          <w:color w:val="000000"/>
          <w:sz w:val="32"/>
          <w:szCs w:val="32"/>
          <w:shd w:val="clear" w:color="auto" w:fill="auto"/>
        </w:rPr>
        <w:t>全民国家安全教育日、知识产权</w:t>
      </w:r>
      <w:r>
        <w:rPr>
          <w:rFonts w:ascii="方正仿宋_GBK" w:eastAsia="方正仿宋_GBK" w:cs="方正仿宋_GBK"/>
          <w:bCs/>
          <w:color w:val="000000"/>
          <w:sz w:val="32"/>
          <w:szCs w:val="32"/>
          <w:shd w:val="clear" w:color="auto" w:fill="auto"/>
        </w:rPr>
        <w:t>宣传周</w:t>
      </w:r>
      <w:r>
        <w:rPr>
          <w:rFonts w:ascii="方正仿宋_GBK" w:eastAsia="方正仿宋_GBK" w:cs="方正仿宋_GBK" w:hint="eastAsia"/>
          <w:bCs/>
          <w:color w:val="000000"/>
          <w:sz w:val="32"/>
          <w:szCs w:val="32"/>
          <w:shd w:val="clear" w:color="auto" w:fill="auto"/>
        </w:rPr>
        <w:t>、民法典宣传月</w:t>
      </w:r>
      <w:r>
        <w:rPr>
          <w:rFonts w:ascii="方正仿宋_GBK" w:eastAsia="方正仿宋_GBK" w:cs="方正仿宋_GBK"/>
          <w:bCs/>
          <w:color w:val="000000"/>
          <w:sz w:val="32"/>
          <w:szCs w:val="32"/>
          <w:shd w:val="clear" w:color="auto" w:fill="auto"/>
        </w:rPr>
        <w:t>、海关法治宣传日</w:t>
      </w:r>
      <w:r>
        <w:rPr>
          <w:rFonts w:ascii="方正仿宋_GBK" w:eastAsia="方正仿宋_GBK" w:cs="方正仿宋_GBK" w:hint="eastAsia"/>
          <w:bCs/>
          <w:color w:val="000000"/>
          <w:sz w:val="32"/>
          <w:szCs w:val="32"/>
          <w:shd w:val="clear" w:color="auto" w:fill="auto"/>
        </w:rPr>
        <w:t>等</w:t>
      </w:r>
      <w:r>
        <w:rPr>
          <w:rFonts w:ascii="方正仿宋_GBK" w:eastAsia="方正仿宋_GBK" w:cs="方正仿宋_GBK"/>
          <w:bCs/>
          <w:color w:val="000000"/>
          <w:sz w:val="32"/>
          <w:szCs w:val="32"/>
          <w:shd w:val="clear" w:color="auto" w:fill="auto"/>
        </w:rPr>
        <w:t>重要普法时间节点开展</w:t>
      </w:r>
      <w:r>
        <w:rPr>
          <w:rFonts w:ascii="方正仿宋_GBK" w:eastAsia="方正仿宋_GBK" w:cs="方正仿宋_GBK" w:hint="eastAsia"/>
          <w:bCs/>
          <w:color w:val="000000"/>
          <w:sz w:val="32"/>
          <w:szCs w:val="32"/>
          <w:shd w:val="clear" w:color="auto" w:fill="auto"/>
        </w:rPr>
        <w:t>宣传活动。</w:t>
      </w:r>
      <w:r>
        <w:rPr>
          <w:rFonts w:eastAsia="方正仿宋_GBK"/>
          <w:sz w:val="32"/>
          <w:szCs w:val="32"/>
          <w:shd w:val="clear" w:color="auto" w:fill="auto"/>
        </w:rPr>
        <w:t>广泛利用各级媒体平台发布政策宣传稿件100余篇次，增进社会对海关政策的了解，推动政策红利充分释放。</w:t>
      </w:r>
    </w:p>
    <w:p>
      <w:pPr>
        <w:pStyle w:val="85"/>
        <w:widowControl/>
        <w:shd w:val="clear" w:color="auto" w:fill="auto"/>
        <w:tabs>
          <w:tab w:val="left" w:pos="6500"/>
        </w:tabs>
        <w:adjustRightInd w:val="0"/>
        <w:snapToGrid w:val="0"/>
        <w:spacing w:beforeAutospacing="0" w:afterAutospacing="0" w:line="560" w:lineRule="exact"/>
        <w:ind w:firstLineChars="200" w:firstLine="640"/>
        <w:jc w:val="both"/>
        <w:rPr>
          <w:rFonts w:ascii="方正楷体_GBK" w:eastAsia="方正楷体_GBK"/>
          <w:b/>
          <w:bCs/>
          <w:sz w:val="32"/>
          <w:szCs w:val="32"/>
          <w:shd w:val="clear" w:color="auto" w:fill="auto"/>
        </w:rPr>
      </w:pPr>
      <w:r>
        <w:rPr>
          <w:rFonts w:ascii="方正楷体_GBK" w:eastAsia="方正楷体_GBK"/>
          <w:b/>
          <w:bCs/>
          <w:sz w:val="32"/>
          <w:szCs w:val="32"/>
          <w:shd w:val="clear" w:color="auto" w:fill="auto"/>
        </w:rPr>
        <w:t>（五）切实提升监督保障能力。</w:t>
      </w:r>
    </w:p>
    <w:p>
      <w:pPr>
        <w:pStyle w:val="85"/>
        <w:widowControl/>
        <w:shd w:val="clear" w:color="auto" w:fill="auto"/>
        <w:tabs>
          <w:tab w:val="left" w:pos="6500"/>
        </w:tabs>
        <w:adjustRightInd w:val="0"/>
        <w:snapToGrid w:val="0"/>
        <w:spacing w:beforeAutospacing="0" w:afterAutospacing="0" w:line="560" w:lineRule="exact"/>
        <w:ind w:firstLineChars="200" w:firstLine="640"/>
        <w:jc w:val="both"/>
        <w:rPr>
          <w:rFonts w:eastAsia="方正仿宋_GBK"/>
          <w:sz w:val="32"/>
          <w:szCs w:val="32"/>
          <w:shd w:val="clear" w:color="auto" w:fill="auto"/>
        </w:rPr>
      </w:pPr>
      <w:r>
        <w:rPr>
          <w:rFonts w:eastAsia="方正仿宋_GBK"/>
          <w:sz w:val="32"/>
          <w:szCs w:val="32"/>
          <w:shd w:val="clear" w:color="auto" w:fill="auto"/>
        </w:rPr>
        <w:t>开展</w:t>
      </w:r>
      <w:r>
        <w:rPr>
          <w:rFonts w:eastAsia="方正仿宋_GBK"/>
          <w:bCs/>
          <w:sz w:val="32"/>
          <w:szCs w:val="32"/>
          <w:shd w:val="clear" w:color="auto" w:fill="auto"/>
        </w:rPr>
        <w:t>信息发布规范、公开审查、信息更新等工作</w:t>
      </w:r>
      <w:r>
        <w:rPr>
          <w:rFonts w:eastAsia="方正仿宋_GBK"/>
          <w:sz w:val="32"/>
          <w:szCs w:val="32"/>
          <w:shd w:val="clear" w:color="auto" w:fill="auto"/>
        </w:rPr>
        <w:t>常态化</w:t>
      </w:r>
      <w:r>
        <w:rPr>
          <w:rFonts w:eastAsia="方正仿宋_GBK" w:hint="eastAsia"/>
          <w:sz w:val="32"/>
          <w:szCs w:val="32"/>
          <w:shd w:val="clear" w:color="auto" w:fill="auto"/>
        </w:rPr>
        <w:t>检查</w:t>
      </w:r>
      <w:r>
        <w:rPr>
          <w:rFonts w:eastAsia="方正仿宋_GBK"/>
          <w:sz w:val="32"/>
          <w:szCs w:val="32"/>
          <w:shd w:val="clear" w:color="auto" w:fill="auto"/>
        </w:rPr>
        <w:t>和行政执法信息公开专项监督检查，对发现问题立行立改。提升岗位人员业务能力水平，开展</w:t>
      </w:r>
      <w:r>
        <w:rPr>
          <w:rFonts w:ascii="方正仿宋_GBK" w:eastAsia="方正仿宋_GBK" w:hint="eastAsia"/>
          <w:sz w:val="32"/>
          <w:szCs w:val="32"/>
          <w:shd w:val="clear" w:color="auto" w:fill="auto"/>
        </w:rPr>
        <w:t>“</w:t>
      </w:r>
      <w:r>
        <w:rPr>
          <w:rFonts w:eastAsia="方正仿宋_GBK"/>
          <w:sz w:val="32"/>
          <w:szCs w:val="32"/>
          <w:shd w:val="clear" w:color="auto" w:fill="auto"/>
        </w:rPr>
        <w:t>微课堂</w:t>
      </w:r>
      <w:r>
        <w:rPr>
          <w:rFonts w:ascii="方正仿宋_GBK" w:eastAsia="方正仿宋_GBK" w:hint="eastAsia"/>
          <w:sz w:val="32"/>
          <w:szCs w:val="32"/>
          <w:shd w:val="clear" w:color="auto" w:fill="auto"/>
        </w:rPr>
        <w:t>”</w:t>
      </w:r>
      <w:r>
        <w:rPr>
          <w:rFonts w:eastAsia="方正仿宋_GBK"/>
          <w:sz w:val="32"/>
          <w:szCs w:val="32"/>
          <w:shd w:val="clear" w:color="auto" w:fill="auto"/>
        </w:rPr>
        <w:t>3期，</w:t>
      </w:r>
      <w:r>
        <w:rPr>
          <w:rFonts w:eastAsia="方正仿宋_GBK" w:hint="eastAsia"/>
          <w:sz w:val="32"/>
          <w:szCs w:val="32"/>
          <w:shd w:val="clear" w:color="auto" w:fill="auto"/>
        </w:rPr>
        <w:t>提高</w:t>
      </w:r>
      <w:r>
        <w:rPr>
          <w:rFonts w:eastAsia="方正仿宋_GBK"/>
          <w:sz w:val="32"/>
          <w:szCs w:val="32"/>
          <w:shd w:val="clear" w:color="auto" w:fill="auto"/>
        </w:rPr>
        <w:t>基层政务公开质效。持续通过</w:t>
      </w:r>
      <w:r>
        <w:rPr>
          <w:rFonts w:ascii="方正仿宋_GBK" w:eastAsia="方正仿宋_GBK" w:hint="eastAsia"/>
          <w:sz w:val="32"/>
          <w:szCs w:val="32"/>
          <w:shd w:val="clear" w:color="auto" w:fill="auto"/>
        </w:rPr>
        <w:t>“</w:t>
      </w:r>
      <w:r>
        <w:rPr>
          <w:rFonts w:eastAsia="方正仿宋_GBK"/>
          <w:sz w:val="32"/>
          <w:szCs w:val="32"/>
          <w:shd w:val="clear" w:color="auto" w:fill="auto"/>
        </w:rPr>
        <w:t>办不成事</w:t>
      </w:r>
      <w:r>
        <w:rPr>
          <w:rFonts w:ascii="方正仿宋_GBK" w:eastAsia="方正仿宋_GBK" w:hint="eastAsia"/>
          <w:sz w:val="32"/>
          <w:szCs w:val="32"/>
          <w:shd w:val="clear" w:color="auto" w:fill="auto"/>
        </w:rPr>
        <w:t>”</w:t>
      </w:r>
      <w:r>
        <w:rPr>
          <w:rFonts w:eastAsia="方正仿宋_GBK"/>
          <w:sz w:val="32"/>
          <w:szCs w:val="32"/>
          <w:shd w:val="clear" w:color="auto" w:fill="auto"/>
        </w:rPr>
        <w:t>兜底窗口、服务效能投诉窗口和投诉举报箱等渠道，收集企业群众意见建议，深化政风行风建设；进一步推广</w:t>
      </w:r>
      <w:r>
        <w:rPr>
          <w:rFonts w:ascii="方正仿宋_GBK" w:eastAsia="方正仿宋_GBK" w:hint="eastAsia"/>
          <w:sz w:val="32"/>
          <w:szCs w:val="32"/>
          <w:shd w:val="clear" w:color="auto" w:fill="auto"/>
        </w:rPr>
        <w:t>“</w:t>
      </w:r>
      <w:r>
        <w:rPr>
          <w:rFonts w:eastAsia="方正仿宋_GBK"/>
          <w:sz w:val="32"/>
          <w:szCs w:val="32"/>
          <w:shd w:val="clear" w:color="auto" w:fill="auto"/>
        </w:rPr>
        <w:t>清风码</w:t>
      </w:r>
      <w:r>
        <w:rPr>
          <w:rFonts w:ascii="方正仿宋_GBK" w:eastAsia="方正仿宋_GBK" w:hint="eastAsia"/>
          <w:sz w:val="32"/>
          <w:szCs w:val="32"/>
          <w:shd w:val="clear" w:color="auto" w:fill="auto"/>
        </w:rPr>
        <w:t>”</w:t>
      </w:r>
      <w:r>
        <w:rPr>
          <w:rFonts w:eastAsia="方正仿宋_GBK"/>
          <w:sz w:val="32"/>
          <w:szCs w:val="32"/>
          <w:shd w:val="clear" w:color="auto" w:fill="auto"/>
        </w:rPr>
        <w:t>执法服务监督平台运用，年内共收到企业群众扫码评价1223次，良好及以上</w:t>
      </w:r>
      <w:r>
        <w:rPr>
          <w:rFonts w:eastAsia="方正仿宋_GBK" w:hint="eastAsia"/>
          <w:sz w:val="32"/>
          <w:szCs w:val="32"/>
          <w:shd w:val="clear" w:color="auto" w:fill="auto"/>
        </w:rPr>
        <w:t>评价</w:t>
      </w:r>
      <w:r>
        <w:rPr>
          <w:rFonts w:eastAsia="方正仿宋_GBK"/>
          <w:sz w:val="32"/>
          <w:szCs w:val="32"/>
          <w:shd w:val="clear" w:color="auto" w:fill="auto"/>
        </w:rPr>
        <w:t>率达100%。</w:t>
      </w:r>
    </w:p>
    <w:p>
      <w:pPr>
        <w:pStyle w:val="86"/>
        <w:shd w:val="clear" w:color="auto" w:fill="auto"/>
        <w:adjustRightInd w:val="0"/>
        <w:snapToGrid w:val="0"/>
        <w:ind w:firstLineChars="200" w:firstLine="624"/>
        <w:rPr>
          <w:rFonts w:ascii="方正黑体_GBK" w:eastAsia="方正黑体_GBK" w:cs="楷体_GB2312"/>
          <w:bCs/>
          <w:szCs w:val="32"/>
          <w:shd w:val="clear" w:color="auto" w:fill="auto"/>
        </w:rPr>
      </w:pPr>
      <w:r>
        <w:rPr>
          <w:rFonts w:ascii="方正黑体_GBK" w:eastAsia="方正黑体_GBK" w:cs="楷体_GB2312" w:hint="eastAsia"/>
          <w:bCs/>
          <w:szCs w:val="32"/>
          <w:shd w:val="clear" w:color="auto" w:fill="auto"/>
        </w:rPr>
        <w:t>二、主动公开政府信息情况</w:t>
      </w:r>
    </w:p>
    <w:tbl>
      <w:tblPr>
        <w:jc w:val="center"/>
        <w:tblW w:w="8994"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2720"/>
        <w:gridCol w:w="2183"/>
        <w:gridCol w:w="1936"/>
        <w:gridCol w:w="2156"/>
      </w:tblGrid>
      <w:tr>
        <w:trPr>
          <w:trHeight w:val="495"/>
        </w:trPr>
        <w:tc>
          <w:tcPr>
            <w:tcW w:w="8995" w:type="dxa"/>
            <w:gridSpan w:val="4"/>
            <w:tcBorders>
              <w:top w:val="single" w:sz="8" w:space="0" w:color="auto"/>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pPr>
              <w:pStyle w:val="87"/>
              <w:widowControl/>
              <w:shd w:val="clear" w:color="auto" w:fill="auto"/>
              <w:jc w:val="center"/>
              <w:rPr>
                <w:sz w:val="24"/>
                <w:szCs w:val="24"/>
                <w:shd w:val="clear" w:color="auto" w:fill="auto"/>
              </w:rPr>
            </w:pPr>
            <w:r>
              <w:rPr>
                <w:rFonts w:ascii="宋体" w:cs="宋体" w:hint="eastAsia"/>
                <w:kern w:val="0"/>
                <w:sz w:val="24"/>
                <w:szCs w:val="24"/>
                <w:shd w:val="clear" w:color="auto" w:fill="auto"/>
              </w:rPr>
              <w:t>第二十条第（一）项</w:t>
            </w:r>
          </w:p>
        </w:tc>
      </w:tr>
      <w:tr>
        <w:trPr>
          <w:trHeight w:val="68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87"/>
              <w:widowControl/>
              <w:shd w:val="clear" w:color="auto" w:fill="auto"/>
              <w:jc w:val="center"/>
              <w:rPr>
                <w:sz w:val="24"/>
                <w:szCs w:val="24"/>
                <w:shd w:val="clear" w:color="auto" w:fill="auto"/>
              </w:rPr>
            </w:pPr>
            <w:r>
              <w:rPr>
                <w:rFonts w:ascii="宋体" w:cs="宋体" w:hint="eastAsia"/>
                <w:kern w:val="0"/>
                <w:sz w:val="24"/>
                <w:szCs w:val="24"/>
                <w:shd w:val="clear" w:color="auto" w:fill="auto"/>
              </w:rPr>
              <w:t>信息内容</w:t>
            </w:r>
          </w:p>
        </w:tc>
        <w:tc>
          <w:tcPr>
            <w:tcW w:w="2183"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widowControl/>
              <w:shd w:val="clear" w:color="auto" w:fill="auto"/>
              <w:jc w:val="center"/>
              <w:rPr>
                <w:sz w:val="24"/>
                <w:szCs w:val="24"/>
                <w:shd w:val="clear" w:color="auto" w:fill="auto"/>
              </w:rPr>
            </w:pPr>
            <w:r>
              <w:rPr>
                <w:rFonts w:ascii="宋体" w:cs="宋体" w:hint="eastAsia"/>
                <w:kern w:val="0"/>
                <w:sz w:val="24"/>
                <w:szCs w:val="24"/>
                <w:shd w:val="clear" w:color="auto" w:fill="auto"/>
              </w:rPr>
              <w:t>本年</w:t>
            </w:r>
            <w:r>
              <w:rPr>
                <w:kern w:val="0"/>
                <w:sz w:val="24"/>
                <w:szCs w:val="24"/>
                <w:shd w:val="clear" w:color="auto" w:fill="auto"/>
              </w:rPr>
              <w:t>制发件数</w:t>
            </w:r>
          </w:p>
        </w:tc>
        <w:tc>
          <w:tcPr>
            <w:tcW w:w="1936"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widowControl/>
              <w:shd w:val="clear" w:color="auto" w:fill="auto"/>
              <w:jc w:val="center"/>
              <w:rPr>
                <w:sz w:val="24"/>
                <w:szCs w:val="24"/>
                <w:shd w:val="clear" w:color="auto" w:fill="auto"/>
              </w:rPr>
            </w:pPr>
            <w:r>
              <w:rPr>
                <w:rFonts w:ascii="宋体" w:cs="宋体" w:hint="eastAsia"/>
                <w:kern w:val="0"/>
                <w:sz w:val="24"/>
                <w:szCs w:val="24"/>
                <w:shd w:val="clear" w:color="auto" w:fill="auto"/>
              </w:rPr>
              <w:t>本年废止件</w:t>
            </w:r>
            <w:r>
              <w:rPr>
                <w:kern w:val="0"/>
                <w:sz w:val="24"/>
                <w:szCs w:val="24"/>
                <w:shd w:val="clear" w:color="auto" w:fill="auto"/>
              </w:rPr>
              <w:t>数</w:t>
            </w:r>
          </w:p>
        </w:tc>
        <w:tc>
          <w:tcPr>
            <w:tcW w:w="2156" w:type="dxa"/>
            <w:tcBorders>
              <w:top w:val="nil"/>
              <w:left w:val="nil"/>
              <w:bottom w:val="single" w:sz="8" w:space="0" w:color="auto"/>
              <w:right w:val="single" w:sz="8" w:space="0" w:color="auto"/>
              <w:tl2br w:val="nil"/>
              <w:tr2bl w:val="nil"/>
            </w:tcBorders>
            <w:shd w:val="clear" w:color="auto" w:fill="auto"/>
            <w:vAlign w:val="center"/>
          </w:tcPr>
          <w:p>
            <w:pPr>
              <w:pStyle w:val="87"/>
              <w:widowControl/>
              <w:shd w:val="clear" w:color="auto" w:fill="auto"/>
              <w:jc w:val="center"/>
              <w:rPr>
                <w:sz w:val="24"/>
                <w:szCs w:val="24"/>
                <w:shd w:val="clear" w:color="auto" w:fill="auto"/>
              </w:rPr>
            </w:pPr>
            <w:r>
              <w:rPr>
                <w:rFonts w:ascii="宋体" w:cs="宋体" w:hint="eastAsia"/>
                <w:kern w:val="0"/>
                <w:sz w:val="24"/>
                <w:szCs w:val="24"/>
                <w:shd w:val="clear" w:color="auto" w:fill="auto"/>
              </w:rPr>
              <w:t>现行有效件数</w:t>
            </w:r>
          </w:p>
        </w:tc>
      </w:tr>
      <w:tr>
        <w:trPr>
          <w:trHeight w:val="51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87"/>
              <w:widowControl/>
              <w:shd w:val="clear" w:color="auto" w:fill="auto"/>
              <w:adjustRightInd w:val="0"/>
              <w:snapToGrid w:val="0"/>
              <w:spacing w:line="260" w:lineRule="exact"/>
              <w:jc w:val="center"/>
              <w:rPr>
                <w:sz w:val="24"/>
                <w:szCs w:val="24"/>
                <w:shd w:val="clear" w:color="auto" w:fill="auto"/>
              </w:rPr>
            </w:pPr>
            <w:r>
              <w:rPr>
                <w:rFonts w:ascii="宋体" w:cs="宋体" w:hint="eastAsia"/>
                <w:kern w:val="0"/>
                <w:sz w:val="24"/>
                <w:szCs w:val="24"/>
                <w:shd w:val="clear" w:color="auto" w:fill="auto"/>
              </w:rPr>
              <w:t>规章</w:t>
            </w:r>
          </w:p>
        </w:tc>
        <w:tc>
          <w:tcPr>
            <w:tcW w:w="2183"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193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2156" w:type="dxa"/>
            <w:tcBorders>
              <w:top w:val="nil"/>
              <w:left w:val="nil"/>
              <w:bottom w:val="single" w:sz="8" w:space="0" w:color="auto"/>
              <w:right w:val="single" w:sz="8" w:space="0" w:color="auto"/>
              <w:tl2br w:val="nil"/>
              <w:tr2bl w:val="nil"/>
            </w:tcBorders>
            <w:shd w:val="clear" w:color="auto" w:fill="auto"/>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rPr>
          <w:trHeight w:val="51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87"/>
              <w:widowControl/>
              <w:shd w:val="clear" w:color="auto" w:fill="auto"/>
              <w:adjustRightInd w:val="0"/>
              <w:snapToGrid w:val="0"/>
              <w:spacing w:line="260" w:lineRule="exact"/>
              <w:jc w:val="center"/>
              <w:rPr>
                <w:sz w:val="24"/>
                <w:szCs w:val="24"/>
                <w:shd w:val="clear" w:color="auto" w:fill="auto"/>
              </w:rPr>
            </w:pPr>
            <w:r>
              <w:rPr>
                <w:rFonts w:ascii="宋体" w:cs="宋体" w:hint="eastAsia"/>
                <w:kern w:val="0"/>
                <w:sz w:val="24"/>
                <w:szCs w:val="24"/>
                <w:shd w:val="clear" w:color="auto" w:fill="auto"/>
              </w:rPr>
              <w:t>行政规范性文件</w:t>
            </w:r>
          </w:p>
        </w:tc>
        <w:tc>
          <w:tcPr>
            <w:tcW w:w="2183"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193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2156" w:type="dxa"/>
            <w:tcBorders>
              <w:top w:val="nil"/>
              <w:left w:val="nil"/>
              <w:bottom w:val="single" w:sz="8" w:space="0" w:color="auto"/>
              <w:right w:val="single" w:sz="8" w:space="0" w:color="auto"/>
              <w:tl2br w:val="nil"/>
              <w:tr2bl w:val="nil"/>
            </w:tcBorders>
            <w:shd w:val="clear" w:color="auto" w:fill="auto"/>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rPr>
          <w:trHeight w:val="435"/>
        </w:trPr>
        <w:tc>
          <w:tcPr>
            <w:tcW w:w="8995" w:type="dxa"/>
            <w:gridSpan w:val="4"/>
            <w:tcBorders>
              <w:top w:val="nil"/>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pPr>
              <w:pStyle w:val="87"/>
              <w:widowControl/>
              <w:shd w:val="clear" w:color="auto" w:fill="auto"/>
              <w:jc w:val="center"/>
              <w:rPr>
                <w:sz w:val="24"/>
                <w:szCs w:val="24"/>
                <w:shd w:val="clear" w:color="auto" w:fill="auto"/>
              </w:rPr>
            </w:pPr>
            <w:r>
              <w:rPr>
                <w:rFonts w:ascii="宋体" w:cs="宋体" w:hint="eastAsia"/>
                <w:kern w:val="0"/>
                <w:sz w:val="24"/>
                <w:szCs w:val="24"/>
                <w:shd w:val="clear" w:color="auto" w:fill="auto"/>
              </w:rPr>
              <w:t>第二十条第（五）项</w:t>
            </w:r>
          </w:p>
        </w:tc>
      </w:tr>
      <w:tr>
        <w:trPr>
          <w:trHeight w:val="68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87"/>
              <w:widowControl/>
              <w:shd w:val="clear" w:color="auto" w:fill="auto"/>
              <w:adjustRightInd w:val="0"/>
              <w:snapToGrid w:val="0"/>
              <w:spacing w:line="260" w:lineRule="exact"/>
              <w:jc w:val="center"/>
              <w:rPr>
                <w:sz w:val="24"/>
                <w:szCs w:val="24"/>
                <w:shd w:val="clear" w:color="auto" w:fill="auto"/>
              </w:rPr>
            </w:pPr>
            <w:r>
              <w:rPr>
                <w:rFonts w:ascii="宋体" w:cs="宋体" w:hint="eastAsia"/>
                <w:kern w:val="0"/>
                <w:sz w:val="24"/>
                <w:szCs w:val="24"/>
                <w:shd w:val="clear" w:color="auto" w:fill="auto"/>
              </w:rPr>
              <w:t>信息内容</w:t>
            </w:r>
          </w:p>
        </w:tc>
        <w:tc>
          <w:tcPr>
            <w:tcW w:w="6275" w:type="dxa"/>
            <w:gridSpan w:val="3"/>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9"/>
              <w:widowControl/>
              <w:shd w:val="clear" w:color="auto" w:fill="auto"/>
              <w:adjustRightInd w:val="0"/>
              <w:snapToGrid w:val="0"/>
              <w:spacing w:line="260" w:lineRule="exact"/>
              <w:jc w:val="center"/>
              <w:rPr>
                <w:sz w:val="24"/>
                <w:szCs w:val="24"/>
                <w:shd w:val="clear" w:color="auto" w:fill="auto"/>
              </w:rPr>
            </w:pPr>
            <w:r>
              <w:rPr>
                <w:rFonts w:ascii="宋体" w:cs="宋体" w:hint="eastAsia"/>
                <w:kern w:val="0"/>
                <w:sz w:val="24"/>
                <w:szCs w:val="24"/>
                <w:shd w:val="clear" w:color="auto" w:fill="auto"/>
              </w:rPr>
              <w:t>本年处理决定数量</w:t>
            </w:r>
          </w:p>
        </w:tc>
      </w:tr>
      <w:tr>
        <w:trPr>
          <w:trHeight w:val="51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87"/>
              <w:widowControl/>
              <w:shd w:val="clear" w:color="auto" w:fill="auto"/>
              <w:adjustRightInd w:val="0"/>
              <w:snapToGrid w:val="0"/>
              <w:spacing w:line="260" w:lineRule="exact"/>
              <w:jc w:val="center"/>
              <w:rPr>
                <w:rFonts w:ascii="宋体" w:cs="宋体" w:hint="eastAsia"/>
                <w:kern w:val="0"/>
                <w:sz w:val="24"/>
                <w:szCs w:val="24"/>
                <w:bdr w:val="none" w:sz="0" w:space="0" w:color="auto"/>
                <w:shd w:val="clear" w:color="auto" w:fill="auto"/>
              </w:rPr>
            </w:pPr>
            <w:r>
              <w:rPr>
                <w:rFonts w:ascii="宋体" w:cs="宋体" w:hint="eastAsia"/>
                <w:kern w:val="0"/>
                <w:sz w:val="24"/>
                <w:szCs w:val="24"/>
                <w:bdr w:val="none" w:sz="0" w:space="0" w:color="auto"/>
                <w:shd w:val="clear" w:color="auto" w:fill="auto"/>
              </w:rPr>
              <w:t>行政许可</w:t>
            </w:r>
          </w:p>
        </w:tc>
        <w:tc>
          <w:tcPr>
            <w:tcW w:w="6275" w:type="dxa"/>
            <w:gridSpan w:val="3"/>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90"/>
              <w:shd w:val="clear" w:color="auto" w:fill="auto"/>
              <w:jc w:val="center"/>
              <w:rPr>
                <w:kern w:val="0"/>
                <w:sz w:val="24"/>
                <w:szCs w:val="24"/>
                <w:bdr w:val="none" w:sz="0" w:space="0" w:color="auto"/>
                <w:shd w:val="clear" w:color="auto" w:fill="auto"/>
              </w:rPr>
            </w:pPr>
            <w:r>
              <w:rPr>
                <w:kern w:val="0"/>
                <w:sz w:val="24"/>
                <w:szCs w:val="24"/>
                <w:bdr w:val="none" w:sz="0" w:space="0" w:color="auto"/>
                <w:shd w:val="clear" w:color="auto" w:fill="auto"/>
              </w:rPr>
              <w:t>2</w:t>
            </w:r>
          </w:p>
        </w:tc>
      </w:tr>
      <w:tr>
        <w:trPr>
          <w:trHeight w:val="406"/>
        </w:trPr>
        <w:tc>
          <w:tcPr>
            <w:tcW w:w="8995" w:type="dxa"/>
            <w:gridSpan w:val="4"/>
            <w:tcBorders>
              <w:top w:val="nil"/>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pPr>
              <w:pStyle w:val="87"/>
              <w:widowControl/>
              <w:shd w:val="clear" w:color="auto" w:fill="auto"/>
              <w:jc w:val="center"/>
              <w:rPr>
                <w:sz w:val="24"/>
                <w:szCs w:val="24"/>
                <w:shd w:val="clear" w:color="auto" w:fill="auto"/>
              </w:rPr>
            </w:pPr>
            <w:r>
              <w:rPr>
                <w:kern w:val="0"/>
                <w:sz w:val="24"/>
                <w:szCs w:val="24"/>
                <w:shd w:val="clear" w:color="auto" w:fill="auto"/>
              </w:rPr>
              <w:t>第二十条第（六）项</w:t>
            </w:r>
          </w:p>
        </w:tc>
      </w:tr>
      <w:tr>
        <w:trPr>
          <w:trHeight w:val="68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87"/>
              <w:widowControl/>
              <w:shd w:val="clear" w:color="auto" w:fill="auto"/>
              <w:adjustRightInd w:val="0"/>
              <w:snapToGrid w:val="0"/>
              <w:spacing w:line="260" w:lineRule="exact"/>
              <w:jc w:val="center"/>
              <w:rPr>
                <w:sz w:val="24"/>
                <w:szCs w:val="24"/>
                <w:shd w:val="clear" w:color="auto" w:fill="auto"/>
              </w:rPr>
            </w:pPr>
            <w:r>
              <w:rPr>
                <w:rFonts w:ascii="宋体" w:cs="宋体" w:hint="eastAsia"/>
                <w:kern w:val="0"/>
                <w:sz w:val="24"/>
                <w:szCs w:val="24"/>
                <w:shd w:val="clear" w:color="auto" w:fill="auto"/>
              </w:rPr>
              <w:t>信息内容</w:t>
            </w:r>
          </w:p>
        </w:tc>
        <w:tc>
          <w:tcPr>
            <w:tcW w:w="6275" w:type="dxa"/>
            <w:gridSpan w:val="3"/>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91"/>
              <w:widowControl/>
              <w:shd w:val="clear" w:color="auto" w:fill="auto"/>
              <w:adjustRightInd w:val="0"/>
              <w:snapToGrid w:val="0"/>
              <w:spacing w:line="260" w:lineRule="exact"/>
              <w:jc w:val="center"/>
              <w:rPr>
                <w:sz w:val="24"/>
                <w:szCs w:val="24"/>
                <w:shd w:val="clear" w:color="auto" w:fill="auto"/>
              </w:rPr>
            </w:pPr>
            <w:r>
              <w:rPr>
                <w:kern w:val="0"/>
                <w:sz w:val="24"/>
                <w:szCs w:val="24"/>
                <w:shd w:val="clear" w:color="auto" w:fill="auto"/>
              </w:rPr>
              <w:t>本年处理决定数量</w:t>
            </w:r>
          </w:p>
        </w:tc>
      </w:tr>
      <w:tr>
        <w:trPr>
          <w:trHeight w:val="51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87"/>
              <w:widowControl/>
              <w:shd w:val="clear" w:color="auto" w:fill="auto"/>
              <w:adjustRightInd w:val="0"/>
              <w:snapToGrid w:val="0"/>
              <w:spacing w:line="260" w:lineRule="exact"/>
              <w:jc w:val="center"/>
              <w:rPr>
                <w:sz w:val="24"/>
                <w:szCs w:val="24"/>
                <w:shd w:val="clear" w:color="auto" w:fill="auto"/>
              </w:rPr>
            </w:pPr>
            <w:r>
              <w:rPr>
                <w:rFonts w:ascii="宋体" w:cs="宋体" w:hint="eastAsia"/>
                <w:kern w:val="0"/>
                <w:sz w:val="24"/>
                <w:szCs w:val="24"/>
                <w:shd w:val="clear" w:color="auto" w:fill="auto"/>
              </w:rPr>
              <w:t>行政处罚</w:t>
            </w:r>
          </w:p>
        </w:tc>
        <w:tc>
          <w:tcPr>
            <w:tcW w:w="6275" w:type="dxa"/>
            <w:gridSpan w:val="3"/>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92"/>
              <w:shd w:val="clear" w:color="auto" w:fill="auto"/>
              <w:ind w:left="0"/>
              <w:jc w:val="center"/>
              <w:rPr>
                <w:shd w:val="clear" w:color="auto" w:fill="auto"/>
              </w:rPr>
            </w:pPr>
            <w:r>
              <w:rPr>
                <w:sz w:val="24"/>
                <w:szCs w:val="24"/>
                <w:shd w:val="clear" w:color="auto" w:fill="auto"/>
              </w:rPr>
              <w:t>123</w:t>
            </w:r>
          </w:p>
        </w:tc>
      </w:tr>
      <w:tr>
        <w:trPr>
          <w:trHeight w:val="51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87"/>
              <w:widowControl/>
              <w:shd w:val="clear" w:color="auto" w:fill="auto"/>
              <w:adjustRightInd w:val="0"/>
              <w:snapToGrid w:val="0"/>
              <w:spacing w:line="260" w:lineRule="exact"/>
              <w:jc w:val="center"/>
              <w:rPr>
                <w:sz w:val="24"/>
                <w:szCs w:val="24"/>
                <w:shd w:val="clear" w:color="auto" w:fill="auto"/>
              </w:rPr>
            </w:pPr>
            <w:r>
              <w:rPr>
                <w:rFonts w:ascii="宋体" w:cs="宋体" w:hint="eastAsia"/>
                <w:kern w:val="0"/>
                <w:sz w:val="24"/>
                <w:szCs w:val="24"/>
                <w:shd w:val="clear" w:color="auto" w:fill="auto"/>
              </w:rPr>
              <w:t>行政强制</w:t>
            </w:r>
          </w:p>
        </w:tc>
        <w:tc>
          <w:tcPr>
            <w:tcW w:w="6275" w:type="dxa"/>
            <w:gridSpan w:val="3"/>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93"/>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rPr>
          <w:trHeight w:val="474"/>
        </w:trPr>
        <w:tc>
          <w:tcPr>
            <w:tcW w:w="8995" w:type="dxa"/>
            <w:gridSpan w:val="4"/>
            <w:tcBorders>
              <w:top w:val="nil"/>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pPr>
              <w:pStyle w:val="87"/>
              <w:widowControl/>
              <w:shd w:val="clear" w:color="auto" w:fill="auto"/>
              <w:jc w:val="center"/>
              <w:rPr>
                <w:sz w:val="24"/>
                <w:szCs w:val="24"/>
                <w:shd w:val="clear" w:color="auto" w:fill="auto"/>
              </w:rPr>
            </w:pPr>
            <w:r>
              <w:rPr>
                <w:rFonts w:ascii="宋体" w:cs="宋体" w:hint="eastAsia"/>
                <w:kern w:val="0"/>
                <w:sz w:val="24"/>
                <w:szCs w:val="24"/>
                <w:shd w:val="clear" w:color="auto" w:fill="auto"/>
              </w:rPr>
              <w:t>第二十条第（八）项</w:t>
            </w:r>
          </w:p>
        </w:tc>
      </w:tr>
      <w:tr>
        <w:trPr>
          <w:trHeight w:val="68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87"/>
              <w:widowControl/>
              <w:shd w:val="clear" w:color="auto" w:fill="auto"/>
              <w:adjustRightInd w:val="0"/>
              <w:snapToGrid w:val="0"/>
              <w:spacing w:line="260" w:lineRule="exact"/>
              <w:jc w:val="center"/>
              <w:rPr>
                <w:sz w:val="24"/>
                <w:szCs w:val="24"/>
                <w:shd w:val="clear" w:color="auto" w:fill="auto"/>
              </w:rPr>
            </w:pPr>
            <w:r>
              <w:rPr>
                <w:rFonts w:ascii="宋体" w:cs="宋体" w:hint="eastAsia"/>
                <w:kern w:val="0"/>
                <w:sz w:val="24"/>
                <w:szCs w:val="24"/>
                <w:shd w:val="clear" w:color="auto" w:fill="auto"/>
              </w:rPr>
              <w:t>信息内容</w:t>
            </w:r>
          </w:p>
        </w:tc>
        <w:tc>
          <w:tcPr>
            <w:tcW w:w="6275" w:type="dxa"/>
            <w:gridSpan w:val="3"/>
            <w:tcBorders>
              <w:top w:val="nil"/>
              <w:left w:val="nil"/>
              <w:bottom w:val="single" w:sz="8" w:space="0" w:color="auto"/>
              <w:right w:val="single" w:sz="8" w:space="0" w:color="000000"/>
              <w:tl2br w:val="nil"/>
              <w:tr2bl w:val="nil"/>
            </w:tcBorders>
            <w:shd w:val="clear" w:color="auto" w:fill="auto"/>
            <w:tcMar>
              <w:left w:w="108" w:type="dxa"/>
              <w:right w:w="108" w:type="dxa"/>
            </w:tcMar>
            <w:vAlign w:val="center"/>
          </w:tcPr>
          <w:p>
            <w:pPr>
              <w:pStyle w:val="94"/>
              <w:widowControl/>
              <w:shd w:val="clear" w:color="auto" w:fill="auto"/>
              <w:adjustRightInd w:val="0"/>
              <w:snapToGrid w:val="0"/>
              <w:spacing w:line="260" w:lineRule="exact"/>
              <w:jc w:val="center"/>
              <w:rPr>
                <w:sz w:val="24"/>
                <w:szCs w:val="24"/>
                <w:shd w:val="clear" w:color="auto" w:fill="auto"/>
              </w:rPr>
            </w:pPr>
            <w:r>
              <w:rPr>
                <w:rFonts w:ascii="宋体" w:cs="宋体" w:hint="eastAsia"/>
                <w:kern w:val="0"/>
                <w:sz w:val="24"/>
                <w:szCs w:val="24"/>
                <w:shd w:val="clear" w:color="auto" w:fill="auto"/>
              </w:rPr>
              <w:t>本年收费金额（单位：万元）</w:t>
            </w:r>
          </w:p>
        </w:tc>
      </w:tr>
      <w:tr>
        <w:trPr>
          <w:trHeight w:val="51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87"/>
              <w:widowControl/>
              <w:shd w:val="clear" w:color="auto" w:fill="auto"/>
              <w:adjustRightInd w:val="0"/>
              <w:snapToGrid w:val="0"/>
              <w:spacing w:line="260" w:lineRule="exact"/>
              <w:jc w:val="center"/>
              <w:rPr>
                <w:shd w:val="clear" w:color="auto" w:fill="auto"/>
              </w:rPr>
            </w:pPr>
            <w:r>
              <w:rPr>
                <w:rFonts w:ascii="宋体" w:cs="宋体" w:hint="eastAsia"/>
                <w:kern w:val="0"/>
                <w:sz w:val="24"/>
                <w:szCs w:val="24"/>
                <w:shd w:val="clear" w:color="auto" w:fill="auto"/>
              </w:rPr>
              <w:t>行政事业性收费</w:t>
            </w:r>
          </w:p>
        </w:tc>
        <w:tc>
          <w:tcPr>
            <w:tcW w:w="6275" w:type="dxa"/>
            <w:gridSpan w:val="3"/>
            <w:tcBorders>
              <w:top w:val="nil"/>
              <w:left w:val="nil"/>
              <w:bottom w:val="single" w:sz="8" w:space="0" w:color="auto"/>
              <w:right w:val="single" w:sz="8" w:space="0" w:color="000000"/>
              <w:tl2br w:val="nil"/>
              <w:tr2bl w:val="nil"/>
            </w:tcBorders>
            <w:shd w:val="clear" w:color="auto" w:fill="auto"/>
            <w:tcMar>
              <w:left w:w="108" w:type="dxa"/>
              <w:right w:w="108" w:type="dxa"/>
            </w:tcMar>
            <w:vAlign w:val="center"/>
          </w:tcPr>
          <w:p>
            <w:pPr>
              <w:pStyle w:val="87"/>
              <w:shd w:val="clear" w:color="auto" w:fill="auto"/>
              <w:jc w:val="center"/>
              <w:rPr>
                <w:rFonts w:eastAsia="方正仿宋_GBK" w:cs="宋体"/>
                <w:sz w:val="24"/>
                <w:szCs w:val="24"/>
                <w:shd w:val="clear" w:color="auto" w:fill="auto"/>
              </w:rPr>
            </w:pPr>
            <w:r>
              <w:rPr>
                <w:rFonts w:eastAsia="方正仿宋_GBK" w:cs="宋体"/>
                <w:sz w:val="24"/>
                <w:szCs w:val="24"/>
                <w:shd w:val="clear" w:color="auto" w:fill="auto"/>
              </w:rPr>
              <w:t>0</w:t>
            </w:r>
          </w:p>
        </w:tc>
      </w:tr>
    </w:tbl>
    <w:p>
      <w:pPr>
        <w:pStyle w:val="25"/>
        <w:widowControl/>
        <w:shd w:val="clear" w:color="auto" w:fill="auto"/>
        <w:adjustRightInd w:val="0"/>
        <w:snapToGrid w:val="0"/>
        <w:spacing w:before="0" w:beforeAutospacing="0" w:after="0" w:afterAutospacing="0" w:line="560" w:lineRule="exact"/>
        <w:ind w:firstLineChars="200" w:firstLine="640"/>
        <w:jc w:val="both"/>
        <w:rPr>
          <w:rFonts w:eastAsia="方正仿宋_GBK" w:cs="方正黑体_GBK" w:hint="eastAsia"/>
          <w:kern w:val="2"/>
          <w:sz w:val="32"/>
          <w:szCs w:val="32"/>
          <w:shd w:val="clear" w:color="auto" w:fill="auto"/>
        </w:rPr>
      </w:pPr>
      <w:r>
        <w:rPr>
          <w:rFonts w:eastAsia="方正仿宋_GBK" w:cs="方正黑体_GBK" w:hint="eastAsia"/>
          <w:kern w:val="2"/>
          <w:sz w:val="32"/>
          <w:szCs w:val="32"/>
          <w:shd w:val="clear" w:color="auto" w:fill="auto"/>
        </w:rPr>
        <w:t>*备注：本表格行政许可的处理决定数量，包括本机关在本年度内作出的准予许可决定、不予许可决定、变更许可决定、延期（延续）许可决定、撤销许可决定、撤回许可决定等。</w:t>
      </w:r>
    </w:p>
    <w:p>
      <w:pPr>
        <w:pStyle w:val="96"/>
        <w:widowControl/>
        <w:shd w:val="clear" w:color="auto" w:fill="auto"/>
        <w:adjustRightInd w:val="0"/>
        <w:snapToGrid w:val="0"/>
        <w:spacing w:beforeAutospacing="0" w:afterAutospacing="0" w:line="560" w:lineRule="exact"/>
        <w:ind w:firstLineChars="200" w:firstLine="640"/>
        <w:jc w:val="both"/>
        <w:rPr>
          <w:rFonts w:ascii="方正黑体_GBK" w:eastAsia="方正黑体_GBK" w:cs="楷体_GB2312"/>
          <w:bCs/>
          <w:sz w:val="32"/>
          <w:szCs w:val="32"/>
          <w:shd w:val="clear" w:color="auto" w:fill="auto"/>
        </w:rPr>
      </w:pPr>
      <w:bookmarkStart w:id="2" w:name="_GoBack"/>
      <w:bookmarkEnd w:id="2"/>
      <w:r>
        <w:rPr>
          <w:rFonts w:ascii="方正黑体_GBK" w:eastAsia="方正黑体_GBK" w:cs="楷体_GB2312" w:hint="eastAsia"/>
          <w:bCs/>
          <w:sz w:val="32"/>
          <w:szCs w:val="32"/>
          <w:shd w:val="clear" w:color="auto" w:fill="auto"/>
        </w:rPr>
        <w:t>三、收到和处理政府信息公开申请情况</w:t>
      </w:r>
    </w:p>
    <w:tbl>
      <w:tblPr>
        <w:jc w:val="center"/>
        <w:tblW w:w="9071" w:type="dxa"/>
        <w:tblBorders>
          <w:top w:val="none" w:sz="0" w:space="0" w:color="auto"/>
          <w:left w:val="none" w:sz="0" w:space="0" w:color="auto"/>
          <w:bottom w:val="none" w:sz="0" w:space="0" w:color="auto"/>
          <w:right w:val="none" w:sz="0" w:space="0" w:color="auto"/>
          <w:insideH w:val="outset" w:sz="6" w:space="0" w:color="auto"/>
          <w:insideV w:val="outset" w:sz="6" w:space="0" w:color="auto"/>
        </w:tblBorders>
        <w:tblLayout w:type="fixed"/>
        <w:tblCellMar>
          <w:top w:w="0" w:type="dxa"/>
          <w:left w:w="0" w:type="dxa"/>
          <w:bottom w:w="0" w:type="dxa"/>
          <w:right w:w="0" w:type="dxa"/>
        </w:tblCellMar>
      </w:tblPr>
      <w:tblGrid>
        <w:gridCol w:w="696"/>
        <w:gridCol w:w="936"/>
        <w:gridCol w:w="2670"/>
        <w:gridCol w:w="635"/>
        <w:gridCol w:w="675"/>
        <w:gridCol w:w="750"/>
        <w:gridCol w:w="765"/>
        <w:gridCol w:w="765"/>
        <w:gridCol w:w="497"/>
        <w:gridCol w:w="682"/>
      </w:tblGrid>
      <w:tr>
        <w:trPr>
          <w:tblHeader/>
        </w:trPr>
        <w:tc>
          <w:tcPr>
            <w:tcW w:w="4302" w:type="dxa"/>
            <w:gridSpan w:val="3"/>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87"/>
              <w:widowControl/>
              <w:shd w:val="clear" w:color="auto" w:fill="auto"/>
              <w:jc w:val="center"/>
              <w:rPr>
                <w:shd w:val="clear" w:color="auto" w:fill="auto"/>
              </w:rPr>
            </w:pPr>
            <w:r>
              <w:rPr>
                <w:rFonts w:ascii="宋体" w:cs="宋体" w:hint="eastAsia"/>
                <w:kern w:val="0"/>
                <w:sz w:val="20"/>
                <w:szCs w:val="20"/>
                <w:shd w:val="clear" w:color="auto" w:fill="auto"/>
              </w:rPr>
              <w:t>（本列数据的勾稽关系为：第一项加第二项之和，等于第三项加第四项之和）</w:t>
            </w:r>
          </w:p>
        </w:tc>
        <w:tc>
          <w:tcPr>
            <w:tcW w:w="4769" w:type="dxa"/>
            <w:gridSpan w:val="7"/>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widowControl/>
              <w:shd w:val="clear" w:color="auto" w:fill="auto"/>
              <w:jc w:val="center"/>
              <w:rPr>
                <w:shd w:val="clear" w:color="auto" w:fill="auto"/>
              </w:rPr>
            </w:pPr>
            <w:r>
              <w:rPr>
                <w:rFonts w:ascii="宋体" w:cs="宋体" w:hint="eastAsia"/>
                <w:kern w:val="0"/>
                <w:sz w:val="20"/>
                <w:szCs w:val="20"/>
                <w:shd w:val="clear" w:color="auto" w:fill="auto"/>
              </w:rPr>
              <w:t>申请人情况</w:t>
            </w:r>
          </w:p>
        </w:tc>
      </w:tr>
      <w:tr>
        <w:trPr>
          <w:tblHeader/>
        </w:trPr>
        <w:tc>
          <w:tcPr>
            <w:tcW w:w="4302" w:type="dxa"/>
            <w:gridSpan w:val="3"/>
            <w:vMerge/>
            <w:tcBorders>
              <w:top w:val="single" w:sz="8" w:space="0" w:color="auto"/>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635"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widowControl/>
              <w:shd w:val="clear" w:color="auto" w:fill="auto"/>
              <w:jc w:val="center"/>
              <w:rPr>
                <w:shd w:val="clear" w:color="auto" w:fill="auto"/>
              </w:rPr>
            </w:pPr>
            <w:r>
              <w:rPr>
                <w:rFonts w:ascii="宋体" w:cs="宋体" w:hint="eastAsia"/>
                <w:kern w:val="0"/>
                <w:sz w:val="20"/>
                <w:szCs w:val="20"/>
                <w:shd w:val="clear" w:color="auto" w:fill="auto"/>
              </w:rPr>
              <w:t>自然人</w:t>
            </w:r>
          </w:p>
        </w:tc>
        <w:tc>
          <w:tcPr>
            <w:tcW w:w="3452" w:type="dxa"/>
            <w:gridSpan w:val="5"/>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widowControl/>
              <w:shd w:val="clear" w:color="auto" w:fill="auto"/>
              <w:jc w:val="center"/>
              <w:rPr>
                <w:shd w:val="clear" w:color="auto" w:fill="auto"/>
              </w:rPr>
            </w:pPr>
            <w:r>
              <w:rPr>
                <w:rFonts w:ascii="宋体" w:cs="宋体" w:hint="eastAsia"/>
                <w:kern w:val="0"/>
                <w:sz w:val="20"/>
                <w:szCs w:val="20"/>
                <w:shd w:val="clear" w:color="auto" w:fill="auto"/>
              </w:rPr>
              <w:t>法人或其他组织</w:t>
            </w:r>
          </w:p>
        </w:tc>
        <w:tc>
          <w:tcPr>
            <w:tcW w:w="682" w:type="dxa"/>
            <w:vMerge w:val="restart"/>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widowControl/>
              <w:shd w:val="clear" w:color="auto" w:fill="auto"/>
              <w:jc w:val="center"/>
              <w:rPr>
                <w:shd w:val="clear" w:color="auto" w:fill="auto"/>
              </w:rPr>
            </w:pPr>
            <w:r>
              <w:rPr>
                <w:rFonts w:ascii="宋体" w:cs="宋体" w:hint="eastAsia"/>
                <w:kern w:val="0"/>
                <w:sz w:val="20"/>
                <w:szCs w:val="20"/>
                <w:shd w:val="clear" w:color="auto" w:fill="auto"/>
              </w:rPr>
              <w:t>总计</w:t>
            </w:r>
          </w:p>
        </w:tc>
      </w:tr>
      <w:tr>
        <w:trPr>
          <w:trHeight w:val="649"/>
          <w:tblHeader/>
        </w:trPr>
        <w:tc>
          <w:tcPr>
            <w:tcW w:w="4302" w:type="dxa"/>
            <w:gridSpan w:val="3"/>
            <w:vMerge/>
            <w:tcBorders>
              <w:top w:val="single" w:sz="8" w:space="0" w:color="auto"/>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635"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widowControl/>
              <w:shd w:val="clear" w:color="auto" w:fill="auto"/>
              <w:jc w:val="center"/>
              <w:rPr>
                <w:shd w:val="clear" w:color="auto" w:fill="auto"/>
              </w:rPr>
            </w:pPr>
            <w:r>
              <w:rPr>
                <w:rFonts w:ascii="宋体" w:cs="宋体" w:hint="eastAsia"/>
                <w:kern w:val="0"/>
                <w:sz w:val="20"/>
                <w:szCs w:val="20"/>
                <w:shd w:val="clear" w:color="auto" w:fill="auto"/>
              </w:rPr>
              <w:t>商业企业</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widowControl/>
              <w:shd w:val="clear" w:color="auto" w:fill="auto"/>
              <w:jc w:val="center"/>
              <w:rPr>
                <w:shd w:val="clear" w:color="auto" w:fill="auto"/>
              </w:rPr>
            </w:pPr>
            <w:r>
              <w:rPr>
                <w:rFonts w:ascii="宋体" w:cs="宋体" w:hint="eastAsia"/>
                <w:kern w:val="0"/>
                <w:sz w:val="20"/>
                <w:szCs w:val="20"/>
                <w:shd w:val="clear" w:color="auto" w:fill="auto"/>
              </w:rPr>
              <w:t>科研机构</w:t>
            </w:r>
          </w:p>
        </w:tc>
        <w:tc>
          <w:tcPr>
            <w:tcW w:w="76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widowControl/>
              <w:shd w:val="clear" w:color="auto" w:fill="auto"/>
              <w:jc w:val="center"/>
              <w:rPr>
                <w:shd w:val="clear" w:color="auto" w:fill="auto"/>
              </w:rPr>
            </w:pPr>
            <w:r>
              <w:rPr>
                <w:rFonts w:ascii="宋体" w:cs="宋体" w:hint="eastAsia"/>
                <w:kern w:val="0"/>
                <w:sz w:val="20"/>
                <w:szCs w:val="20"/>
                <w:shd w:val="clear" w:color="auto" w:fill="auto"/>
              </w:rPr>
              <w:t>社会公益组织</w:t>
            </w:r>
          </w:p>
        </w:tc>
        <w:tc>
          <w:tcPr>
            <w:tcW w:w="76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widowControl/>
              <w:shd w:val="clear" w:color="auto" w:fill="auto"/>
              <w:jc w:val="center"/>
              <w:rPr>
                <w:shd w:val="clear" w:color="auto" w:fill="auto"/>
              </w:rPr>
            </w:pPr>
            <w:r>
              <w:rPr>
                <w:rFonts w:ascii="宋体" w:cs="宋体" w:hint="eastAsia"/>
                <w:kern w:val="0"/>
                <w:sz w:val="20"/>
                <w:szCs w:val="20"/>
                <w:shd w:val="clear" w:color="auto" w:fill="auto"/>
              </w:rPr>
              <w:t>法律服务机构</w:t>
            </w:r>
          </w:p>
        </w:tc>
        <w:tc>
          <w:tcPr>
            <w:tcW w:w="497"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widowControl/>
              <w:shd w:val="clear" w:color="auto" w:fill="auto"/>
              <w:jc w:val="center"/>
              <w:rPr>
                <w:shd w:val="clear" w:color="auto" w:fill="auto"/>
              </w:rPr>
            </w:pPr>
            <w:r>
              <w:rPr>
                <w:rFonts w:ascii="宋体" w:cs="宋体" w:hint="eastAsia"/>
                <w:kern w:val="0"/>
                <w:sz w:val="20"/>
                <w:szCs w:val="20"/>
                <w:shd w:val="clear" w:color="auto" w:fill="auto"/>
              </w:rPr>
              <w:t>其他</w:t>
            </w:r>
          </w:p>
        </w:tc>
        <w:tc>
          <w:tcPr>
            <w:tcW w:w="682" w:type="dxa"/>
            <w:vMerge/>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tc>
      </w:tr>
      <w:tr>
        <w:tc>
          <w:tcPr>
            <w:tcW w:w="4302" w:type="dxa"/>
            <w:gridSpan w:val="3"/>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tcPr>
          <w:p>
            <w:pPr>
              <w:pStyle w:val="87"/>
              <w:widowControl/>
              <w:shd w:val="clear" w:color="auto" w:fill="auto"/>
              <w:jc w:val="left"/>
              <w:rPr>
                <w:sz w:val="24"/>
                <w:szCs w:val="24"/>
                <w:shd w:val="clear" w:color="auto" w:fill="auto"/>
              </w:rPr>
            </w:pPr>
            <w:r>
              <w:rPr>
                <w:rFonts w:ascii="宋体" w:cs="宋体" w:hint="eastAsia"/>
                <w:kern w:val="0"/>
                <w:sz w:val="24"/>
                <w:szCs w:val="24"/>
                <w:shd w:val="clear" w:color="auto" w:fill="auto"/>
              </w:rPr>
              <w:t>一、本年新收政府信息公开申请数量</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c>
          <w:tcPr>
            <w:tcW w:w="4302" w:type="dxa"/>
            <w:gridSpan w:val="3"/>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tcPr>
          <w:p>
            <w:pPr>
              <w:pStyle w:val="87"/>
              <w:widowControl/>
              <w:shd w:val="clear" w:color="auto" w:fill="auto"/>
              <w:jc w:val="left"/>
              <w:rPr>
                <w:sz w:val="24"/>
                <w:szCs w:val="24"/>
                <w:shd w:val="clear" w:color="auto" w:fill="auto"/>
              </w:rPr>
            </w:pPr>
            <w:r>
              <w:rPr>
                <w:rFonts w:ascii="宋体" w:cs="宋体" w:hint="eastAsia"/>
                <w:kern w:val="0"/>
                <w:sz w:val="24"/>
                <w:szCs w:val="24"/>
                <w:shd w:val="clear" w:color="auto" w:fill="auto"/>
              </w:rPr>
              <w:t>二、上年结转政府信息公开申请数量</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c>
          <w:tcPr>
            <w:tcW w:w="696" w:type="dxa"/>
            <w:vMerge w:val="restart"/>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87"/>
              <w:widowControl/>
              <w:shd w:val="clear" w:color="auto" w:fill="auto"/>
              <w:jc w:val="center"/>
              <w:rPr>
                <w:sz w:val="24"/>
                <w:szCs w:val="24"/>
                <w:shd w:val="clear" w:color="auto" w:fill="auto"/>
              </w:rPr>
            </w:pPr>
            <w:r>
              <w:rPr>
                <w:rFonts w:ascii="宋体" w:cs="宋体" w:hint="eastAsia"/>
                <w:kern w:val="0"/>
                <w:sz w:val="24"/>
                <w:szCs w:val="24"/>
                <w:shd w:val="clear" w:color="auto" w:fill="auto"/>
              </w:rPr>
              <w:t>三、本年度办理结果</w:t>
            </w:r>
          </w:p>
        </w:tc>
        <w:tc>
          <w:tcPr>
            <w:tcW w:w="3606" w:type="dxa"/>
            <w:gridSpan w:val="2"/>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widowControl/>
              <w:shd w:val="clear" w:color="auto" w:fill="auto"/>
              <w:jc w:val="left"/>
              <w:rPr>
                <w:sz w:val="24"/>
                <w:szCs w:val="24"/>
                <w:shd w:val="clear" w:color="auto" w:fill="auto"/>
              </w:rPr>
            </w:pPr>
            <w:r>
              <w:rPr>
                <w:rFonts w:ascii="楷体" w:eastAsia="楷体" w:cs="楷体" w:hint="eastAsia"/>
                <w:kern w:val="0"/>
                <w:sz w:val="24"/>
                <w:szCs w:val="24"/>
                <w:shd w:val="clear" w:color="auto" w:fill="auto"/>
              </w:rPr>
              <w:t>（一）予以公开</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3606" w:type="dxa"/>
            <w:gridSpan w:val="2"/>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widowControl/>
              <w:shd w:val="clear" w:color="auto" w:fill="auto"/>
              <w:jc w:val="left"/>
              <w:rPr>
                <w:sz w:val="24"/>
                <w:szCs w:val="24"/>
                <w:shd w:val="clear" w:color="auto" w:fill="auto"/>
              </w:rPr>
            </w:pPr>
            <w:r>
              <w:rPr>
                <w:rFonts w:ascii="楷体" w:eastAsia="楷体" w:cs="楷体" w:hint="eastAsia"/>
                <w:kern w:val="0"/>
                <w:sz w:val="24"/>
                <w:szCs w:val="24"/>
                <w:shd w:val="clear" w:color="auto" w:fill="auto"/>
              </w:rPr>
              <w:t>（二）部分公开（区分处理的，只计这一情形，不计其他情形）</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widowControl/>
              <w:shd w:val="clear" w:color="auto" w:fill="auto"/>
              <w:rPr>
                <w:sz w:val="24"/>
                <w:szCs w:val="24"/>
                <w:shd w:val="clear" w:color="auto" w:fill="auto"/>
              </w:rPr>
            </w:pPr>
            <w:r>
              <w:rPr>
                <w:rFonts w:ascii="楷体" w:eastAsia="楷体" w:cs="楷体" w:hint="eastAsia"/>
                <w:kern w:val="0"/>
                <w:sz w:val="24"/>
                <w:szCs w:val="24"/>
                <w:shd w:val="clear" w:color="auto" w:fill="auto"/>
              </w:rPr>
              <w:t>（三）不予公开</w:t>
            </w: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widowControl/>
              <w:shd w:val="clear" w:color="auto" w:fill="auto"/>
              <w:rPr>
                <w:sz w:val="24"/>
                <w:szCs w:val="24"/>
                <w:shd w:val="clear" w:color="auto" w:fill="auto"/>
              </w:rPr>
            </w:pPr>
            <w:r>
              <w:rPr>
                <w:rFonts w:ascii="楷体" w:eastAsia="楷体" w:cs="楷体" w:hint="eastAsia"/>
                <w:kern w:val="0"/>
                <w:sz w:val="24"/>
                <w:szCs w:val="24"/>
                <w:shd w:val="clear" w:color="auto" w:fill="auto"/>
              </w:rPr>
              <w:t>1.属于国家秘密</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widowControl/>
              <w:shd w:val="clear" w:color="auto" w:fill="auto"/>
              <w:rPr>
                <w:sz w:val="24"/>
                <w:szCs w:val="24"/>
                <w:shd w:val="clear" w:color="auto" w:fill="auto"/>
              </w:rPr>
            </w:pPr>
            <w:r>
              <w:rPr>
                <w:rFonts w:ascii="楷体" w:eastAsia="楷体" w:cs="楷体" w:hint="eastAsia"/>
                <w:kern w:val="0"/>
                <w:sz w:val="24"/>
                <w:szCs w:val="24"/>
                <w:shd w:val="clear" w:color="auto" w:fill="auto"/>
              </w:rPr>
              <w:t>2.其他法律行政法规禁止公开</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widowControl/>
              <w:shd w:val="clear" w:color="auto" w:fill="auto"/>
              <w:rPr>
                <w:sz w:val="24"/>
                <w:szCs w:val="24"/>
                <w:shd w:val="clear" w:color="auto" w:fill="auto"/>
              </w:rPr>
            </w:pPr>
            <w:r>
              <w:rPr>
                <w:rFonts w:ascii="楷体" w:eastAsia="楷体" w:cs="楷体" w:hint="eastAsia"/>
                <w:kern w:val="0"/>
                <w:sz w:val="24"/>
                <w:szCs w:val="24"/>
                <w:shd w:val="clear" w:color="auto" w:fill="auto"/>
              </w:rPr>
              <w:t>3.危及“三安全一稳定”</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widowControl/>
              <w:shd w:val="clear" w:color="auto" w:fill="auto"/>
              <w:rPr>
                <w:sz w:val="24"/>
                <w:szCs w:val="24"/>
                <w:shd w:val="clear" w:color="auto" w:fill="auto"/>
              </w:rPr>
            </w:pPr>
            <w:r>
              <w:rPr>
                <w:rFonts w:ascii="楷体" w:eastAsia="楷体" w:cs="楷体" w:hint="eastAsia"/>
                <w:kern w:val="0"/>
                <w:sz w:val="24"/>
                <w:szCs w:val="24"/>
                <w:shd w:val="clear" w:color="auto" w:fill="auto"/>
              </w:rPr>
              <w:t>4.保护第三方合法权益</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widowControl/>
              <w:shd w:val="clear" w:color="auto" w:fill="auto"/>
              <w:rPr>
                <w:sz w:val="24"/>
                <w:szCs w:val="24"/>
                <w:shd w:val="clear" w:color="auto" w:fill="auto"/>
              </w:rPr>
            </w:pPr>
            <w:r>
              <w:rPr>
                <w:rFonts w:ascii="楷体" w:eastAsia="楷体" w:cs="楷体" w:hint="eastAsia"/>
                <w:kern w:val="0"/>
                <w:sz w:val="24"/>
                <w:szCs w:val="24"/>
                <w:shd w:val="clear" w:color="auto" w:fill="auto"/>
              </w:rPr>
              <w:t>5.属于三类内部事务信息</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widowControl/>
              <w:shd w:val="clear" w:color="auto" w:fill="auto"/>
              <w:rPr>
                <w:sz w:val="24"/>
                <w:szCs w:val="24"/>
                <w:shd w:val="clear" w:color="auto" w:fill="auto"/>
              </w:rPr>
            </w:pPr>
            <w:r>
              <w:rPr>
                <w:rFonts w:ascii="楷体" w:eastAsia="楷体" w:cs="楷体" w:hint="eastAsia"/>
                <w:kern w:val="0"/>
                <w:sz w:val="24"/>
                <w:szCs w:val="24"/>
                <w:shd w:val="clear" w:color="auto" w:fill="auto"/>
              </w:rPr>
              <w:t>6.属于四类过程性信息</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widowControl/>
              <w:shd w:val="clear" w:color="auto" w:fill="auto"/>
              <w:rPr>
                <w:sz w:val="24"/>
                <w:szCs w:val="24"/>
                <w:shd w:val="clear" w:color="auto" w:fill="auto"/>
              </w:rPr>
            </w:pPr>
            <w:r>
              <w:rPr>
                <w:rFonts w:ascii="楷体" w:eastAsia="楷体" w:cs="楷体" w:hint="eastAsia"/>
                <w:kern w:val="0"/>
                <w:sz w:val="24"/>
                <w:szCs w:val="24"/>
                <w:shd w:val="clear" w:color="auto" w:fill="auto"/>
              </w:rPr>
              <w:t>7.属于行政执法案卷</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widowControl/>
              <w:shd w:val="clear" w:color="auto" w:fill="auto"/>
              <w:rPr>
                <w:sz w:val="24"/>
                <w:szCs w:val="24"/>
                <w:shd w:val="clear" w:color="auto" w:fill="auto"/>
              </w:rPr>
            </w:pPr>
            <w:r>
              <w:rPr>
                <w:rFonts w:ascii="楷体" w:eastAsia="楷体" w:cs="楷体" w:hint="eastAsia"/>
                <w:kern w:val="0"/>
                <w:sz w:val="24"/>
                <w:szCs w:val="24"/>
                <w:shd w:val="clear" w:color="auto" w:fill="auto"/>
              </w:rPr>
              <w:t>8.属于行政查询事项</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widowControl/>
              <w:shd w:val="clear" w:color="auto" w:fill="auto"/>
              <w:rPr>
                <w:sz w:val="24"/>
                <w:szCs w:val="24"/>
                <w:shd w:val="clear" w:color="auto" w:fill="auto"/>
              </w:rPr>
            </w:pPr>
            <w:r>
              <w:rPr>
                <w:rFonts w:ascii="楷体" w:eastAsia="楷体" w:cs="楷体" w:hint="eastAsia"/>
                <w:kern w:val="0"/>
                <w:sz w:val="24"/>
                <w:szCs w:val="24"/>
                <w:shd w:val="clear" w:color="auto" w:fill="auto"/>
              </w:rPr>
              <w:t>（四）无法提供</w:t>
            </w: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widowControl/>
              <w:shd w:val="clear" w:color="auto" w:fill="auto"/>
              <w:rPr>
                <w:sz w:val="24"/>
                <w:szCs w:val="24"/>
                <w:shd w:val="clear" w:color="auto" w:fill="auto"/>
              </w:rPr>
            </w:pPr>
            <w:r>
              <w:rPr>
                <w:rFonts w:ascii="楷体" w:eastAsia="楷体" w:cs="楷体" w:hint="eastAsia"/>
                <w:kern w:val="0"/>
                <w:sz w:val="24"/>
                <w:szCs w:val="24"/>
                <w:shd w:val="clear" w:color="auto" w:fill="auto"/>
              </w:rPr>
              <w:t>1.本机关不掌握相关政府信息</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widowControl/>
              <w:shd w:val="clear" w:color="auto" w:fill="auto"/>
              <w:rPr>
                <w:sz w:val="24"/>
                <w:szCs w:val="24"/>
                <w:shd w:val="clear" w:color="auto" w:fill="auto"/>
              </w:rPr>
            </w:pPr>
            <w:r>
              <w:rPr>
                <w:rFonts w:ascii="楷体" w:eastAsia="楷体" w:cs="楷体" w:hint="eastAsia"/>
                <w:kern w:val="0"/>
                <w:sz w:val="24"/>
                <w:szCs w:val="24"/>
                <w:shd w:val="clear" w:color="auto" w:fill="auto"/>
              </w:rPr>
              <w:t>2.没有现成信息需要另行制作</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widowControl/>
              <w:shd w:val="clear" w:color="auto" w:fill="auto"/>
              <w:rPr>
                <w:sz w:val="24"/>
                <w:szCs w:val="24"/>
                <w:shd w:val="clear" w:color="auto" w:fill="auto"/>
              </w:rPr>
            </w:pPr>
            <w:r>
              <w:rPr>
                <w:rFonts w:ascii="楷体" w:eastAsia="楷体" w:cs="楷体" w:hint="eastAsia"/>
                <w:kern w:val="0"/>
                <w:sz w:val="24"/>
                <w:szCs w:val="24"/>
                <w:shd w:val="clear" w:color="auto" w:fill="auto"/>
              </w:rPr>
              <w:t>3.补正后申请内容仍不明确</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widowControl/>
              <w:shd w:val="clear" w:color="auto" w:fill="auto"/>
              <w:rPr>
                <w:sz w:val="24"/>
                <w:szCs w:val="24"/>
                <w:shd w:val="clear" w:color="auto" w:fill="auto"/>
              </w:rPr>
            </w:pPr>
            <w:r>
              <w:rPr>
                <w:rFonts w:ascii="楷体" w:eastAsia="楷体" w:cs="楷体" w:hint="eastAsia"/>
                <w:kern w:val="0"/>
                <w:sz w:val="24"/>
                <w:szCs w:val="24"/>
                <w:shd w:val="clear" w:color="auto" w:fill="auto"/>
              </w:rPr>
              <w:t>（五）不予处理</w:t>
            </w: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widowControl/>
              <w:shd w:val="clear" w:color="auto" w:fill="auto"/>
              <w:rPr>
                <w:sz w:val="24"/>
                <w:szCs w:val="24"/>
                <w:shd w:val="clear" w:color="auto" w:fill="auto"/>
              </w:rPr>
            </w:pPr>
            <w:r>
              <w:rPr>
                <w:rFonts w:ascii="楷体" w:eastAsia="楷体" w:cs="楷体" w:hint="eastAsia"/>
                <w:kern w:val="0"/>
                <w:sz w:val="24"/>
                <w:szCs w:val="24"/>
                <w:shd w:val="clear" w:color="auto" w:fill="auto"/>
              </w:rPr>
              <w:t>1.信访举报投诉类申请</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widowControl/>
              <w:shd w:val="clear" w:color="auto" w:fill="auto"/>
              <w:rPr>
                <w:sz w:val="24"/>
                <w:szCs w:val="24"/>
                <w:shd w:val="clear" w:color="auto" w:fill="auto"/>
              </w:rPr>
            </w:pPr>
            <w:r>
              <w:rPr>
                <w:rFonts w:ascii="楷体" w:eastAsia="楷体" w:cs="楷体" w:hint="eastAsia"/>
                <w:kern w:val="0"/>
                <w:sz w:val="24"/>
                <w:szCs w:val="24"/>
                <w:shd w:val="clear" w:color="auto" w:fill="auto"/>
              </w:rPr>
              <w:t>2.重复申请</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widowControl/>
              <w:shd w:val="clear" w:color="auto" w:fill="auto"/>
              <w:rPr>
                <w:sz w:val="24"/>
                <w:szCs w:val="24"/>
                <w:shd w:val="clear" w:color="auto" w:fill="auto"/>
              </w:rPr>
            </w:pPr>
            <w:r>
              <w:rPr>
                <w:rFonts w:ascii="楷体" w:eastAsia="楷体" w:cs="楷体" w:hint="eastAsia"/>
                <w:kern w:val="0"/>
                <w:sz w:val="24"/>
                <w:szCs w:val="24"/>
                <w:shd w:val="clear" w:color="auto" w:fill="auto"/>
              </w:rPr>
              <w:t>3.要求提供公开出版物</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rPr>
          <w:trHeight w:val="810"/>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widowControl/>
              <w:shd w:val="clear" w:color="auto" w:fill="auto"/>
              <w:rPr>
                <w:sz w:val="24"/>
                <w:szCs w:val="24"/>
                <w:shd w:val="clear" w:color="auto" w:fill="auto"/>
              </w:rPr>
            </w:pPr>
            <w:r>
              <w:rPr>
                <w:rFonts w:ascii="楷体" w:eastAsia="楷体" w:cs="楷体" w:hint="eastAsia"/>
                <w:kern w:val="0"/>
                <w:sz w:val="24"/>
                <w:szCs w:val="24"/>
                <w:shd w:val="clear" w:color="auto" w:fill="auto"/>
              </w:rPr>
              <w:t>4.无正当理由大量反复申请</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widowControl/>
              <w:shd w:val="clear" w:color="auto" w:fill="auto"/>
              <w:rPr>
                <w:sz w:val="24"/>
                <w:szCs w:val="24"/>
                <w:shd w:val="clear" w:color="auto" w:fill="auto"/>
              </w:rPr>
            </w:pPr>
            <w:r>
              <w:rPr>
                <w:rFonts w:ascii="楷体" w:eastAsia="楷体" w:cs="楷体" w:hint="eastAsia"/>
                <w:kern w:val="0"/>
                <w:sz w:val="24"/>
                <w:szCs w:val="24"/>
                <w:shd w:val="clear" w:color="auto" w:fill="auto"/>
              </w:rPr>
              <w:t>5.要求行政机关确认或重新出具已获取信息</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rPr>
          <w:trHeight w:val="567"/>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widowControl/>
              <w:shd w:val="clear" w:color="auto" w:fill="auto"/>
              <w:rPr>
                <w:sz w:val="24"/>
                <w:szCs w:val="24"/>
                <w:shd w:val="clear" w:color="auto" w:fill="auto"/>
              </w:rPr>
            </w:pPr>
            <w:r>
              <w:rPr>
                <w:rFonts w:ascii="楷体" w:eastAsia="楷体" w:cs="楷体" w:hint="eastAsia"/>
                <w:kern w:val="0"/>
                <w:sz w:val="24"/>
                <w:szCs w:val="24"/>
                <w:shd w:val="clear" w:color="auto" w:fill="auto"/>
              </w:rPr>
              <w:t>（六）其他处理</w:t>
            </w:r>
          </w:p>
        </w:tc>
        <w:tc>
          <w:tcPr>
            <w:tcW w:w="267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tcPr>
          <w:p>
            <w:pPr>
              <w:pStyle w:val="87"/>
              <w:widowControl/>
              <w:shd w:val="clear" w:color="auto" w:fill="auto"/>
              <w:rPr>
                <w:rFonts w:ascii="楷体" w:eastAsia="楷体" w:cs="楷体"/>
                <w:kern w:val="0"/>
                <w:sz w:val="24"/>
                <w:szCs w:val="24"/>
                <w:shd w:val="clear" w:color="auto" w:fill="auto"/>
              </w:rPr>
            </w:pPr>
            <w:r>
              <w:rPr>
                <w:rFonts w:ascii="楷体" w:eastAsia="楷体" w:cs="楷体" w:hint="eastAsia"/>
                <w:kern w:val="0"/>
                <w:sz w:val="24"/>
                <w:szCs w:val="24"/>
                <w:shd w:val="clear" w:color="auto" w:fill="auto"/>
              </w:rPr>
              <w:t>1.申请人无正当理由逾期不补正、行政机关不再处理其政府信息公开申请</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rPr>
          <w:trHeight w:val="567"/>
        </w:trPr>
        <w:tc>
          <w:tcPr>
            <w:tcW w:w="696" w:type="dxa"/>
            <w:vMerge/>
            <w:tcBorders>
              <w:top w:val="nil"/>
              <w:left w:val="single" w:sz="8" w:space="0" w:color="auto"/>
              <w:bottom w:val="single" w:sz="8" w:space="0" w:color="auto"/>
              <w:right w:val="single" w:sz="8" w:space="0" w:color="auto"/>
              <w:tl2br w:val="nil"/>
              <w:tr2bl w:val="nil"/>
            </w:tcBorders>
            <w:shd w:val="clear" w:color="auto" w:fill="auto"/>
            <w:vAlign w:val="center"/>
          </w:tcPr>
          <w:p/>
        </w:tc>
        <w:tc>
          <w:tcPr>
            <w:tcW w:w="936" w:type="dxa"/>
            <w:vMerge/>
            <w:tcBorders>
              <w:top w:val="nil"/>
              <w:left w:val="nil"/>
              <w:bottom w:val="single" w:sz="8" w:space="0" w:color="auto"/>
              <w:right w:val="single" w:sz="8" w:space="0" w:color="auto"/>
              <w:tl2br w:val="nil"/>
              <w:tr2bl w:val="nil"/>
            </w:tcBorders>
            <w:shd w:val="clear" w:color="auto" w:fill="auto"/>
            <w:vAlign w:val="center"/>
          </w:tcPr>
          <w:p/>
        </w:tc>
        <w:tc>
          <w:tcPr>
            <w:tcW w:w="2670" w:type="dxa"/>
            <w:tcBorders>
              <w:top w:val="nil"/>
              <w:left w:val="single" w:sz="8" w:space="0" w:color="auto"/>
              <w:bottom w:val="single" w:sz="8" w:space="0" w:color="auto"/>
              <w:right w:val="single" w:sz="8" w:space="0" w:color="auto"/>
              <w:tl2br w:val="nil"/>
              <w:tr2bl w:val="nil"/>
            </w:tcBorders>
            <w:shd w:val="clear" w:color="auto" w:fill="auto"/>
          </w:tcPr>
          <w:p>
            <w:pPr>
              <w:pStyle w:val="87"/>
              <w:widowControl/>
              <w:shd w:val="clear" w:color="auto" w:fill="auto"/>
              <w:rPr>
                <w:rFonts w:ascii="楷体" w:eastAsia="楷体" w:cs="楷体"/>
                <w:kern w:val="0"/>
                <w:sz w:val="24"/>
                <w:szCs w:val="24"/>
                <w:shd w:val="clear" w:color="auto" w:fill="auto"/>
              </w:rPr>
            </w:pPr>
            <w:r>
              <w:rPr>
                <w:rFonts w:ascii="楷体" w:eastAsia="楷体" w:cs="楷体" w:hint="eastAsia"/>
                <w:kern w:val="0"/>
                <w:sz w:val="24"/>
                <w:szCs w:val="24"/>
                <w:shd w:val="clear" w:color="auto" w:fill="auto"/>
              </w:rPr>
              <w:t>2.申请人逾期未按收费通知要求缴纳费用、行政机关不再处理其政府信息公开申请</w:t>
            </w:r>
          </w:p>
        </w:tc>
        <w:tc>
          <w:tcPr>
            <w:tcW w:w="635" w:type="dxa"/>
            <w:tcBorders>
              <w:top w:val="nil"/>
              <w:left w:val="nil"/>
              <w:bottom w:val="single" w:sz="8" w:space="0" w:color="auto"/>
              <w:right w:val="single" w:sz="8" w:space="0" w:color="auto"/>
              <w:tl2br w:val="nil"/>
              <w:tr2bl w:val="nil"/>
            </w:tcBorders>
            <w:shd w:val="clear" w:color="auto" w:fill="auto"/>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rPr>
          <w:trHeight w:val="567"/>
        </w:trPr>
        <w:tc>
          <w:tcPr>
            <w:tcW w:w="696" w:type="dxa"/>
            <w:vMerge/>
            <w:tcBorders>
              <w:top w:val="nil"/>
              <w:left w:val="single" w:sz="8" w:space="0" w:color="auto"/>
              <w:bottom w:val="single" w:sz="8" w:space="0" w:color="auto"/>
              <w:right w:val="single" w:sz="8" w:space="0" w:color="auto"/>
              <w:tl2br w:val="nil"/>
              <w:tr2bl w:val="nil"/>
            </w:tcBorders>
            <w:shd w:val="clear" w:color="auto" w:fill="auto"/>
            <w:vAlign w:val="center"/>
          </w:tcPr>
          <w:p/>
        </w:tc>
        <w:tc>
          <w:tcPr>
            <w:tcW w:w="936" w:type="dxa"/>
            <w:vMerge/>
            <w:tcBorders>
              <w:top w:val="nil"/>
              <w:left w:val="nil"/>
              <w:bottom w:val="single" w:sz="8" w:space="0" w:color="auto"/>
              <w:right w:val="single" w:sz="8" w:space="0" w:color="auto"/>
              <w:tl2br w:val="nil"/>
              <w:tr2bl w:val="nil"/>
            </w:tcBorders>
            <w:shd w:val="clear" w:color="auto" w:fill="auto"/>
            <w:vAlign w:val="center"/>
          </w:tcPr>
          <w:p/>
        </w:tc>
        <w:tc>
          <w:tcPr>
            <w:tcW w:w="2670" w:type="dxa"/>
            <w:tcBorders>
              <w:top w:val="nil"/>
              <w:left w:val="single" w:sz="8" w:space="0" w:color="auto"/>
              <w:bottom w:val="single" w:sz="8" w:space="0" w:color="auto"/>
              <w:right w:val="single" w:sz="8" w:space="0" w:color="auto"/>
              <w:tl2br w:val="nil"/>
              <w:tr2bl w:val="nil"/>
            </w:tcBorders>
            <w:shd w:val="clear" w:color="auto" w:fill="auto"/>
          </w:tcPr>
          <w:p>
            <w:pPr>
              <w:pStyle w:val="87"/>
              <w:widowControl/>
              <w:shd w:val="clear" w:color="auto" w:fill="auto"/>
              <w:rPr>
                <w:rFonts w:ascii="楷体" w:eastAsia="楷体" w:cs="楷体"/>
                <w:kern w:val="0"/>
                <w:sz w:val="24"/>
                <w:szCs w:val="24"/>
                <w:shd w:val="clear" w:color="auto" w:fill="auto"/>
              </w:rPr>
            </w:pPr>
            <w:r>
              <w:rPr>
                <w:rFonts w:ascii="楷体" w:eastAsia="楷体" w:cs="楷体" w:hint="eastAsia"/>
                <w:kern w:val="0"/>
                <w:sz w:val="24"/>
                <w:szCs w:val="24"/>
                <w:shd w:val="clear" w:color="auto" w:fill="auto"/>
              </w:rPr>
              <w:t>3.咨询事项，指引咨询渠道</w:t>
            </w:r>
          </w:p>
        </w:tc>
        <w:tc>
          <w:tcPr>
            <w:tcW w:w="635" w:type="dxa"/>
            <w:tcBorders>
              <w:top w:val="nil"/>
              <w:left w:val="nil"/>
              <w:bottom w:val="single" w:sz="8" w:space="0" w:color="auto"/>
              <w:right w:val="single" w:sz="8" w:space="0" w:color="auto"/>
              <w:tl2br w:val="nil"/>
              <w:tr2bl w:val="nil"/>
            </w:tcBorders>
            <w:shd w:val="clear" w:color="auto" w:fill="auto"/>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rPr>
          <w:trHeight w:val="567"/>
        </w:trPr>
        <w:tc>
          <w:tcPr>
            <w:tcW w:w="696" w:type="dxa"/>
            <w:vMerge/>
            <w:tcBorders>
              <w:top w:val="nil"/>
              <w:left w:val="single" w:sz="8" w:space="0" w:color="auto"/>
              <w:bottom w:val="single" w:sz="8" w:space="0" w:color="auto"/>
              <w:right w:val="single" w:sz="8" w:space="0" w:color="auto"/>
              <w:tl2br w:val="nil"/>
              <w:tr2bl w:val="nil"/>
            </w:tcBorders>
            <w:shd w:val="clear" w:color="auto" w:fill="auto"/>
            <w:vAlign w:val="center"/>
          </w:tcPr>
          <w:p/>
        </w:tc>
        <w:tc>
          <w:tcPr>
            <w:tcW w:w="936" w:type="dxa"/>
            <w:vMerge/>
            <w:tcBorders>
              <w:top w:val="nil"/>
              <w:left w:val="nil"/>
              <w:bottom w:val="single" w:sz="8" w:space="0" w:color="auto"/>
              <w:right w:val="single" w:sz="8" w:space="0" w:color="auto"/>
              <w:tl2br w:val="nil"/>
              <w:tr2bl w:val="nil"/>
            </w:tcBorders>
            <w:shd w:val="clear" w:color="auto" w:fill="auto"/>
            <w:vAlign w:val="center"/>
          </w:tcPr>
          <w:p/>
        </w:tc>
        <w:tc>
          <w:tcPr>
            <w:tcW w:w="2670" w:type="dxa"/>
            <w:tcBorders>
              <w:top w:val="nil"/>
              <w:left w:val="single" w:sz="8" w:space="0" w:color="auto"/>
              <w:bottom w:val="single" w:sz="8" w:space="0" w:color="auto"/>
              <w:right w:val="single" w:sz="8" w:space="0" w:color="auto"/>
              <w:tl2br w:val="nil"/>
              <w:tr2bl w:val="nil"/>
            </w:tcBorders>
            <w:shd w:val="clear" w:color="auto" w:fill="auto"/>
          </w:tcPr>
          <w:p>
            <w:pPr>
              <w:pStyle w:val="87"/>
              <w:widowControl/>
              <w:shd w:val="clear" w:color="auto" w:fill="auto"/>
              <w:rPr>
                <w:rFonts w:ascii="楷体" w:eastAsia="楷体" w:cs="楷体"/>
                <w:kern w:val="0"/>
                <w:sz w:val="24"/>
                <w:szCs w:val="24"/>
                <w:shd w:val="clear" w:color="auto" w:fill="auto"/>
              </w:rPr>
            </w:pPr>
            <w:r>
              <w:rPr>
                <w:rFonts w:ascii="楷体" w:eastAsia="楷体" w:cs="楷体" w:hint="eastAsia"/>
                <w:kern w:val="0"/>
                <w:sz w:val="24"/>
                <w:szCs w:val="24"/>
                <w:shd w:val="clear" w:color="auto" w:fill="auto"/>
              </w:rPr>
              <w:t>4.申请人撤销申请</w:t>
            </w:r>
          </w:p>
        </w:tc>
        <w:tc>
          <w:tcPr>
            <w:tcW w:w="635" w:type="dxa"/>
            <w:tcBorders>
              <w:top w:val="nil"/>
              <w:left w:val="nil"/>
              <w:bottom w:val="single" w:sz="8" w:space="0" w:color="auto"/>
              <w:right w:val="single" w:sz="8" w:space="0" w:color="auto"/>
              <w:tl2br w:val="nil"/>
              <w:tr2bl w:val="nil"/>
            </w:tcBorders>
            <w:shd w:val="clear" w:color="auto" w:fill="auto"/>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3606" w:type="dxa"/>
            <w:gridSpan w:val="2"/>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widowControl/>
              <w:shd w:val="clear" w:color="auto" w:fill="auto"/>
              <w:rPr>
                <w:sz w:val="24"/>
                <w:szCs w:val="24"/>
                <w:shd w:val="clear" w:color="auto" w:fill="auto"/>
              </w:rPr>
            </w:pPr>
            <w:r>
              <w:rPr>
                <w:rFonts w:ascii="楷体" w:eastAsia="楷体" w:cs="楷体" w:hint="eastAsia"/>
                <w:kern w:val="0"/>
                <w:sz w:val="24"/>
                <w:szCs w:val="24"/>
                <w:shd w:val="clear" w:color="auto" w:fill="auto"/>
              </w:rPr>
              <w:t>（七）总计</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c>
          <w:tcPr>
            <w:tcW w:w="4302" w:type="dxa"/>
            <w:gridSpan w:val="3"/>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87"/>
              <w:widowControl/>
              <w:shd w:val="clear" w:color="auto" w:fill="auto"/>
              <w:jc w:val="left"/>
              <w:rPr>
                <w:shd w:val="clear" w:color="auto" w:fill="auto"/>
              </w:rPr>
            </w:pPr>
            <w:r>
              <w:rPr>
                <w:rFonts w:ascii="宋体" w:cs="宋体" w:hint="eastAsia"/>
                <w:kern w:val="0"/>
                <w:sz w:val="24"/>
                <w:szCs w:val="24"/>
                <w:shd w:val="clear" w:color="auto" w:fill="auto"/>
              </w:rPr>
              <w:t>四、结转下年度继续办理</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bl>
    <w:p>
      <w:pPr>
        <w:pStyle w:val="96"/>
        <w:widowControl/>
        <w:shd w:val="clear" w:color="auto" w:fill="auto"/>
        <w:spacing w:beforeAutospacing="0" w:afterAutospacing="0" w:line="560" w:lineRule="exact"/>
        <w:ind w:firstLineChars="200" w:firstLine="640"/>
        <w:jc w:val="both"/>
        <w:rPr>
          <w:rFonts w:ascii="宋体" w:cs="宋体"/>
          <w:szCs w:val="24"/>
          <w:shd w:val="clear" w:color="auto" w:fill="auto"/>
        </w:rPr>
      </w:pPr>
      <w:r>
        <w:rPr>
          <w:rFonts w:ascii="方正黑体_GBK" w:eastAsia="方正黑体_GBK" w:cs="楷体_GB2312" w:hint="eastAsia"/>
          <w:bCs/>
          <w:sz w:val="32"/>
          <w:szCs w:val="32"/>
          <w:shd w:val="clear" w:color="auto" w:fill="auto"/>
        </w:rPr>
        <w:t>四、政府信息公开行政复议、行政诉讼情况</w:t>
      </w:r>
    </w:p>
    <w:tbl>
      <w:tblPr>
        <w:jc w:val="center"/>
        <w:tblW w:w="9071" w:type="dxa"/>
        <w:tblBorders>
          <w:top w:val="none" w:sz="0" w:space="0" w:color="auto"/>
          <w:left w:val="none" w:sz="0" w:space="0" w:color="auto"/>
          <w:bottom w:val="none" w:sz="0" w:space="0" w:color="auto"/>
          <w:right w:val="none" w:sz="0" w:space="0" w:color="auto"/>
          <w:insideH w:val="outset" w:sz="6" w:space="0" w:color="auto"/>
          <w:insideV w:val="outset" w:sz="6" w:space="0" w:color="auto"/>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c>
          <w:tcPr>
            <w:tcW w:w="3074" w:type="dxa"/>
            <w:gridSpan w:val="5"/>
            <w:tcBorders>
              <w:top w:val="single" w:sz="8" w:space="0" w:color="auto"/>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87"/>
              <w:widowControl/>
              <w:shd w:val="clear" w:color="auto" w:fill="auto"/>
              <w:jc w:val="center"/>
              <w:rPr>
                <w:sz w:val="24"/>
                <w:szCs w:val="24"/>
                <w:shd w:val="clear" w:color="auto" w:fill="auto"/>
              </w:rPr>
            </w:pPr>
            <w:r>
              <w:rPr>
                <w:rFonts w:ascii="宋体" w:cs="宋体" w:hint="eastAsia"/>
                <w:kern w:val="0"/>
                <w:sz w:val="24"/>
                <w:szCs w:val="24"/>
                <w:shd w:val="clear" w:color="auto" w:fill="auto"/>
              </w:rPr>
              <w:t>行政复议</w:t>
            </w:r>
          </w:p>
        </w:tc>
        <w:tc>
          <w:tcPr>
            <w:tcW w:w="5997" w:type="dxa"/>
            <w:gridSpan w:val="10"/>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widowControl/>
              <w:shd w:val="clear" w:color="auto" w:fill="auto"/>
              <w:jc w:val="center"/>
              <w:rPr>
                <w:sz w:val="24"/>
                <w:szCs w:val="24"/>
                <w:shd w:val="clear" w:color="auto" w:fill="auto"/>
              </w:rPr>
            </w:pPr>
            <w:r>
              <w:rPr>
                <w:rFonts w:ascii="宋体" w:cs="宋体" w:hint="eastAsia"/>
                <w:kern w:val="0"/>
                <w:sz w:val="24"/>
                <w:szCs w:val="24"/>
                <w:shd w:val="clear" w:color="auto" w:fill="auto"/>
              </w:rPr>
              <w:t>行政诉讼</w:t>
            </w:r>
          </w:p>
        </w:tc>
      </w:tr>
      <w:tr>
        <w:tc>
          <w:tcPr>
            <w:tcW w:w="604" w:type="dxa"/>
            <w:vMerge w:val="restart"/>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87"/>
              <w:widowControl/>
              <w:shd w:val="clear" w:color="auto" w:fill="auto"/>
              <w:jc w:val="center"/>
              <w:rPr>
                <w:sz w:val="24"/>
                <w:szCs w:val="24"/>
                <w:shd w:val="clear" w:color="auto" w:fill="auto"/>
              </w:rPr>
            </w:pPr>
            <w:r>
              <w:rPr>
                <w:rFonts w:ascii="宋体" w:cs="宋体" w:hint="eastAsia"/>
                <w:kern w:val="0"/>
                <w:sz w:val="24"/>
                <w:szCs w:val="24"/>
                <w:shd w:val="clear" w:color="auto" w:fill="auto"/>
              </w:rPr>
              <w:t>结果维持</w:t>
            </w:r>
          </w:p>
        </w:tc>
        <w:tc>
          <w:tcPr>
            <w:tcW w:w="604"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widowControl/>
              <w:shd w:val="clear" w:color="auto" w:fill="auto"/>
              <w:jc w:val="center"/>
              <w:rPr>
                <w:sz w:val="24"/>
                <w:szCs w:val="24"/>
                <w:shd w:val="clear" w:color="auto" w:fill="auto"/>
              </w:rPr>
            </w:pPr>
            <w:r>
              <w:rPr>
                <w:rFonts w:ascii="宋体" w:cs="宋体" w:hint="eastAsia"/>
                <w:kern w:val="0"/>
                <w:sz w:val="24"/>
                <w:szCs w:val="24"/>
                <w:shd w:val="clear" w:color="auto" w:fill="auto"/>
              </w:rPr>
              <w:t>结果纠正</w:t>
            </w:r>
          </w:p>
        </w:tc>
        <w:tc>
          <w:tcPr>
            <w:tcW w:w="604" w:type="dxa"/>
            <w:vMerge w:val="restart"/>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widowControl/>
              <w:shd w:val="clear" w:color="auto" w:fill="auto"/>
              <w:jc w:val="center"/>
              <w:rPr>
                <w:sz w:val="24"/>
                <w:szCs w:val="24"/>
                <w:shd w:val="clear" w:color="auto" w:fill="auto"/>
              </w:rPr>
            </w:pPr>
            <w:r>
              <w:rPr>
                <w:rFonts w:ascii="宋体" w:cs="宋体" w:hint="eastAsia"/>
                <w:kern w:val="0"/>
                <w:sz w:val="24"/>
                <w:szCs w:val="24"/>
                <w:shd w:val="clear" w:color="auto" w:fill="auto"/>
              </w:rPr>
              <w:t>其他结果</w:t>
            </w:r>
          </w:p>
        </w:tc>
        <w:tc>
          <w:tcPr>
            <w:tcW w:w="604" w:type="dxa"/>
            <w:vMerge w:val="restart"/>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widowControl/>
              <w:shd w:val="clear" w:color="auto" w:fill="auto"/>
              <w:jc w:val="center"/>
              <w:rPr>
                <w:sz w:val="24"/>
                <w:szCs w:val="24"/>
                <w:shd w:val="clear" w:color="auto" w:fill="auto"/>
              </w:rPr>
            </w:pPr>
            <w:r>
              <w:rPr>
                <w:rFonts w:ascii="宋体" w:cs="宋体" w:hint="eastAsia"/>
                <w:kern w:val="0"/>
                <w:sz w:val="24"/>
                <w:szCs w:val="24"/>
                <w:shd w:val="clear" w:color="auto" w:fill="auto"/>
              </w:rPr>
              <w:t>尚未审结</w:t>
            </w:r>
          </w:p>
        </w:tc>
        <w:tc>
          <w:tcPr>
            <w:tcW w:w="658" w:type="dxa"/>
            <w:vMerge w:val="restart"/>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widowControl/>
              <w:shd w:val="clear" w:color="auto" w:fill="auto"/>
              <w:jc w:val="center"/>
              <w:rPr>
                <w:sz w:val="24"/>
                <w:szCs w:val="24"/>
                <w:shd w:val="clear" w:color="auto" w:fill="auto"/>
              </w:rPr>
            </w:pPr>
            <w:r>
              <w:rPr>
                <w:rFonts w:ascii="宋体" w:cs="宋体" w:hint="eastAsia"/>
                <w:kern w:val="0"/>
                <w:sz w:val="24"/>
                <w:szCs w:val="24"/>
                <w:shd w:val="clear" w:color="auto" w:fill="auto"/>
              </w:rPr>
              <w:t>总计</w:t>
            </w:r>
          </w:p>
        </w:tc>
        <w:tc>
          <w:tcPr>
            <w:tcW w:w="2970" w:type="dxa"/>
            <w:gridSpan w:val="5"/>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widowControl/>
              <w:shd w:val="clear" w:color="auto" w:fill="auto"/>
              <w:jc w:val="center"/>
              <w:rPr>
                <w:sz w:val="24"/>
                <w:szCs w:val="24"/>
                <w:shd w:val="clear" w:color="auto" w:fill="auto"/>
              </w:rPr>
            </w:pPr>
            <w:r>
              <w:rPr>
                <w:rFonts w:ascii="宋体" w:cs="宋体" w:hint="eastAsia"/>
                <w:kern w:val="0"/>
                <w:sz w:val="24"/>
                <w:szCs w:val="24"/>
                <w:shd w:val="clear" w:color="auto" w:fill="auto"/>
              </w:rPr>
              <w:t>未经复议直接起诉</w:t>
            </w:r>
          </w:p>
        </w:tc>
        <w:tc>
          <w:tcPr>
            <w:tcW w:w="3027" w:type="dxa"/>
            <w:gridSpan w:val="5"/>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widowControl/>
              <w:shd w:val="clear" w:color="auto" w:fill="auto"/>
              <w:jc w:val="center"/>
              <w:rPr>
                <w:sz w:val="24"/>
                <w:szCs w:val="24"/>
                <w:shd w:val="clear" w:color="auto" w:fill="auto"/>
              </w:rPr>
            </w:pPr>
            <w:r>
              <w:rPr>
                <w:rFonts w:ascii="宋体" w:cs="宋体" w:hint="eastAsia"/>
                <w:kern w:val="0"/>
                <w:sz w:val="24"/>
                <w:szCs w:val="24"/>
                <w:shd w:val="clear" w:color="auto" w:fill="auto"/>
              </w:rPr>
              <w:t>复议后起诉</w:t>
            </w:r>
          </w:p>
        </w:tc>
      </w:tr>
      <w:tr>
        <w:tc>
          <w:tcPr>
            <w:tcW w:w="604"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604"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604" w:type="dxa"/>
            <w:vMerge/>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604" w:type="dxa"/>
            <w:vMerge/>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658" w:type="dxa"/>
            <w:vMerge/>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5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widowControl/>
              <w:shd w:val="clear" w:color="auto" w:fill="auto"/>
              <w:jc w:val="center"/>
              <w:rPr>
                <w:sz w:val="24"/>
                <w:szCs w:val="24"/>
                <w:shd w:val="clear" w:color="auto" w:fill="auto"/>
              </w:rPr>
            </w:pPr>
            <w:r>
              <w:rPr>
                <w:rFonts w:ascii="宋体" w:cs="宋体" w:hint="eastAsia"/>
                <w:kern w:val="0"/>
                <w:sz w:val="24"/>
                <w:szCs w:val="24"/>
                <w:shd w:val="clear" w:color="auto" w:fill="auto"/>
              </w:rPr>
              <w:t>结果维持</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widowControl/>
              <w:shd w:val="clear" w:color="auto" w:fill="auto"/>
              <w:jc w:val="center"/>
              <w:rPr>
                <w:sz w:val="24"/>
                <w:szCs w:val="24"/>
                <w:shd w:val="clear" w:color="auto" w:fill="auto"/>
              </w:rPr>
            </w:pPr>
            <w:r>
              <w:rPr>
                <w:rFonts w:ascii="宋体" w:cs="宋体" w:hint="eastAsia"/>
                <w:kern w:val="0"/>
                <w:sz w:val="24"/>
                <w:szCs w:val="24"/>
                <w:shd w:val="clear" w:color="auto" w:fill="auto"/>
              </w:rPr>
              <w:t>结果纠正</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widowControl/>
              <w:shd w:val="clear" w:color="auto" w:fill="auto"/>
              <w:jc w:val="center"/>
              <w:rPr>
                <w:sz w:val="24"/>
                <w:szCs w:val="24"/>
                <w:shd w:val="clear" w:color="auto" w:fill="auto"/>
              </w:rPr>
            </w:pPr>
            <w:r>
              <w:rPr>
                <w:rFonts w:ascii="宋体" w:cs="宋体" w:hint="eastAsia"/>
                <w:kern w:val="0"/>
                <w:sz w:val="24"/>
                <w:szCs w:val="24"/>
                <w:shd w:val="clear" w:color="auto" w:fill="auto"/>
              </w:rPr>
              <w:t>其他结果</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widowControl/>
              <w:shd w:val="clear" w:color="auto" w:fill="auto"/>
              <w:jc w:val="center"/>
              <w:rPr>
                <w:sz w:val="24"/>
                <w:szCs w:val="24"/>
                <w:shd w:val="clear" w:color="auto" w:fill="auto"/>
              </w:rPr>
            </w:pPr>
            <w:r>
              <w:rPr>
                <w:rFonts w:ascii="宋体" w:cs="宋体" w:hint="eastAsia"/>
                <w:kern w:val="0"/>
                <w:sz w:val="24"/>
                <w:szCs w:val="24"/>
                <w:shd w:val="clear" w:color="auto" w:fill="auto"/>
              </w:rPr>
              <w:t>尚未审结</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widowControl/>
              <w:shd w:val="clear" w:color="auto" w:fill="auto"/>
              <w:jc w:val="center"/>
              <w:rPr>
                <w:sz w:val="24"/>
                <w:szCs w:val="24"/>
                <w:shd w:val="clear" w:color="auto" w:fill="auto"/>
              </w:rPr>
            </w:pPr>
            <w:r>
              <w:rPr>
                <w:rFonts w:ascii="宋体" w:cs="宋体" w:hint="eastAsia"/>
                <w:kern w:val="0"/>
                <w:sz w:val="24"/>
                <w:szCs w:val="24"/>
                <w:shd w:val="clear" w:color="auto" w:fill="auto"/>
              </w:rPr>
              <w:t>总计</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widowControl/>
              <w:shd w:val="clear" w:color="auto" w:fill="auto"/>
              <w:jc w:val="center"/>
              <w:rPr>
                <w:sz w:val="24"/>
                <w:szCs w:val="24"/>
                <w:shd w:val="clear" w:color="auto" w:fill="auto"/>
              </w:rPr>
            </w:pPr>
            <w:r>
              <w:rPr>
                <w:rFonts w:ascii="宋体" w:cs="宋体" w:hint="eastAsia"/>
                <w:kern w:val="0"/>
                <w:sz w:val="24"/>
                <w:szCs w:val="24"/>
                <w:shd w:val="clear" w:color="auto" w:fill="auto"/>
              </w:rPr>
              <w:t>结果维持</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widowControl/>
              <w:shd w:val="clear" w:color="auto" w:fill="auto"/>
              <w:jc w:val="center"/>
              <w:rPr>
                <w:sz w:val="24"/>
                <w:szCs w:val="24"/>
                <w:shd w:val="clear" w:color="auto" w:fill="auto"/>
              </w:rPr>
            </w:pPr>
            <w:r>
              <w:rPr>
                <w:rFonts w:ascii="宋体" w:cs="宋体" w:hint="eastAsia"/>
                <w:kern w:val="0"/>
                <w:sz w:val="24"/>
                <w:szCs w:val="24"/>
                <w:shd w:val="clear" w:color="auto" w:fill="auto"/>
              </w:rPr>
              <w:t>结果纠正</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widowControl/>
              <w:shd w:val="clear" w:color="auto" w:fill="auto"/>
              <w:jc w:val="center"/>
              <w:rPr>
                <w:sz w:val="24"/>
                <w:szCs w:val="24"/>
                <w:shd w:val="clear" w:color="auto" w:fill="auto"/>
              </w:rPr>
            </w:pPr>
            <w:r>
              <w:rPr>
                <w:rFonts w:ascii="宋体" w:cs="宋体" w:hint="eastAsia"/>
                <w:kern w:val="0"/>
                <w:sz w:val="24"/>
                <w:szCs w:val="24"/>
                <w:shd w:val="clear" w:color="auto" w:fill="auto"/>
              </w:rPr>
              <w:t>其他结果</w:t>
            </w:r>
          </w:p>
        </w:tc>
        <w:tc>
          <w:tcPr>
            <w:tcW w:w="606"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widowControl/>
              <w:shd w:val="clear" w:color="auto" w:fill="auto"/>
              <w:jc w:val="center"/>
              <w:rPr>
                <w:sz w:val="24"/>
                <w:szCs w:val="24"/>
                <w:shd w:val="clear" w:color="auto" w:fill="auto"/>
              </w:rPr>
            </w:pPr>
            <w:r>
              <w:rPr>
                <w:rFonts w:ascii="宋体" w:cs="宋体" w:hint="eastAsia"/>
                <w:kern w:val="0"/>
                <w:sz w:val="24"/>
                <w:szCs w:val="24"/>
                <w:shd w:val="clear" w:color="auto" w:fill="auto"/>
              </w:rPr>
              <w:t>尚未审结</w:t>
            </w:r>
          </w:p>
        </w:tc>
        <w:tc>
          <w:tcPr>
            <w:tcW w:w="606"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widowControl/>
              <w:shd w:val="clear" w:color="auto" w:fill="auto"/>
              <w:jc w:val="center"/>
              <w:rPr>
                <w:sz w:val="24"/>
                <w:szCs w:val="24"/>
                <w:shd w:val="clear" w:color="auto" w:fill="auto"/>
              </w:rPr>
            </w:pPr>
            <w:r>
              <w:rPr>
                <w:rFonts w:ascii="宋体" w:cs="宋体" w:hint="eastAsia"/>
                <w:kern w:val="0"/>
                <w:sz w:val="24"/>
                <w:szCs w:val="24"/>
                <w:shd w:val="clear" w:color="auto" w:fill="auto"/>
              </w:rPr>
              <w:t>总计</w:t>
            </w:r>
          </w:p>
        </w:tc>
      </w:tr>
      <w:tr>
        <w:trPr>
          <w:trHeight w:val="862"/>
        </w:trPr>
        <w:tc>
          <w:tcPr>
            <w:tcW w:w="604"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87"/>
              <w:widowControl/>
              <w:shd w:val="clear" w:color="auto" w:fill="auto"/>
              <w:jc w:val="center"/>
              <w:rPr>
                <w:rFonts w:ascii="宋体" w:cs="宋体" w:hint="eastAsia"/>
                <w:kern w:val="0"/>
                <w:sz w:val="24"/>
                <w:szCs w:val="24"/>
                <w:shd w:val="clear" w:color="auto" w:fill="auto"/>
              </w:rPr>
            </w:pPr>
            <w:r>
              <w:rPr>
                <w:rFonts w:ascii="宋体" w:cs="宋体" w:hint="eastAsia"/>
                <w:kern w:val="0"/>
                <w:sz w:val="24"/>
                <w:szCs w:val="24"/>
                <w:shd w:val="clear" w:color="auto" w:fill="auto"/>
              </w:rPr>
              <w:t>0</w:t>
            </w:r>
          </w:p>
        </w:tc>
        <w:tc>
          <w:tcPr>
            <w:tcW w:w="604"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widowControl/>
              <w:shd w:val="clear" w:color="auto" w:fill="auto"/>
              <w:jc w:val="center"/>
              <w:rPr>
                <w:rFonts w:ascii="宋体" w:cs="宋体" w:hint="eastAsia"/>
                <w:kern w:val="0"/>
                <w:sz w:val="24"/>
                <w:szCs w:val="24"/>
                <w:shd w:val="clear" w:color="auto" w:fill="auto"/>
              </w:rPr>
            </w:pPr>
            <w:r>
              <w:rPr>
                <w:rFonts w:ascii="宋体" w:cs="宋体" w:hint="eastAsia"/>
                <w:kern w:val="0"/>
                <w:sz w:val="24"/>
                <w:szCs w:val="24"/>
                <w:shd w:val="clear" w:color="auto" w:fill="auto"/>
              </w:rPr>
              <w:t>0</w:t>
            </w:r>
          </w:p>
        </w:tc>
        <w:tc>
          <w:tcPr>
            <w:tcW w:w="604"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widowControl/>
              <w:shd w:val="clear" w:color="auto" w:fill="auto"/>
              <w:jc w:val="center"/>
              <w:rPr>
                <w:rFonts w:ascii="宋体" w:cs="宋体" w:hint="eastAsia"/>
                <w:kern w:val="0"/>
                <w:sz w:val="24"/>
                <w:szCs w:val="24"/>
                <w:shd w:val="clear" w:color="auto" w:fill="auto"/>
              </w:rPr>
            </w:pPr>
            <w:r>
              <w:rPr>
                <w:rFonts w:ascii="宋体" w:cs="宋体" w:hint="eastAsia"/>
                <w:kern w:val="0"/>
                <w:sz w:val="24"/>
                <w:szCs w:val="24"/>
                <w:shd w:val="clear" w:color="auto" w:fill="auto"/>
              </w:rPr>
              <w:t>0</w:t>
            </w:r>
          </w:p>
        </w:tc>
        <w:tc>
          <w:tcPr>
            <w:tcW w:w="604"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widowControl/>
              <w:shd w:val="clear" w:color="auto" w:fill="auto"/>
              <w:jc w:val="center"/>
              <w:rPr>
                <w:rFonts w:ascii="宋体" w:cs="宋体" w:hint="eastAsia"/>
                <w:kern w:val="0"/>
                <w:sz w:val="24"/>
                <w:szCs w:val="24"/>
                <w:shd w:val="clear" w:color="auto" w:fill="auto"/>
              </w:rPr>
            </w:pPr>
            <w:r>
              <w:rPr>
                <w:rFonts w:ascii="宋体" w:cs="宋体" w:hint="eastAsia"/>
                <w:kern w:val="0"/>
                <w:sz w:val="24"/>
                <w:szCs w:val="24"/>
                <w:shd w:val="clear" w:color="auto" w:fill="auto"/>
              </w:rPr>
              <w:t>0</w:t>
            </w:r>
          </w:p>
        </w:tc>
        <w:tc>
          <w:tcPr>
            <w:tcW w:w="658"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widowControl/>
              <w:shd w:val="clear" w:color="auto" w:fill="auto"/>
              <w:jc w:val="center"/>
              <w:rPr>
                <w:rFonts w:ascii="宋体" w:cs="宋体" w:hint="eastAsia"/>
                <w:kern w:val="0"/>
                <w:sz w:val="24"/>
                <w:szCs w:val="24"/>
                <w:shd w:val="clear" w:color="auto" w:fill="auto"/>
              </w:rPr>
            </w:pPr>
            <w:r>
              <w:rPr>
                <w:rFonts w:ascii="宋体" w:cs="宋体" w:hint="eastAsia"/>
                <w:kern w:val="0"/>
                <w:sz w:val="24"/>
                <w:szCs w:val="24"/>
                <w:shd w:val="clear" w:color="auto" w:fill="auto"/>
              </w:rPr>
              <w:t>0</w:t>
            </w:r>
          </w:p>
        </w:tc>
        <w:tc>
          <w:tcPr>
            <w:tcW w:w="5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widowControl/>
              <w:shd w:val="clear" w:color="auto" w:fill="auto"/>
              <w:jc w:val="center"/>
              <w:rPr>
                <w:rFonts w:ascii="宋体" w:cs="宋体" w:hint="eastAsia"/>
                <w:kern w:val="0"/>
                <w:sz w:val="24"/>
                <w:szCs w:val="24"/>
                <w:shd w:val="clear" w:color="auto" w:fill="auto"/>
              </w:rPr>
            </w:pPr>
            <w:r>
              <w:rPr>
                <w:rFonts w:ascii="宋体" w:cs="宋体" w:hint="eastAsia"/>
                <w:kern w:val="0"/>
                <w:sz w:val="24"/>
                <w:szCs w:val="24"/>
                <w:shd w:val="clear" w:color="auto" w:fill="auto"/>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widowControl/>
              <w:shd w:val="clear" w:color="auto" w:fill="auto"/>
              <w:jc w:val="center"/>
              <w:rPr>
                <w:rFonts w:ascii="宋体" w:cs="宋体" w:hint="eastAsia"/>
                <w:kern w:val="0"/>
                <w:sz w:val="24"/>
                <w:szCs w:val="24"/>
                <w:shd w:val="clear" w:color="auto" w:fill="auto"/>
              </w:rPr>
            </w:pPr>
            <w:r>
              <w:rPr>
                <w:rFonts w:ascii="宋体" w:cs="宋体" w:hint="eastAsia"/>
                <w:kern w:val="0"/>
                <w:sz w:val="24"/>
                <w:szCs w:val="24"/>
                <w:shd w:val="clear" w:color="auto" w:fill="auto"/>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widowControl/>
              <w:shd w:val="clear" w:color="auto" w:fill="auto"/>
              <w:jc w:val="center"/>
              <w:rPr>
                <w:rFonts w:ascii="宋体" w:cs="宋体" w:hint="eastAsia"/>
                <w:kern w:val="0"/>
                <w:sz w:val="24"/>
                <w:szCs w:val="24"/>
                <w:shd w:val="clear" w:color="auto" w:fill="auto"/>
              </w:rPr>
            </w:pPr>
            <w:r>
              <w:rPr>
                <w:rFonts w:ascii="宋体" w:cs="宋体" w:hint="eastAsia"/>
                <w:kern w:val="0"/>
                <w:sz w:val="24"/>
                <w:szCs w:val="24"/>
                <w:shd w:val="clear" w:color="auto" w:fill="auto"/>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widowControl/>
              <w:shd w:val="clear" w:color="auto" w:fill="auto"/>
              <w:jc w:val="center"/>
              <w:rPr>
                <w:rFonts w:ascii="宋体" w:cs="宋体" w:hint="eastAsia"/>
                <w:kern w:val="0"/>
                <w:sz w:val="24"/>
                <w:szCs w:val="24"/>
                <w:shd w:val="clear" w:color="auto" w:fill="auto"/>
              </w:rPr>
            </w:pPr>
            <w:r>
              <w:rPr>
                <w:rFonts w:ascii="宋体" w:cs="宋体" w:hint="eastAsia"/>
                <w:kern w:val="0"/>
                <w:sz w:val="24"/>
                <w:szCs w:val="24"/>
                <w:shd w:val="clear" w:color="auto" w:fill="auto"/>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widowControl/>
              <w:shd w:val="clear" w:color="auto" w:fill="auto"/>
              <w:jc w:val="center"/>
              <w:rPr>
                <w:rFonts w:ascii="宋体" w:cs="宋体" w:hint="eastAsia"/>
                <w:kern w:val="0"/>
                <w:sz w:val="24"/>
                <w:szCs w:val="24"/>
                <w:shd w:val="clear" w:color="auto" w:fill="auto"/>
              </w:rPr>
            </w:pPr>
            <w:r>
              <w:rPr>
                <w:rFonts w:ascii="宋体" w:cs="宋体" w:hint="eastAsia"/>
                <w:kern w:val="0"/>
                <w:sz w:val="24"/>
                <w:szCs w:val="24"/>
                <w:shd w:val="clear" w:color="auto" w:fill="auto"/>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widowControl/>
              <w:shd w:val="clear" w:color="auto" w:fill="auto"/>
              <w:jc w:val="center"/>
              <w:rPr>
                <w:rFonts w:ascii="宋体" w:cs="宋体" w:hint="eastAsia"/>
                <w:kern w:val="0"/>
                <w:sz w:val="24"/>
                <w:szCs w:val="24"/>
                <w:shd w:val="clear" w:color="auto" w:fill="auto"/>
              </w:rPr>
            </w:pPr>
            <w:r>
              <w:rPr>
                <w:rFonts w:ascii="宋体" w:cs="宋体" w:hint="eastAsia"/>
                <w:kern w:val="0"/>
                <w:sz w:val="24"/>
                <w:szCs w:val="24"/>
                <w:shd w:val="clear" w:color="auto" w:fill="auto"/>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widowControl/>
              <w:shd w:val="clear" w:color="auto" w:fill="auto"/>
              <w:jc w:val="center"/>
              <w:rPr>
                <w:rFonts w:ascii="宋体" w:cs="宋体" w:hint="eastAsia"/>
                <w:kern w:val="0"/>
                <w:sz w:val="24"/>
                <w:szCs w:val="24"/>
                <w:shd w:val="clear" w:color="auto" w:fill="auto"/>
              </w:rPr>
            </w:pPr>
            <w:r>
              <w:rPr>
                <w:rFonts w:ascii="宋体" w:cs="宋体" w:hint="eastAsia"/>
                <w:kern w:val="0"/>
                <w:sz w:val="24"/>
                <w:szCs w:val="24"/>
                <w:shd w:val="clear" w:color="auto" w:fill="auto"/>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widowControl/>
              <w:shd w:val="clear" w:color="auto" w:fill="auto"/>
              <w:jc w:val="center"/>
              <w:rPr>
                <w:rFonts w:ascii="宋体" w:cs="宋体" w:hint="eastAsia"/>
                <w:kern w:val="0"/>
                <w:sz w:val="24"/>
                <w:szCs w:val="24"/>
                <w:shd w:val="clear" w:color="auto" w:fill="auto"/>
              </w:rPr>
            </w:pPr>
            <w:r>
              <w:rPr>
                <w:rFonts w:ascii="宋体" w:cs="宋体" w:hint="eastAsia"/>
                <w:kern w:val="0"/>
                <w:sz w:val="24"/>
                <w:szCs w:val="24"/>
                <w:shd w:val="clear" w:color="auto" w:fill="auto"/>
              </w:rPr>
              <w:t>0</w:t>
            </w:r>
          </w:p>
        </w:tc>
        <w:tc>
          <w:tcPr>
            <w:tcW w:w="60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widowControl/>
              <w:shd w:val="clear" w:color="auto" w:fill="auto"/>
              <w:jc w:val="center"/>
              <w:rPr>
                <w:rFonts w:ascii="宋体" w:cs="宋体" w:hint="eastAsia"/>
                <w:kern w:val="0"/>
                <w:sz w:val="24"/>
                <w:szCs w:val="24"/>
                <w:shd w:val="clear" w:color="auto" w:fill="auto"/>
              </w:rPr>
            </w:pPr>
            <w:r>
              <w:rPr>
                <w:rFonts w:ascii="宋体" w:cs="宋体" w:hint="eastAsia"/>
                <w:kern w:val="0"/>
                <w:sz w:val="24"/>
                <w:szCs w:val="24"/>
                <w:shd w:val="clear" w:color="auto" w:fill="auto"/>
              </w:rPr>
              <w:t>0</w:t>
            </w:r>
          </w:p>
        </w:tc>
        <w:tc>
          <w:tcPr>
            <w:tcW w:w="60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widowControl/>
              <w:shd w:val="clear" w:color="auto" w:fill="auto"/>
              <w:jc w:val="center"/>
              <w:rPr>
                <w:rFonts w:ascii="宋体" w:cs="宋体" w:hint="eastAsia"/>
                <w:kern w:val="0"/>
                <w:sz w:val="24"/>
                <w:szCs w:val="24"/>
                <w:shd w:val="clear" w:color="auto" w:fill="auto"/>
              </w:rPr>
            </w:pPr>
            <w:r>
              <w:rPr>
                <w:rFonts w:ascii="宋体" w:cs="宋体" w:hint="eastAsia"/>
                <w:kern w:val="0"/>
                <w:sz w:val="24"/>
                <w:szCs w:val="24"/>
                <w:shd w:val="clear" w:color="auto" w:fill="auto"/>
              </w:rPr>
              <w:t>0</w:t>
            </w:r>
          </w:p>
        </w:tc>
      </w:tr>
    </w:tbl>
    <w:p>
      <w:pPr>
        <w:pStyle w:val="96"/>
        <w:widowControl/>
        <w:shd w:val="clear" w:color="auto" w:fill="auto"/>
        <w:spacing w:beforeAutospacing="0" w:afterAutospacing="0" w:line="560" w:lineRule="exact"/>
        <w:ind w:firstLineChars="200" w:firstLine="640"/>
        <w:jc w:val="both"/>
        <w:rPr>
          <w:rFonts w:ascii="方正黑体_GBK" w:eastAsia="方正黑体_GBK" w:cs="楷体_GB2312"/>
          <w:bCs/>
          <w:sz w:val="32"/>
          <w:szCs w:val="32"/>
          <w:shd w:val="clear" w:color="auto" w:fill="auto"/>
        </w:rPr>
      </w:pPr>
      <w:r>
        <w:rPr>
          <w:rFonts w:ascii="方正黑体_GBK" w:eastAsia="方正黑体_GBK" w:cs="楷体_GB2312" w:hint="eastAsia"/>
          <w:bCs/>
          <w:sz w:val="32"/>
          <w:szCs w:val="32"/>
          <w:shd w:val="clear" w:color="auto" w:fill="auto"/>
        </w:rPr>
        <w:t>五、存在的主要问题及改进情况</w:t>
      </w:r>
    </w:p>
    <w:p>
      <w:pPr>
        <w:pStyle w:val="97"/>
        <w:shd w:val="clear" w:color="auto" w:fill="auto"/>
        <w:adjustRightInd w:val="0"/>
        <w:snapToGrid w:val="0"/>
        <w:ind w:firstLineChars="200" w:firstLine="624"/>
        <w:rPr>
          <w:rFonts w:ascii="方正楷体_GBK" w:eastAsia="方正楷体_GBK"/>
          <w:b/>
          <w:bCs/>
          <w:shd w:val="clear" w:color="auto" w:fill="auto"/>
        </w:rPr>
      </w:pPr>
      <w:r>
        <w:rPr>
          <w:rFonts w:ascii="方正楷体_GBK" w:eastAsia="方正楷体_GBK" w:hint="eastAsia"/>
          <w:b/>
          <w:bCs/>
          <w:shd w:val="clear" w:color="auto" w:fill="auto"/>
        </w:rPr>
        <w:t>（一）2023年年报中所提问题整改情况。</w:t>
      </w:r>
    </w:p>
    <w:p>
      <w:pPr>
        <w:pStyle w:val="98"/>
        <w:shd w:val="clear" w:color="auto" w:fill="auto"/>
        <w:autoSpaceDN w:val="0"/>
        <w:spacing w:line="560" w:lineRule="exact"/>
        <w:ind w:firstLineChars="200" w:firstLine="640"/>
        <w:rPr>
          <w:bCs/>
          <w:shd w:val="clear" w:color="auto" w:fill="auto"/>
        </w:rPr>
      </w:pPr>
      <w:r>
        <w:rPr>
          <w:rFonts w:hint="eastAsia"/>
          <w:shd w:val="clear" w:color="auto" w:fill="auto"/>
        </w:rPr>
        <w:t>清远海关202</w:t>
      </w:r>
      <w:r>
        <w:rPr>
          <w:shd w:val="clear" w:color="auto" w:fill="auto"/>
        </w:rPr>
        <w:t>3</w:t>
      </w:r>
      <w:r>
        <w:rPr>
          <w:rFonts w:hint="eastAsia"/>
          <w:shd w:val="clear" w:color="auto" w:fill="auto"/>
        </w:rPr>
        <w:t>年年报中提出以下问题：</w:t>
      </w:r>
      <w:r>
        <w:rPr>
          <w:rFonts w:hint="eastAsia"/>
          <w:bCs/>
          <w:shd w:val="clear" w:color="auto" w:fill="auto"/>
        </w:rPr>
        <w:t>主动利用新媒体开展政策宣传解读不多，为企业提供精准化服务能力需要进一步提升。</w:t>
      </w:r>
    </w:p>
    <w:p>
      <w:pPr>
        <w:pStyle w:val="98"/>
        <w:shd w:val="clear" w:color="auto" w:fill="auto"/>
        <w:autoSpaceDN w:val="0"/>
        <w:spacing w:line="560" w:lineRule="exact"/>
        <w:ind w:firstLineChars="200" w:firstLine="640"/>
        <w:rPr>
          <w:rFonts w:ascii="方正黑体_GBK" w:eastAsia="方正黑体_GBK" w:cs="楷体_GB2312"/>
          <w:bCs/>
          <w:szCs w:val="32"/>
          <w:shd w:val="clear" w:color="auto" w:fill="auto"/>
        </w:rPr>
      </w:pPr>
      <w:r>
        <w:rPr>
          <w:bCs/>
          <w:shd w:val="clear" w:color="auto" w:fill="auto"/>
        </w:rPr>
        <w:t>上述问题在2024年已采取措施</w:t>
      </w:r>
      <w:r>
        <w:rPr>
          <w:rFonts w:hint="eastAsia"/>
          <w:bCs/>
          <w:shd w:val="clear" w:color="auto" w:fill="auto"/>
        </w:rPr>
        <w:t>完成</w:t>
      </w:r>
      <w:r>
        <w:rPr>
          <w:bCs/>
          <w:shd w:val="clear" w:color="auto" w:fill="auto"/>
        </w:rPr>
        <w:t>整改：开展政府信息公开等专题培训，加强岗位人员能力培养。年内通过</w:t>
      </w:r>
      <w:r>
        <w:rPr>
          <w:rFonts w:hint="eastAsia"/>
          <w:bCs/>
          <w:shd w:val="clear" w:color="auto" w:fill="auto"/>
        </w:rPr>
        <w:t>“</w:t>
      </w:r>
      <w:r>
        <w:rPr>
          <w:bCs/>
          <w:shd w:val="clear" w:color="auto" w:fill="auto"/>
        </w:rPr>
        <w:t>广州海关12360</w:t>
      </w:r>
      <w:r>
        <w:rPr>
          <w:rFonts w:hint="eastAsia"/>
          <w:bCs/>
          <w:shd w:val="clear" w:color="auto" w:fill="auto"/>
        </w:rPr>
        <w:t>”</w:t>
      </w:r>
      <w:r>
        <w:rPr>
          <w:bCs/>
          <w:shd w:val="clear" w:color="auto" w:fill="auto"/>
        </w:rPr>
        <w:t>微信公众号、各级媒体客户端开展税政调研、进口食品进口商备案业务办理等专题政策</w:t>
      </w:r>
      <w:r>
        <w:rPr>
          <w:rFonts w:hint="eastAsia"/>
          <w:bCs/>
          <w:shd w:val="clear" w:color="auto" w:fill="auto"/>
        </w:rPr>
        <w:t>宣传解读</w:t>
      </w:r>
      <w:r>
        <w:rPr>
          <w:bCs/>
          <w:shd w:val="clear" w:color="auto" w:fill="auto"/>
        </w:rPr>
        <w:t>20余次，其中</w:t>
      </w:r>
      <w:r>
        <w:rPr>
          <w:rFonts w:hint="eastAsia"/>
          <w:bCs/>
          <w:shd w:val="clear" w:color="auto" w:fill="auto"/>
        </w:rPr>
        <w:t>“我陪群众走流程”政务服务提升行动</w:t>
      </w:r>
      <w:r>
        <w:rPr>
          <w:bCs/>
          <w:shd w:val="clear" w:color="auto" w:fill="auto"/>
        </w:rPr>
        <w:t>被</w:t>
      </w:r>
      <w:r>
        <w:rPr>
          <w:rFonts w:hint="eastAsia"/>
          <w:bCs/>
          <w:shd w:val="clear" w:color="auto" w:fill="auto"/>
        </w:rPr>
        <w:t>“</w:t>
      </w:r>
      <w:r>
        <w:rPr>
          <w:bCs/>
          <w:shd w:val="clear" w:color="auto" w:fill="auto"/>
        </w:rPr>
        <w:t>清远日报</w:t>
      </w:r>
      <w:r>
        <w:rPr>
          <w:rFonts w:hint="eastAsia"/>
          <w:bCs/>
          <w:shd w:val="clear" w:color="auto" w:fill="auto"/>
        </w:rPr>
        <w:t>”</w:t>
      </w:r>
      <w:r>
        <w:rPr>
          <w:bCs/>
          <w:shd w:val="clear" w:color="auto" w:fill="auto"/>
        </w:rPr>
        <w:t>等新媒体客户端转载报道，获得企业群众良好反响。</w:t>
      </w:r>
    </w:p>
    <w:p>
      <w:pPr>
        <w:pStyle w:val="99"/>
        <w:shd w:val="clear" w:color="auto" w:fill="auto"/>
        <w:adjustRightInd w:val="0"/>
        <w:snapToGrid w:val="0"/>
        <w:ind w:firstLineChars="200" w:firstLine="624"/>
        <w:rPr>
          <w:rFonts w:ascii="方正楷体_GBK" w:eastAsia="方正楷体_GBK"/>
          <w:b/>
          <w:bCs/>
          <w:shd w:val="clear" w:color="auto" w:fill="auto"/>
        </w:rPr>
      </w:pPr>
      <w:r>
        <w:rPr>
          <w:rFonts w:ascii="方正楷体_GBK" w:eastAsia="方正楷体_GBK" w:hint="eastAsia"/>
          <w:b/>
          <w:bCs/>
          <w:shd w:val="clear" w:color="auto" w:fill="auto"/>
        </w:rPr>
        <w:t>（二）目前存在问题。</w:t>
      </w:r>
    </w:p>
    <w:p>
      <w:pPr>
        <w:pStyle w:val="99"/>
        <w:shd w:val="clear" w:color="auto" w:fill="auto"/>
        <w:adjustRightInd w:val="0"/>
        <w:snapToGrid w:val="0"/>
        <w:ind w:firstLineChars="200" w:firstLine="624"/>
        <w:rPr>
          <w:shd w:val="clear" w:color="auto" w:fill="auto"/>
        </w:rPr>
      </w:pPr>
      <w:r>
        <w:rPr>
          <w:bCs/>
          <w:shd w:val="clear" w:color="auto" w:fill="auto"/>
        </w:rPr>
        <w:t>政府</w:t>
      </w:r>
      <w:r>
        <w:rPr>
          <w:shd w:val="clear" w:color="auto" w:fill="auto"/>
        </w:rPr>
        <w:t>信息主动公开意识不够高，政务</w:t>
      </w:r>
      <w:r>
        <w:rPr>
          <w:bCs/>
          <w:shd w:val="clear" w:color="auto" w:fill="auto"/>
        </w:rPr>
        <w:t>公开</w:t>
      </w:r>
      <w:r>
        <w:rPr>
          <w:shd w:val="clear" w:color="auto" w:fill="auto"/>
        </w:rPr>
        <w:t>规范化水平有待进一步提升。</w:t>
      </w:r>
    </w:p>
    <w:p>
      <w:pPr>
        <w:pStyle w:val="96"/>
        <w:widowControl/>
        <w:shd w:val="clear" w:color="auto" w:fill="auto"/>
        <w:spacing w:beforeAutospacing="0" w:afterAutospacing="0" w:line="560" w:lineRule="exact"/>
        <w:ind w:firstLineChars="200" w:firstLine="640"/>
        <w:jc w:val="both"/>
        <w:rPr>
          <w:rFonts w:ascii="方正黑体_GBK" w:eastAsia="方正黑体_GBK" w:cs="楷体_GB2312"/>
          <w:bCs/>
          <w:sz w:val="32"/>
          <w:szCs w:val="32"/>
          <w:shd w:val="clear" w:color="auto" w:fill="auto"/>
        </w:rPr>
      </w:pPr>
      <w:r>
        <w:rPr>
          <w:rFonts w:ascii="方正黑体_GBK" w:eastAsia="方正黑体_GBK" w:cs="楷体_GB2312" w:hint="eastAsia"/>
          <w:bCs/>
          <w:sz w:val="32"/>
          <w:szCs w:val="32"/>
          <w:shd w:val="clear" w:color="auto" w:fill="auto"/>
        </w:rPr>
        <w:t>六、其他需要报告的事项</w:t>
      </w:r>
    </w:p>
    <w:p>
      <w:pPr>
        <w:pStyle w:val="100"/>
        <w:shd w:val="clear" w:color="auto" w:fill="auto"/>
        <w:tabs>
          <w:tab w:val="center" w:pos="4153"/>
          <w:tab w:val="right" w:pos="8306"/>
        </w:tabs>
        <w:spacing w:line="560" w:lineRule="exact"/>
        <w:ind w:firstLine="640"/>
        <w:jc w:val="both"/>
        <w:rPr>
          <w:shd w:val="clear" w:color="auto" w:fill="auto"/>
        </w:rPr>
      </w:pPr>
      <w:r>
        <w:rPr>
          <w:rFonts w:hint="eastAsia"/>
          <w:bCs/>
          <w:spacing w:val="-4"/>
          <w:sz w:val="32"/>
          <w:szCs w:val="20"/>
          <w:shd w:val="clear" w:color="auto" w:fill="auto"/>
        </w:rPr>
        <w:t>清远海关</w:t>
      </w:r>
      <w:r>
        <w:rPr>
          <w:rFonts w:hint="eastAsia"/>
          <w:sz w:val="32"/>
          <w:szCs w:val="32"/>
          <w:shd w:val="clear" w:color="auto" w:fill="auto"/>
        </w:rPr>
        <w:t>严格按照《国务院办公厅关于印发〈政府信息公开信息处理费管理办法〉的通知》，</w:t>
      </w:r>
      <w:r>
        <w:rPr>
          <w:sz w:val="32"/>
          <w:szCs w:val="32"/>
          <w:shd w:val="clear" w:color="auto" w:fill="auto"/>
        </w:rPr>
        <w:t>规范</w:t>
      </w:r>
      <w:r>
        <w:rPr>
          <w:rFonts w:hint="eastAsia"/>
          <w:sz w:val="32"/>
          <w:szCs w:val="32"/>
          <w:shd w:val="clear" w:color="auto" w:fill="auto"/>
        </w:rPr>
        <w:t>政府信息公开信息处理费收取工作，</w:t>
      </w:r>
      <w:r>
        <w:rPr>
          <w:sz w:val="32"/>
          <w:szCs w:val="32"/>
          <w:shd w:val="clear" w:color="auto" w:fill="auto"/>
        </w:rPr>
        <w:t>2024</w:t>
      </w:r>
      <w:r>
        <w:rPr>
          <w:rFonts w:hint="eastAsia"/>
          <w:sz w:val="32"/>
          <w:szCs w:val="32"/>
          <w:shd w:val="clear" w:color="auto" w:fill="auto"/>
        </w:rPr>
        <w:t>年未收取政府信息公开信息处理费。</w:t>
      </w:r>
    </w:p>
    <w:sectPr>
      <w:footerReference w:type="default" r:id="rId2"/>
      <w:footerReference w:type="even" r:id="rId3"/>
      <w:footerReference w:type="first" r:id="rId4"/>
      <w:pgSz w:w="11907" w:h="16840"/>
      <w:pgMar w:top="1928" w:right="1588" w:bottom="1588" w:left="1588" w:header="851" w:footer="992" w:gutter="0"/>
      <w:pgNumType w:fmt="numberInDash" w:start="1"/>
      <w:docGrid w:type="lines" w:linePitch="435" w:charSpace="0"/>
    </w:sectPr>
  </w:body>
</w:document>
</file>

<file path=word/fontTable.xml><?xml version="1.0" encoding="utf-8"?>
<w:fonts xmlns:w="http://schemas.openxmlformats.org/wordprocessingml/2006/main" xmlns:r="http://schemas.openxmlformats.org/officeDocument/2006/relationships">
  <w:font w:name="方正小标宋_GBK">
    <w:panose1 w:val="03000509000000000000"/>
    <w:charset w:val="86"/>
    <w:family w:val="script"/>
    <w:pitch w:val="variable"/>
    <w:sig w:usb0="00000001" w:usb1="080E0000" w:usb2="00000010" w:usb3="00000000" w:csb0="00040000" w:csb1="00000000"/>
  </w:font>
  <w:font w:name="方正仿宋_GBK">
    <w:panose1 w:val="03000509000000000000"/>
    <w:charset w:val="86"/>
    <w:family w:val="script"/>
    <w:pitch w:val="variable"/>
    <w:sig w:usb0="00000001" w:usb1="080E0000" w:usb2="00000010" w:usb3="00000000" w:csb0="00040000" w:csb1="00000000"/>
  </w:font>
  <w:font w:name="方正黑体_GBK">
    <w:panose1 w:val="03000509000000000000"/>
    <w:charset w:val="86"/>
    <w:family w:val="script"/>
    <w:pitch w:val="variable"/>
    <w:sig w:usb0="00000001" w:usb1="080E0000" w:usb2="00000010" w:usb3="00000000" w:csb0="00040000" w:csb1="00000000"/>
  </w:font>
  <w:font w:name="楷体_GB2312">
    <w:altName w:val="楷体"/>
    <w:panose1 w:val="00000000000000000000"/>
    <w:charset w:val="00"/>
    <w:family w:val="auto"/>
    <w:pitch w:val="variable"/>
    <w:sig w:usb0="00000000" w:usb1="00000000" w:usb2="00000000" w:usb3="00000000" w:csb0="00000000" w:csb1="00000000"/>
  </w:font>
  <w:font w:name="Times New Roman">
    <w:panose1 w:val="02020603050405020304"/>
    <w:charset w:val="00"/>
    <w:family w:val="roman"/>
    <w:pitch w:val="variable"/>
    <w:sig w:usb0="20002A87" w:usb1="00000000" w:usb2="00000000" w:usb3="00000000" w:csb0="000001FF" w:csb1="00000000"/>
  </w:font>
  <w:font w:name="方正楷体_GBK">
    <w:panose1 w:val="03000509000000000000"/>
    <w:charset w:val="86"/>
    <w:family w:val="script"/>
    <w:pitch w:val="variable"/>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楷体">
    <w:altName w:val="方正楷体_GBK"/>
    <w:panose1 w:val="02010609060101010101"/>
    <w:charset w:val="86"/>
    <w:family w:val="modern"/>
    <w:pitch w:val="variable"/>
    <w:sig w:usb0="800002BF" w:usb1="38CF7CFA" w:usb2="00000016" w:usb3="00000000" w:csb0="00040001" w:csb1="00000000"/>
  </w:font>
  <w:font w:name="黑体">
    <w:altName w:val="SimHei"/>
    <w:panose1 w:val="02010609060101010101"/>
    <w:charset w:val="86"/>
    <w:family w:val="modern"/>
    <w:pitch w:val="variable"/>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6"/>
      <w:framePr w:w="0" w:hRule="auto" w:wrap="around" w:vAnchor="text" w:hAnchor="margin" w:xAlign="outside" w:y="1" w:anchorLock="0"/>
      <w:tabs>
        <w:tab w:val="center" w:pos="4153"/>
        <w:tab w:val="right" w:pos="8306"/>
      </w:tabs>
    </w:pPr>
    <w:r>
      <w:rPr>
        <w:rStyle w:val="17"/>
      </w:rPr>
      <w:fldChar w:fldCharType="begin"/>
    </w:r>
    <w:r>
      <w:rPr>
        <w:rStyle w:val="17"/>
      </w:rPr>
      <w:instrText>Page</w:instrText>
    </w:r>
    <w:r>
      <w:rPr>
        <w:rStyle w:val="17"/>
      </w:rPr>
      <w:fldChar w:fldCharType="separate"/>
    </w:r>
    <w:r>
      <w:rPr>
        <w:rStyle w:val="17"/>
      </w:rPr>
      <w:t>- 3 -</w:t>
    </w:r>
    <w:r>
      <w:rPr>
        <w:rStyle w:val="17"/>
      </w:rPr>
      <w:fldChar w:fldCharType="end"/>
    </w:r>
  </w:p>
  <w:p>
    <w:pPr>
      <w:pStyle w:val="16"/>
      <w:tabs>
        <w:tab w:val="center" w:pos="4153"/>
        <w:tab w:val="right" w:pos="8306"/>
      </w:tabs>
      <w:ind w:right="360" w:firstLine="360"/>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6"/>
      <w:framePr w:w="0" w:hRule="auto" w:wrap="around" w:vAnchor="text" w:hAnchor="margin" w:xAlign="outside" w:y="1" w:anchorLock="0"/>
      <w:tabs>
        <w:tab w:val="center" w:pos="4153"/>
        <w:tab w:val="right" w:pos="8306"/>
      </w:tabs>
    </w:pPr>
    <w:r>
      <w:rPr>
        <w:rStyle w:val="17"/>
      </w:rPr>
      <w:fldChar w:fldCharType="begin"/>
    </w:r>
    <w:r>
      <w:rPr>
        <w:rStyle w:val="17"/>
      </w:rPr>
      <w:instrText>Page</w:instrText>
    </w:r>
    <w:r>
      <w:rPr>
        <w:rStyle w:val="17"/>
      </w:rPr>
      <w:fldChar w:fldCharType="separate"/>
    </w:r>
    <w:r>
      <w:rPr>
        <w:rStyle w:val="17"/>
      </w:rPr>
      <w:t>- 2 -</w:t>
    </w:r>
    <w:r>
      <w:rPr>
        <w:rStyle w:val="17"/>
      </w:rPr>
      <w:fldChar w:fldCharType="end"/>
    </w:r>
  </w:p>
  <w:p>
    <w:pPr>
      <w:pStyle w:val="16"/>
      <w:tabs>
        <w:tab w:val="center" w:pos="4153"/>
        <w:tab w:val="right" w:pos="8306"/>
      </w:tabs>
      <w:ind w:right="360" w:firstLine="360"/>
    </w:pP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6"/>
      <w:tabs>
        <w:tab w:val="center" w:pos="4153"/>
        <w:tab w:val="right" w:pos="8306"/>
      </w:tabs>
      <w:jc w:val="right"/>
    </w:pPr>
    <w:r>
      <w:fldChar w:fldCharType="begin"/>
    </w:r>
    <w:r>
      <w:instrText>Page</w:instrText>
    </w:r>
    <w:r>
      <w:fldChar w:fldCharType="separate"/>
    </w:r>
    <w:r>
      <w:t>- 1 -</w:t>
    </w:r>
    <w:r>
      <w:fldChar w:fldCharType="end"/>
    </w:r>
    <w:r>
      <w:fldChar w:fldCharType="begin"/>
    </w:r>
    <w:r>
      <w:instrText>NumPages</w:instrText>
    </w:r>
    <w:r>
      <w:fldChar w:fldCharType="separate"/>
    </w:r>
    <w:r>
      <w:t>2</w:t>
    </w:r>
    <w:r>
      <w:fldChar w:fldCharType="end"/>
    </w:r>
    <w:r>
      <w:fldChar w:fldCharType="begin"/>
    </w:r>
    <w:r>
      <w:instrText>Page</w:instrText>
    </w:r>
    <w:r>
      <w:fldChar w:fldCharType="separate"/>
    </w:r>
    <w:r>
      <w:t>- 1 -</w:t>
    </w:r>
    <w:r>
      <w:fldChar w:fldCharType="end"/>
    </w:r>
    <w:r>
      <w:fldChar w:fldCharType="begin"/>
    </w:r>
    <w:r>
      <w:instrText>Page</w:instrText>
    </w:r>
    <w:r>
      <w:fldChar w:fldCharType="separate"/>
    </w:r>
    <w:r>
      <w:t>- 1 -</w:t>
    </w:r>
    <w:r>
      <w:fldChar w:fldCharType="end"/>
    </w:r>
  </w:p>
  <w:p>
    <w:pPr>
      <w:pStyle w:val="16"/>
      <w:tabs>
        <w:tab w:val="center" w:pos="4153"/>
        <w:tab w:val="right" w:pos="8306"/>
      </w:tabs>
    </w:pP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85"/>
  <w:doNotDisplayPageBoundaries/>
  <w:bordersDoNotSurroundHeader/>
  <w:bordersDoNotSurroundFooter/>
  <w:defaultTabStop w:val="420"/>
  <w:evenAndOddHeaders/>
  <w:drawingGridHorizontalSpacing w:val="160"/>
  <w:drawingGridVerticalSpacing w:val="435"/>
  <w:displayHorizontalDrawingGridEvery w:val="0"/>
  <w:displayVerticalDrawingGridEvery w:val="1"/>
  <w:characterSpacingControl w:val="compressPunctuation"/>
  <w:compat>
    <w:spaceForUL/>
    <w:balanceSingleByteDoubleByteWidth/>
    <w:ulTrailSpace/>
    <w:doNotExpandShiftReturn/>
    <w:adjustLineHeightInTable/>
    <w:doNotUseIndentAsNumberingTabStop/>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方正仿宋_GBK" w:cs="Times New Roman" w:hAnsi="Times New Roman"/>
      <w:kern w:val="2"/>
      <w:sz w:val="32"/>
      <w:szCs w:val="22"/>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szCs w:val="44"/>
    </w:rPr>
  </w:style>
  <w:style w:type="paragraph" w:styleId="2">
    <w:name w:val="heading 2"/>
    <w:basedOn w:val="0"/>
    <w:next w:val="0"/>
    <w:pPr>
      <w:keepNext/>
      <w:keepLines/>
      <w:widowControl w:val="0"/>
      <w:spacing w:before="260" w:after="260" w:line="415" w:lineRule="auto"/>
      <w:outlineLvl w:val="1"/>
    </w:pPr>
    <w:rPr>
      <w:rFonts w:eastAsia="黑体"/>
      <w:b/>
      <w:bCs/>
      <w:szCs w:val="32"/>
    </w:rPr>
  </w:style>
  <w:style w:type="paragraph" w:styleId="3">
    <w:name w:val="heading 3"/>
    <w:basedOn w:val="0"/>
    <w:next w:val="0"/>
    <w:pPr>
      <w:keepNext/>
      <w:keepLines/>
      <w:widowControl w:val="0"/>
      <w:spacing w:before="260" w:after="260" w:line="415" w:lineRule="auto"/>
      <w:outlineLvl w:val="2"/>
    </w:pPr>
    <w:rPr>
      <w:b/>
      <w:bCs/>
      <w:szCs w:val="32"/>
    </w:rPr>
  </w:style>
  <w:style w:type="character" w:default="1" w:styleId="10">
    <w:name w:val="Default Paragraph Font"/>
  </w:style>
  <w:style w:type="paragraph" w:styleId="15">
    <w:name w:val="header"/>
    <w:basedOn w:val="0"/>
    <w:pPr>
      <w:pBdr>
        <w:bottom w:val="single" w:sz="6" w:space="1" w:color="auto"/>
      </w:pBdr>
      <w:tabs>
        <w:tab w:val="center" w:pos="4153"/>
        <w:tab w:val="right" w:pos="8306"/>
      </w:tabs>
      <w:snapToGrid w:val="0"/>
      <w:jc w:val="center"/>
    </w:pPr>
    <w:rPr>
      <w:sz w:val="18"/>
      <w:szCs w:val="18"/>
    </w:rPr>
  </w:style>
  <w:style w:type="paragraph" w:styleId="16">
    <w:name w:val="footer"/>
    <w:basedOn w:val="0"/>
    <w:pPr>
      <w:tabs>
        <w:tab w:val="center" w:pos="4153"/>
        <w:tab w:val="right" w:pos="8306"/>
      </w:tabs>
      <w:snapToGrid w:val="0"/>
      <w:jc w:val="left"/>
    </w:pPr>
    <w:rPr>
      <w:sz w:val="18"/>
      <w:szCs w:val="18"/>
    </w:rPr>
  </w:style>
  <w:style w:type="character" w:styleId="17">
    <w:name w:val="page number"/>
    <w:basedOn w:val="10"/>
  </w:style>
  <w:style w:type="paragraph" w:customStyle="1" w:styleId="18">
    <w:name w:val="样式 三号"/>
    <w:next w:val="27"/>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styleId="19">
    <w:name w:val="index 5"/>
    <w:basedOn w:val="0"/>
    <w:autoRedefine/>
    <w:next w:val="0"/>
    <w:pPr>
      <w:ind w:left="1680"/>
    </w:pPr>
    <w:rPr>
      <w:rFonts w:eastAsia="宋体"/>
    </w:rPr>
  </w:style>
  <w:style w:type="paragraph" w:styleId="20">
    <w:name w:val="index 6"/>
    <w:basedOn w:val="0"/>
    <w:autoRedefine/>
    <w:next w:val="0"/>
    <w:pPr>
      <w:ind w:left="2100"/>
    </w:pPr>
  </w:style>
  <w:style w:type="paragraph" w:styleId="21">
    <w:name w:val="index 7"/>
    <w:basedOn w:val="0"/>
    <w:autoRedefine/>
    <w:next w:val="0"/>
    <w:pPr>
      <w:ind w:left="2520"/>
    </w:pPr>
  </w:style>
  <w:style w:type="paragraph" w:styleId="22">
    <w:name w:val="index 8"/>
    <w:basedOn w:val="0"/>
    <w:autoRedefine/>
    <w:next w:val="0"/>
    <w:pPr>
      <w:ind w:left="2940"/>
    </w:pPr>
  </w:style>
  <w:style w:type="paragraph" w:styleId="23">
    <w:name w:val="toc 1"/>
    <w:basedOn w:val="0"/>
    <w:autoRedefine/>
    <w:next w:val="0"/>
  </w:style>
  <w:style w:type="paragraph" w:styleId="24">
    <w:name w:val="toc 2"/>
    <w:basedOn w:val="0"/>
    <w:autoRedefine/>
    <w:next w:val="0"/>
    <w:pPr>
      <w:ind w:left="420"/>
    </w:pPr>
  </w:style>
  <w:style w:type="paragraph" w:styleId="25">
    <w:name w:val="Normal (Web)"/>
    <w:next w:val="29"/>
    <w:pPr>
      <w:widowControl w:val="0"/>
      <w:spacing w:before="100" w:beforeAutospacing="1" w:after="100" w:afterAutospacing="1"/>
      <w:jc w:val="left"/>
    </w:pPr>
    <w:rPr>
      <w:rFonts w:ascii="Times New Roman" w:eastAsia="宋体" w:cs="Times New Roman" w:hAnsi="Times New Roman"/>
      <w:kern w:val="0"/>
      <w:sz w:val="24"/>
      <w:szCs w:val="24"/>
      <w:lang w:val="en-US" w:eastAsia="zh-CN" w:bidi="ar-SA"/>
    </w:rPr>
  </w:style>
  <w:style w:type="paragraph" w:customStyle="1" w:styleId="26">
    <w:name w:val="样式 1 三号"/>
    <w:next w:val="23"/>
    <w:pPr>
      <w:widowControl w:val="0"/>
      <w:spacing w:line="560" w:lineRule="exact"/>
      <w:jc w:val="both"/>
    </w:pPr>
    <w:rPr>
      <w:rFonts w:ascii="Times New Roman" w:eastAsia="方正仿宋_GBK" w:cs="Times New Roman" w:hAnsi="Times New Roman"/>
      <w:spacing w:val="-4"/>
      <w:kern w:val="2"/>
      <w:sz w:val="32"/>
      <w:szCs w:val="28"/>
      <w:lang w:val="en-US" w:eastAsia="zh-CN" w:bidi="ar-SA"/>
    </w:rPr>
  </w:style>
  <w:style w:type="paragraph" w:customStyle="1" w:styleId="27">
    <w:name w:val="样式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28">
    <w:name w:val="样式 小三"/>
    <w:next w:val="24"/>
    <w:pPr>
      <w:widowControl w:val="0"/>
      <w:jc w:val="both"/>
    </w:pPr>
    <w:rPr>
      <w:rFonts w:ascii="Times New Roman" w:eastAsia="宋体" w:cs="Times New Roman" w:hAnsi="Times New Roman"/>
      <w:kern w:val="2"/>
      <w:sz w:val="30"/>
      <w:szCs w:val="30"/>
      <w:lang w:val="en-US" w:eastAsia="zh-CN" w:bidi="ar-SA"/>
    </w:rPr>
  </w:style>
  <w:style w:type="paragraph" w:customStyle="1" w:styleId="29">
    <w:name w:val="样式 1 小四"/>
    <w:next w:val="23"/>
    <w:pPr>
      <w:widowControl w:val="0"/>
    </w:pPr>
    <w:rPr>
      <w:rFonts w:ascii="宋体" w:eastAsia="宋体" w:cs="Times New Roman"/>
      <w:kern w:val="2"/>
      <w:sz w:val="24"/>
      <w:lang w:val="en-US" w:eastAsia="zh-CN" w:bidi="ar-SA"/>
    </w:rPr>
  </w:style>
  <w:style w:type="paragraph" w:customStyle="1" w:styleId="30">
    <w:name w:val="样式 6 小四"/>
    <w:next w:val="0"/>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31">
    <w:name w:val="样式 20 小四"/>
    <w:next w:val="19"/>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32">
    <w:name w:val="样式 12 三号"/>
    <w:next w:val="22"/>
    <w:pPr>
      <w:widowControl w:val="0"/>
      <w:jc w:val="both"/>
    </w:pPr>
    <w:rPr>
      <w:rFonts w:ascii="Times New Roman" w:eastAsia="方正仿宋_GBK" w:cs="Times New Roman" w:hAnsi="Times New Roman"/>
      <w:kern w:val="2"/>
      <w:sz w:val="32"/>
      <w:lang w:val="en-US" w:eastAsia="zh-CN" w:bidi="ar-SA"/>
    </w:rPr>
  </w:style>
  <w:style w:type="paragraph" w:customStyle="1" w:styleId="33">
    <w:name w:val="样式 50 三号"/>
    <w:next w:val="20"/>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34">
    <w:name w:val="样式 13 三号"/>
    <w:next w:val="21"/>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35">
    <w:name w:val="样式 2 三号"/>
    <w:pPr>
      <w:widowControl w:val="0"/>
      <w:spacing w:line="560" w:lineRule="exact"/>
      <w:jc w:val="both"/>
    </w:pPr>
    <w:rPr>
      <w:rFonts w:ascii="Times New Roman" w:eastAsia="方正仿宋_GBK" w:cs="Times New Roman" w:hAnsi="Times New Roman"/>
      <w:spacing w:val="-4"/>
      <w:kern w:val="2"/>
      <w:sz w:val="32"/>
      <w:szCs w:val="28"/>
      <w:lang w:val="en-US" w:eastAsia="zh-CN" w:bidi="ar-SA"/>
    </w:rPr>
  </w:style>
  <w:style w:type="paragraph" w:customStyle="1" w:styleId="36">
    <w:name w:val="样式 3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7">
    <w:name w:val="样式 4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8">
    <w:name w:val="样式 5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9">
    <w:name w:val="样式 6 三号"/>
    <w:pPr>
      <w:widowControl w:val="0"/>
      <w:spacing w:line="560" w:lineRule="exact"/>
      <w:jc w:val="both"/>
    </w:pPr>
    <w:rPr>
      <w:rFonts w:ascii="Times New Roman" w:eastAsia="方正仿宋_GBK" w:cs="Times New Roman" w:hAnsi="Times New Roman"/>
      <w:spacing w:val="-4"/>
      <w:kern w:val="2"/>
      <w:sz w:val="32"/>
      <w:szCs w:val="28"/>
      <w:lang w:val="en-US" w:eastAsia="zh-CN" w:bidi="ar-SA"/>
    </w:rPr>
  </w:style>
  <w:style w:type="paragraph" w:customStyle="1" w:styleId="40">
    <w:name w:val="样式 7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41">
    <w:name w:val="样式 8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42">
    <w:name w:val="样式 小四"/>
    <w:pPr>
      <w:widowControl w:val="0"/>
    </w:pPr>
    <w:rPr>
      <w:rFonts w:ascii="宋体" w:eastAsia="宋体" w:cs="Times New Roman"/>
      <w:kern w:val="2"/>
      <w:sz w:val="24"/>
      <w:lang w:val="en-US" w:eastAsia="zh-CN" w:bidi="ar-SA"/>
    </w:rPr>
  </w:style>
  <w:style w:type="paragraph" w:customStyle="1" w:styleId="43">
    <w:name w:val="样式 1 小三"/>
    <w:pPr>
      <w:widowControl w:val="0"/>
      <w:jc w:val="both"/>
    </w:pPr>
    <w:rPr>
      <w:rFonts w:ascii="Times New Roman" w:eastAsia="宋体" w:cs="Times New Roman" w:hAnsi="Times New Roman"/>
      <w:kern w:val="2"/>
      <w:sz w:val="30"/>
      <w:szCs w:val="30"/>
      <w:lang w:val="en-US" w:eastAsia="zh-CN" w:bidi="ar-SA"/>
    </w:rPr>
  </w:style>
  <w:style w:type="paragraph" w:customStyle="1" w:styleId="44">
    <w:name w:val="样式 2 小三"/>
    <w:pPr>
      <w:widowControl w:val="0"/>
      <w:jc w:val="both"/>
    </w:pPr>
    <w:rPr>
      <w:rFonts w:ascii="Times New Roman" w:eastAsia="宋体" w:cs="Times New Roman" w:hAnsi="Times New Roman"/>
      <w:kern w:val="2"/>
      <w:sz w:val="30"/>
      <w:szCs w:val="30"/>
      <w:lang w:val="en-US" w:eastAsia="zh-CN" w:bidi="ar-SA"/>
    </w:rPr>
  </w:style>
  <w:style w:type="paragraph" w:customStyle="1" w:styleId="45">
    <w:name w:val="样式 3 小三"/>
    <w:pPr>
      <w:widowControl w:val="0"/>
      <w:jc w:val="both"/>
    </w:pPr>
    <w:rPr>
      <w:rFonts w:ascii="Times New Roman" w:eastAsia="宋体" w:cs="Times New Roman" w:hAnsi="Times New Roman"/>
      <w:kern w:val="2"/>
      <w:sz w:val="30"/>
      <w:szCs w:val="30"/>
      <w:lang w:val="en-US" w:eastAsia="zh-CN" w:bidi="ar-SA"/>
    </w:rPr>
  </w:style>
  <w:style w:type="paragraph" w:customStyle="1" w:styleId="46">
    <w:name w:val="样式 4 小三"/>
    <w:pPr>
      <w:widowControl w:val="0"/>
      <w:jc w:val="both"/>
    </w:pPr>
    <w:rPr>
      <w:rFonts w:ascii="Times New Roman" w:eastAsia="宋体" w:cs="Times New Roman" w:hAnsi="Times New Roman"/>
      <w:kern w:val="2"/>
      <w:sz w:val="30"/>
      <w:szCs w:val="30"/>
      <w:lang w:val="en-US" w:eastAsia="zh-CN" w:bidi="ar-SA"/>
    </w:rPr>
  </w:style>
  <w:style w:type="paragraph" w:customStyle="1" w:styleId="47">
    <w:name w:val="样式 9 三号"/>
    <w:pPr>
      <w:widowControl w:val="0"/>
      <w:ind w:left="420"/>
      <w:jc w:val="both"/>
    </w:pPr>
    <w:rPr>
      <w:rFonts w:ascii="Times New Roman" w:eastAsia="方正仿宋_GBK" w:cs="Times New Roman" w:hAnsi="Times New Roman"/>
      <w:kern w:val="2"/>
      <w:sz w:val="32"/>
      <w:szCs w:val="22"/>
      <w:lang w:val="en-US" w:eastAsia="zh-CN" w:bidi="ar-SA"/>
    </w:rPr>
  </w:style>
  <w:style w:type="paragraph" w:customStyle="1" w:styleId="48">
    <w:name w:val="样式 2 小四"/>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49">
    <w:name w:val="样式 10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50">
    <w:name w:val="样式 3 小四"/>
    <w:pPr>
      <w:widowControl w:val="0"/>
    </w:pPr>
    <w:rPr>
      <w:rFonts w:ascii="宋体" w:eastAsia="宋体" w:cs="Times New Roman"/>
      <w:kern w:val="2"/>
      <w:sz w:val="24"/>
      <w:lang w:val="en-US" w:eastAsia="zh-CN" w:bidi="ar-SA"/>
    </w:rPr>
  </w:style>
  <w:style w:type="paragraph" w:styleId="51">
    <w:name w:val="List Number 2"/>
    <w:basedOn w:val="0"/>
    <w:pPr>
      <w:tabs>
        <w:tab w:val="left" w:pos="780"/>
      </w:tabs>
      <w:ind w:left="780" w:hanging="360"/>
    </w:pPr>
  </w:style>
  <w:style w:type="paragraph" w:customStyle="1" w:styleId="52">
    <w:name w:val="样式 5 小三"/>
    <w:pPr>
      <w:widowControl w:val="0"/>
      <w:jc w:val="both"/>
    </w:pPr>
    <w:rPr>
      <w:rFonts w:ascii="Times New Roman" w:eastAsia="宋体" w:cs="Times New Roman" w:hAnsi="Times New Roman"/>
      <w:kern w:val="2"/>
      <w:sz w:val="30"/>
      <w:szCs w:val="30"/>
      <w:lang w:val="en-US" w:eastAsia="zh-CN" w:bidi="ar-SA"/>
    </w:rPr>
  </w:style>
  <w:style w:type="paragraph" w:customStyle="1" w:styleId="53">
    <w:name w:val="样式 6 小三"/>
    <w:pPr>
      <w:widowControl w:val="0"/>
      <w:jc w:val="both"/>
    </w:pPr>
    <w:rPr>
      <w:rFonts w:ascii="Times New Roman" w:eastAsia="宋体" w:cs="Times New Roman" w:hAnsi="Times New Roman"/>
      <w:kern w:val="2"/>
      <w:sz w:val="30"/>
      <w:szCs w:val="30"/>
      <w:lang w:val="en-US" w:eastAsia="zh-CN" w:bidi="ar-SA"/>
    </w:rPr>
  </w:style>
  <w:style w:type="paragraph" w:customStyle="1" w:styleId="54">
    <w:name w:val="样式 7 小三"/>
    <w:pPr>
      <w:widowControl w:val="0"/>
      <w:jc w:val="both"/>
    </w:pPr>
    <w:rPr>
      <w:rFonts w:ascii="Times New Roman" w:eastAsia="宋体" w:cs="Times New Roman" w:hAnsi="Times New Roman"/>
      <w:kern w:val="2"/>
      <w:sz w:val="30"/>
      <w:szCs w:val="30"/>
      <w:lang w:val="en-US" w:eastAsia="zh-CN" w:bidi="ar-SA"/>
    </w:rPr>
  </w:style>
  <w:style w:type="paragraph" w:customStyle="1" w:styleId="55">
    <w:name w:val="样式 8 小三"/>
    <w:pPr>
      <w:widowControl w:val="0"/>
      <w:jc w:val="both"/>
    </w:pPr>
    <w:rPr>
      <w:rFonts w:ascii="Times New Roman" w:eastAsia="宋体" w:cs="Times New Roman" w:hAnsi="Times New Roman"/>
      <w:kern w:val="2"/>
      <w:sz w:val="30"/>
      <w:szCs w:val="30"/>
      <w:lang w:val="en-US" w:eastAsia="zh-CN" w:bidi="ar-SA"/>
    </w:rPr>
  </w:style>
  <w:style w:type="paragraph" w:customStyle="1" w:styleId="56">
    <w:name w:val="样式 9 小三"/>
    <w:pPr>
      <w:widowControl w:val="0"/>
      <w:jc w:val="both"/>
    </w:pPr>
    <w:rPr>
      <w:rFonts w:ascii="Times New Roman" w:eastAsia="宋体" w:cs="Times New Roman" w:hAnsi="Times New Roman"/>
      <w:kern w:val="2"/>
      <w:sz w:val="30"/>
      <w:szCs w:val="30"/>
      <w:lang w:val="en-US" w:eastAsia="zh-CN" w:bidi="ar-SA"/>
    </w:rPr>
  </w:style>
  <w:style w:type="paragraph" w:customStyle="1" w:styleId="57">
    <w:name w:val="样式 10 小三"/>
    <w:pPr>
      <w:widowControl w:val="0"/>
      <w:jc w:val="both"/>
    </w:pPr>
    <w:rPr>
      <w:rFonts w:ascii="Times New Roman" w:eastAsia="宋体" w:cs="Times New Roman" w:hAnsi="Times New Roman"/>
      <w:kern w:val="2"/>
      <w:sz w:val="30"/>
      <w:szCs w:val="30"/>
      <w:lang w:val="en-US" w:eastAsia="zh-CN" w:bidi="ar-SA"/>
    </w:rPr>
  </w:style>
  <w:style w:type="paragraph" w:customStyle="1" w:styleId="58">
    <w:name w:val="样式 11 小三"/>
    <w:pPr>
      <w:widowControl w:val="0"/>
      <w:jc w:val="both"/>
    </w:pPr>
    <w:rPr>
      <w:rFonts w:ascii="Times New Roman" w:eastAsia="宋体" w:cs="Times New Roman" w:hAnsi="Times New Roman"/>
      <w:kern w:val="2"/>
      <w:sz w:val="30"/>
      <w:szCs w:val="30"/>
      <w:lang w:val="en-US" w:eastAsia="zh-CN" w:bidi="ar-SA"/>
    </w:rPr>
  </w:style>
  <w:style w:type="paragraph" w:customStyle="1" w:styleId="59">
    <w:name w:val="样式 12 小三"/>
    <w:pPr>
      <w:widowControl w:val="0"/>
      <w:jc w:val="both"/>
    </w:pPr>
    <w:rPr>
      <w:rFonts w:ascii="Times New Roman" w:eastAsia="宋体" w:cs="Times New Roman" w:hAnsi="Times New Roman"/>
      <w:kern w:val="2"/>
      <w:sz w:val="30"/>
      <w:szCs w:val="30"/>
      <w:lang w:val="en-US" w:eastAsia="zh-CN" w:bidi="ar-SA"/>
    </w:rPr>
  </w:style>
  <w:style w:type="paragraph" w:customStyle="1" w:styleId="60">
    <w:name w:val="样式 13 小三"/>
    <w:pPr>
      <w:widowControl w:val="0"/>
      <w:jc w:val="both"/>
    </w:pPr>
    <w:rPr>
      <w:rFonts w:ascii="Times New Roman" w:eastAsia="宋体" w:cs="Times New Roman" w:hAnsi="Times New Roman"/>
      <w:kern w:val="2"/>
      <w:sz w:val="30"/>
      <w:szCs w:val="30"/>
      <w:lang w:val="en-US" w:eastAsia="zh-CN" w:bidi="ar-SA"/>
    </w:rPr>
  </w:style>
  <w:style w:type="paragraph" w:customStyle="1" w:styleId="61">
    <w:name w:val="样式 14 小三"/>
    <w:pPr>
      <w:widowControl w:val="0"/>
      <w:jc w:val="both"/>
    </w:pPr>
    <w:rPr>
      <w:rFonts w:ascii="Times New Roman" w:eastAsia="宋体" w:cs="Times New Roman" w:hAnsi="Times New Roman"/>
      <w:kern w:val="2"/>
      <w:sz w:val="30"/>
      <w:szCs w:val="30"/>
      <w:lang w:val="en-US" w:eastAsia="zh-CN" w:bidi="ar-SA"/>
    </w:rPr>
  </w:style>
  <w:style w:type="paragraph" w:customStyle="1" w:styleId="62">
    <w:name w:val="样式 15 小三"/>
    <w:pPr>
      <w:widowControl w:val="0"/>
      <w:jc w:val="both"/>
    </w:pPr>
    <w:rPr>
      <w:rFonts w:ascii="Times New Roman" w:eastAsia="宋体" w:cs="Times New Roman" w:hAnsi="Times New Roman"/>
      <w:kern w:val="2"/>
      <w:sz w:val="30"/>
      <w:szCs w:val="30"/>
      <w:lang w:val="en-US" w:eastAsia="zh-CN" w:bidi="ar-SA"/>
    </w:rPr>
  </w:style>
  <w:style w:type="paragraph" w:customStyle="1" w:styleId="63">
    <w:name w:val="样式 16 小三"/>
    <w:pPr>
      <w:widowControl w:val="0"/>
      <w:jc w:val="both"/>
    </w:pPr>
    <w:rPr>
      <w:rFonts w:ascii="Times New Roman" w:eastAsia="宋体" w:cs="Times New Roman" w:hAnsi="Times New Roman"/>
      <w:kern w:val="2"/>
      <w:sz w:val="30"/>
      <w:szCs w:val="30"/>
      <w:lang w:val="en-US" w:eastAsia="zh-CN" w:bidi="ar-SA"/>
    </w:rPr>
  </w:style>
  <w:style w:type="paragraph" w:customStyle="1" w:styleId="64">
    <w:name w:val="样式 17 小三"/>
    <w:pPr>
      <w:widowControl w:val="0"/>
      <w:jc w:val="both"/>
    </w:pPr>
    <w:rPr>
      <w:rFonts w:ascii="Times New Roman" w:eastAsia="宋体" w:cs="Times New Roman" w:hAnsi="Times New Roman"/>
      <w:kern w:val="2"/>
      <w:sz w:val="30"/>
      <w:szCs w:val="30"/>
      <w:lang w:val="en-US" w:eastAsia="zh-CN" w:bidi="ar-SA"/>
    </w:rPr>
  </w:style>
  <w:style w:type="paragraph" w:customStyle="1" w:styleId="65">
    <w:name w:val="样式 18 小三"/>
    <w:pPr>
      <w:widowControl w:val="0"/>
      <w:jc w:val="both"/>
    </w:pPr>
    <w:rPr>
      <w:rFonts w:ascii="Times New Roman" w:eastAsia="宋体" w:cs="Times New Roman" w:hAnsi="Times New Roman"/>
      <w:kern w:val="2"/>
      <w:sz w:val="30"/>
      <w:szCs w:val="30"/>
      <w:lang w:val="en-US" w:eastAsia="zh-CN" w:bidi="ar-SA"/>
    </w:rPr>
  </w:style>
  <w:style w:type="paragraph" w:customStyle="1" w:styleId="66">
    <w:name w:val="样式 19 小三"/>
    <w:pPr>
      <w:widowControl w:val="0"/>
      <w:jc w:val="both"/>
    </w:pPr>
    <w:rPr>
      <w:rFonts w:ascii="Times New Roman" w:eastAsia="宋体" w:cs="Times New Roman" w:hAnsi="Times New Roman"/>
      <w:kern w:val="2"/>
      <w:sz w:val="30"/>
      <w:szCs w:val="30"/>
      <w:lang w:val="en-US" w:eastAsia="zh-CN" w:bidi="ar-SA"/>
    </w:rPr>
  </w:style>
  <w:style w:type="paragraph" w:customStyle="1" w:styleId="67">
    <w:name w:val="样式 20 小三"/>
    <w:pPr>
      <w:widowControl w:val="0"/>
      <w:jc w:val="both"/>
    </w:pPr>
    <w:rPr>
      <w:rFonts w:ascii="Times New Roman" w:eastAsia="宋体" w:cs="Times New Roman" w:hAnsi="Times New Roman"/>
      <w:kern w:val="2"/>
      <w:sz w:val="30"/>
      <w:szCs w:val="30"/>
      <w:lang w:val="en-US" w:eastAsia="zh-CN" w:bidi="ar-SA"/>
    </w:rPr>
  </w:style>
  <w:style w:type="paragraph" w:customStyle="1" w:styleId="68">
    <w:name w:val="样式 10 磅"/>
    <w:pPr>
      <w:widowControl w:val="0"/>
      <w:jc w:val="both"/>
    </w:pPr>
    <w:rPr>
      <w:rFonts w:ascii="Calibri" w:eastAsia="宋体" w:cs="Times New Roman" w:hAnsi="Calibri"/>
      <w:kern w:val="2"/>
      <w:sz w:val="21"/>
      <w:szCs w:val="22"/>
      <w:lang w:val="en-US" w:eastAsia="zh-CN" w:bidi="ar-SA"/>
    </w:rPr>
  </w:style>
  <w:style w:type="paragraph" w:customStyle="1" w:styleId="69">
    <w:name w:val="样式 21 小三"/>
    <w:pPr>
      <w:widowControl w:val="0"/>
      <w:jc w:val="both"/>
    </w:pPr>
    <w:rPr>
      <w:rFonts w:ascii="Times New Roman" w:eastAsia="宋体" w:cs="Times New Roman" w:hAnsi="Times New Roman"/>
      <w:kern w:val="2"/>
      <w:sz w:val="30"/>
      <w:szCs w:val="30"/>
      <w:lang w:val="en-US" w:eastAsia="zh-CN" w:bidi="ar-SA"/>
    </w:rPr>
  </w:style>
  <w:style w:type="paragraph" w:customStyle="1" w:styleId="70">
    <w:name w:val="样式 22 小三"/>
    <w:pPr>
      <w:widowControl w:val="0"/>
      <w:jc w:val="both"/>
    </w:pPr>
    <w:rPr>
      <w:rFonts w:ascii="Times New Roman" w:eastAsia="宋体" w:cs="Times New Roman" w:hAnsi="Times New Roman"/>
      <w:kern w:val="2"/>
      <w:sz w:val="30"/>
      <w:szCs w:val="30"/>
      <w:lang w:val="en-US" w:eastAsia="zh-CN" w:bidi="ar-SA"/>
    </w:rPr>
  </w:style>
  <w:style w:type="paragraph" w:styleId="71">
    <w:name w:val="List Bullet"/>
    <w:basedOn w:val="0"/>
    <w:pPr>
      <w:tabs>
        <w:tab w:val="left" w:pos="360"/>
      </w:tabs>
      <w:ind w:left="360" w:hanging="360"/>
    </w:pPr>
  </w:style>
  <w:style w:type="paragraph" w:styleId="72">
    <w:name w:val="List Number"/>
    <w:basedOn w:val="0"/>
    <w:pPr>
      <w:tabs>
        <w:tab w:val="left" w:pos="360"/>
      </w:tabs>
      <w:ind w:left="360" w:hanging="360"/>
    </w:pPr>
  </w:style>
  <w:style w:type="paragraph" w:customStyle="1" w:styleId="73">
    <w:name w:val="样式 17 三号"/>
    <w:next w:val="71"/>
    <w:pPr>
      <w:widowControl w:val="0"/>
      <w:jc w:val="both"/>
    </w:pPr>
    <w:rPr>
      <w:rFonts w:ascii="Times New Roman" w:eastAsia="方正仿宋_GBK" w:cs="Times New Roman" w:hAnsi="Times New Roman"/>
      <w:kern w:val="2"/>
      <w:sz w:val="32"/>
      <w:lang w:val="en-US" w:eastAsia="zh-CN" w:bidi="ar-SA"/>
    </w:rPr>
  </w:style>
  <w:style w:type="paragraph" w:customStyle="1" w:styleId="74">
    <w:name w:val="样式 18 三号"/>
    <w:next w:val="72"/>
    <w:pPr>
      <w:widowControl w:val="0"/>
      <w:jc w:val="both"/>
    </w:pPr>
    <w:rPr>
      <w:rFonts w:ascii="Times New Roman" w:eastAsia="方正仿宋_GBK" w:cs="Times New Roman" w:hAnsi="Times New Roman"/>
      <w:kern w:val="2"/>
      <w:sz w:val="32"/>
      <w:szCs w:val="22"/>
      <w:lang w:val="en-US" w:eastAsia="zh-CN" w:bidi="ar-SA"/>
    </w:rPr>
  </w:style>
  <w:style w:type="paragraph" w:styleId="75">
    <w:name w:val="index 9"/>
    <w:basedOn w:val="0"/>
    <w:autoRedefine/>
    <w:next w:val="0"/>
    <w:pPr>
      <w:ind w:left="3360"/>
    </w:pPr>
  </w:style>
  <w:style w:type="paragraph" w:styleId="76">
    <w:name w:val="toc 7"/>
    <w:basedOn w:val="0"/>
    <w:autoRedefine/>
    <w:next w:val="0"/>
    <w:pPr>
      <w:ind w:left="2520"/>
    </w:pPr>
  </w:style>
  <w:style w:type="paragraph" w:styleId="77">
    <w:name w:val="toc 8"/>
    <w:basedOn w:val="0"/>
    <w:autoRedefine/>
    <w:next w:val="0"/>
    <w:pPr>
      <w:ind w:left="2940"/>
    </w:pPr>
  </w:style>
  <w:style w:type="paragraph" w:styleId="78">
    <w:name w:val="Normal Indent"/>
    <w:basedOn w:val="0"/>
    <w:pPr>
      <w:ind w:firstLine="420"/>
    </w:pPr>
  </w:style>
  <w:style w:type="character" w:styleId="79">
    <w:name w:val="Hyperlink"/>
    <w:rPr>
      <w:color w:val="0000FF"/>
      <w:u w:val="single"/>
    </w:rPr>
  </w:style>
  <w:style w:type="paragraph" w:customStyle="1" w:styleId="80">
    <w:name w:val="样式 4 小四"/>
    <w:next w:val="76"/>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81">
    <w:name w:val="样式 5 小四"/>
    <w:next w:val="77"/>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82">
    <w:name w:val="样式 1 10 磅"/>
    <w:next w:val="78"/>
    <w:pPr>
      <w:widowControl w:val="0"/>
      <w:jc w:val="both"/>
    </w:pPr>
    <w:rPr>
      <w:rFonts w:ascii="Calibri" w:eastAsia="宋体" w:cs="Arial" w:hAnsi="Calibri"/>
      <w:kern w:val="2"/>
      <w:sz w:val="21"/>
      <w:szCs w:val="22"/>
      <w:lang w:val="en-US" w:eastAsia="zh-CN" w:bidi="ar-SA"/>
    </w:rPr>
  </w:style>
  <w:style w:type="paragraph" w:customStyle="1" w:styleId="83">
    <w:name w:val="样式 2 10 磅"/>
    <w:pPr>
      <w:widowControl w:val="0"/>
      <w:jc w:val="both"/>
    </w:pPr>
    <w:rPr>
      <w:rFonts w:ascii="Calibri" w:eastAsia="宋体" w:cs="Arial" w:hAnsi="Calibri"/>
      <w:kern w:val="2"/>
      <w:sz w:val="21"/>
      <w:szCs w:val="22"/>
      <w:lang w:val="en-US" w:eastAsia="zh-CN" w:bidi="ar-SA"/>
    </w:rPr>
  </w:style>
  <w:style w:type="paragraph" w:customStyle="1" w:styleId="84">
    <w:name w:val="样式 10 10 磅"/>
    <w:next w:val="98"/>
    <w:pPr>
      <w:widowControl w:val="0"/>
      <w:jc w:val="both"/>
    </w:pPr>
    <w:rPr>
      <w:rFonts w:ascii="Calibri" w:eastAsia="宋体" w:cs="Arial" w:hAnsi="Calibri"/>
      <w:kern w:val="2"/>
      <w:sz w:val="21"/>
      <w:szCs w:val="22"/>
      <w:lang w:val="en-US" w:eastAsia="zh-CN" w:bidi="ar-SA"/>
    </w:rPr>
  </w:style>
  <w:style w:type="paragraph" w:customStyle="1" w:styleId="85">
    <w:name w:val="样式 7 小四"/>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86">
    <w:name w:val="样式 11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87">
    <w:name w:val="样式 23 小三"/>
    <w:pPr>
      <w:widowControl w:val="0"/>
      <w:jc w:val="both"/>
    </w:pPr>
    <w:rPr>
      <w:rFonts w:ascii="Times New Roman" w:eastAsia="宋体" w:cs="Times New Roman" w:hAnsi="Times New Roman"/>
      <w:kern w:val="2"/>
      <w:sz w:val="30"/>
      <w:szCs w:val="30"/>
      <w:lang w:val="en-US" w:eastAsia="zh-CN" w:bidi="ar-SA"/>
    </w:rPr>
  </w:style>
  <w:style w:type="paragraph" w:customStyle="1" w:styleId="88">
    <w:name w:val="样式 14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89">
    <w:name w:val="样式 24 小三"/>
    <w:pPr>
      <w:widowControl w:val="0"/>
      <w:jc w:val="both"/>
    </w:pPr>
    <w:rPr>
      <w:rFonts w:ascii="Times New Roman" w:eastAsia="宋体" w:cs="Times New Roman" w:hAnsi="Times New Roman"/>
      <w:kern w:val="2"/>
      <w:sz w:val="30"/>
      <w:szCs w:val="30"/>
      <w:lang w:val="en-US" w:eastAsia="zh-CN" w:bidi="ar-SA"/>
    </w:rPr>
  </w:style>
  <w:style w:type="paragraph" w:customStyle="1" w:styleId="90">
    <w:name w:val="样式 25 小三"/>
    <w:pPr>
      <w:widowControl w:val="0"/>
      <w:jc w:val="both"/>
    </w:pPr>
    <w:rPr>
      <w:rFonts w:ascii="Times New Roman" w:eastAsia="宋体" w:cs="Times New Roman" w:hAnsi="Times New Roman"/>
      <w:kern w:val="2"/>
      <w:sz w:val="30"/>
      <w:szCs w:val="30"/>
      <w:lang w:val="en-US" w:eastAsia="zh-CN" w:bidi="ar-SA"/>
    </w:rPr>
  </w:style>
  <w:style w:type="paragraph" w:customStyle="1" w:styleId="91">
    <w:name w:val="样式 26 小三"/>
    <w:pPr>
      <w:widowControl w:val="0"/>
      <w:jc w:val="both"/>
    </w:pPr>
    <w:rPr>
      <w:rFonts w:ascii="Times New Roman" w:eastAsia="宋体" w:cs="Times New Roman" w:hAnsi="Times New Roman"/>
      <w:kern w:val="2"/>
      <w:sz w:val="30"/>
      <w:szCs w:val="30"/>
      <w:lang w:val="en-US" w:eastAsia="zh-CN" w:bidi="ar-SA"/>
    </w:rPr>
  </w:style>
  <w:style w:type="paragraph" w:customStyle="1" w:styleId="92">
    <w:name w:val="样式 15 三号"/>
    <w:pPr>
      <w:widowControl w:val="0"/>
      <w:ind w:left="420"/>
      <w:jc w:val="both"/>
    </w:pPr>
    <w:rPr>
      <w:rFonts w:ascii="Times New Roman" w:eastAsia="方正仿宋_GBK" w:cs="Times New Roman" w:hAnsi="Times New Roman"/>
      <w:kern w:val="2"/>
      <w:sz w:val="32"/>
      <w:szCs w:val="22"/>
      <w:lang w:val="en-US" w:eastAsia="zh-CN" w:bidi="ar-SA"/>
    </w:rPr>
  </w:style>
  <w:style w:type="paragraph" w:customStyle="1" w:styleId="93">
    <w:name w:val="样式 27 小三"/>
    <w:pPr>
      <w:widowControl w:val="0"/>
      <w:jc w:val="both"/>
    </w:pPr>
    <w:rPr>
      <w:rFonts w:ascii="Times New Roman" w:eastAsia="宋体" w:cs="Times New Roman" w:hAnsi="Times New Roman"/>
      <w:kern w:val="2"/>
      <w:sz w:val="30"/>
      <w:szCs w:val="30"/>
      <w:lang w:val="en-US" w:eastAsia="zh-CN" w:bidi="ar-SA"/>
    </w:rPr>
  </w:style>
  <w:style w:type="paragraph" w:customStyle="1" w:styleId="94">
    <w:name w:val="样式 28 小三"/>
    <w:pPr>
      <w:widowControl w:val="0"/>
      <w:jc w:val="both"/>
    </w:pPr>
    <w:rPr>
      <w:rFonts w:ascii="Times New Roman" w:eastAsia="宋体" w:cs="Times New Roman" w:hAnsi="Times New Roman"/>
      <w:kern w:val="2"/>
      <w:sz w:val="30"/>
      <w:szCs w:val="30"/>
      <w:lang w:val="en-US" w:eastAsia="zh-CN" w:bidi="ar-SA"/>
    </w:rPr>
  </w:style>
  <w:style w:type="paragraph" w:customStyle="1" w:styleId="95">
    <w:name w:val="样式 小五"/>
    <w:pPr>
      <w:widowControl w:val="0"/>
      <w:tabs>
        <w:tab w:val="center" w:pos="4153"/>
        <w:tab w:val="right" w:pos="8306"/>
      </w:tabs>
      <w:snapToGrid w:val="0"/>
    </w:pPr>
    <w:rPr>
      <w:rFonts w:ascii="Times New Roman" w:eastAsia="方正仿宋_GBK" w:cs="Times New Roman" w:hAnsi="Times New Roman"/>
      <w:kern w:val="2"/>
      <w:sz w:val="18"/>
      <w:szCs w:val="18"/>
      <w:lang w:val="en-US" w:eastAsia="zh-CN" w:bidi="ar-SA"/>
    </w:rPr>
  </w:style>
  <w:style w:type="paragraph" w:customStyle="1" w:styleId="96">
    <w:name w:val="样式 8 小四"/>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97">
    <w:name w:val="样式 16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98">
    <w:name w:val="样式 19 三号"/>
    <w:next w:val="75"/>
    <w:pPr>
      <w:widowControl w:val="0"/>
      <w:jc w:val="both"/>
    </w:pPr>
    <w:rPr>
      <w:rFonts w:ascii="Times New Roman" w:eastAsia="方正仿宋_GBK" w:cs="Times New Roman" w:hAnsi="Times New Roman"/>
      <w:kern w:val="2"/>
      <w:sz w:val="32"/>
      <w:szCs w:val="22"/>
      <w:lang w:val="en-US" w:eastAsia="zh-CN" w:bidi="ar-SA"/>
    </w:rPr>
  </w:style>
  <w:style w:type="paragraph" w:customStyle="1" w:styleId="99">
    <w:name w:val="样式 20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100">
    <w:name w:val="样式 1 小五"/>
    <w:pPr>
      <w:widowControl w:val="0"/>
      <w:tabs>
        <w:tab w:val="center" w:pos="4153"/>
        <w:tab w:val="right" w:pos="8306"/>
      </w:tabs>
      <w:snapToGrid w:val="0"/>
    </w:pPr>
    <w:rPr>
      <w:rFonts w:ascii="Times New Roman" w:eastAsia="方正仿宋_GBK" w:cs="Times New Roman" w:hAnsi="Times New Roman"/>
      <w:kern w:val="2"/>
      <w:sz w:val="18"/>
      <w:szCs w:val="18"/>
      <w:lang w:val="en-US" w:eastAsia="zh-CN" w:bidi="ar-SA"/>
    </w:rPr>
  </w:style>
  <w:style w:type="paragraph" w:styleId="101">
    <w:name w:val="Balloon Text"/>
    <w:basedOn w:val="0"/>
    <w:rPr>
      <w:sz w:val="18"/>
      <w:szCs w:val="18"/>
    </w:rPr>
  </w:style>
  <w:style w:type="paragraph" w:styleId="102">
    <w:name w:val="annotation text"/>
    <w:pPr>
      <w:widowControl w:val="0"/>
      <w:jc w:val="left"/>
    </w:pPr>
    <w:rPr>
      <w:rFonts w:ascii="Times New Roman" w:eastAsia="方正仿宋_GBK" w:cs="Times New Roman" w:hAnsi="Times New Roman"/>
      <w:kern w:val="2"/>
      <w:sz w:val="32"/>
      <w:szCs w:val="22"/>
      <w:lang w:val="en-US" w:eastAsia="zh-CN" w:bidi="ar-SA"/>
    </w:rPr>
  </w:style>
  <w:style w:type="paragraph" w:styleId="103">
    <w:name w:val="annotation subject"/>
    <w:basedOn w:val="102"/>
    <w:next w:val="102"/>
    <w:rPr>
      <w:b/>
    </w:rPr>
  </w:style>
  <w:style w:type="paragraph" w:customStyle="1" w:styleId="104">
    <w:name w:val="样式 21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105">
    <w:name w:val="样式 3 10 磅"/>
    <w:pPr>
      <w:widowControl w:val="0"/>
      <w:jc w:val="both"/>
    </w:pPr>
    <w:rPr>
      <w:rFonts w:ascii="Calibri" w:eastAsia="宋体" w:cs="Arial" w:hAnsi="Calibri"/>
      <w:kern w:val="2"/>
      <w:sz w:val="21"/>
      <w:szCs w:val="22"/>
      <w:lang w:val="en-US" w:eastAsia="zh-CN" w:bidi="ar-SA"/>
    </w:rPr>
  </w:style>
  <w:style w:type="paragraph" w:customStyle="1" w:styleId="106">
    <w:name w:val="样式 9 小四"/>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107">
    <w:name w:val="样式 10 小四"/>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108">
    <w:name w:val="样式 4 10 磅"/>
    <w:pPr>
      <w:widowControl w:val="0"/>
      <w:jc w:val="both"/>
    </w:pPr>
    <w:rPr>
      <w:rFonts w:ascii="Calibri" w:eastAsia="宋体" w:cs="Arial" w:hAnsi="Calibri"/>
      <w:kern w:val="2"/>
      <w:sz w:val="21"/>
      <w:szCs w:val="22"/>
      <w:lang w:val="en-US" w:eastAsia="zh-CN" w:bidi="ar-SA"/>
    </w:rPr>
  </w:style>
  <w:style w:type="paragraph" w:customStyle="1" w:styleId="109">
    <w:name w:val="样式 22 三号"/>
    <w:pPr>
      <w:widowControl w:val="0"/>
      <w:jc w:val="both"/>
    </w:pPr>
    <w:rPr>
      <w:rFonts w:ascii="Times New Roman" w:eastAsia="方正仿宋_GBK" w:cs="Times New Roman" w:hAnsi="Times New Roman"/>
      <w:kern w:val="2"/>
      <w:sz w:val="32"/>
      <w:szCs w:val="22"/>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styles" Target="styles.xml"/><Relationship Id="rId6" Type="http://schemas.openxmlformats.org/officeDocument/2006/relationships/fontTable" Target="fontTable.xml"/></Relationships>
</file>

<file path=docProps/app.xml><?xml version="1.0" encoding="utf-8"?>
<Properties xmlns="http://schemas.openxmlformats.org/officeDocument/2006/extended-properties">
  <Template>Normal.eit</Template>
  <TotalTime>915</TotalTime>
  <Application>Yozo_Office</Application>
  <Pages>7</Pages>
  <Words>2645</Words>
  <Characters>2756</Characters>
  <Lines>443</Lines>
  <Paragraphs>313</Paragraphs>
  <CharactersWithSpaces>2756</CharactersWithSpaces>
  <Company>ccic</Company>
</Properties>
</file>

<file path=docProps/core.xml><?xml version="1.0" encoding="utf-8"?>
<cp:coreProperties xmlns:cp="http://schemas.openxmlformats.org/package/2006/metadata/core-properties" xmlns:dc="http://purl.org/dc/elements/1.1/" xmlns:dcterms="http://purl.org/dc/terms/" xmlns:xsi="http://www.w3.org/2001/XMLSchema-instance">
  <dc:creator>吕大良</dc:creator>
  <cp:lastModifiedBy>刘书华</cp:lastModifiedBy>
  <cp:revision>59</cp:revision>
  <cp:lastPrinted>2020-01-22T00:43:00Z</cp:lastPrinted>
  <dcterms:created xsi:type="dcterms:W3CDTF">2008-05-09T07:46:00Z</dcterms:created>
  <dcterms:modified xsi:type="dcterms:W3CDTF">2025-01-26T08:01:07Z</dcterms:modified>
</cp:coreProperties>
</file>