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25"/>
        <w:widowControl/>
        <w:shd w:val="clear" w:color="auto" w:fill="auto"/>
        <w:adjustRightInd w:val="0"/>
        <w:snapToGrid w:val="0"/>
        <w:spacing w:beforeAutospacing="0" w:afterAutospacing="0" w:line="560" w:lineRule="exact"/>
        <w:jc w:val="center"/>
        <w:rPr>
          <w:rFonts w:ascii="方正小标宋_GBK" w:eastAsia="方正小标宋_GBK" w:hint="eastAsia"/>
          <w:sz w:val="32"/>
          <w:szCs w:val="32"/>
          <w:shd w:val="clear" w:color="auto" w:fill="auto"/>
        </w:rPr>
      </w:pPr>
      <w:bookmarkStart w:id="0" w:name="_Hlk25540369"/>
      <w:bookmarkStart w:id="1" w:name="cogw__正文__file"/>
      <w:r>
        <w:rPr>
          <w:rStyle w:val="69"/>
          <w:rFonts w:ascii="方正小标宋_GBK" w:eastAsia="方正小标宋_GBK" w:hint="eastAsia"/>
          <w:sz w:val="44"/>
          <w:szCs w:val="44"/>
          <w:shd w:val="clear" w:color="auto" w:fill="auto"/>
        </w:rPr>
        <w:t>越秀海关2024年政府信息公开工作年度报告</w:t>
      </w:r>
      <w:bookmarkEnd w:id="0"/>
    </w:p>
    <w:p>
      <w:pPr>
        <w:pStyle w:val="16"/>
        <w:shd w:val="clear" w:color="auto" w:fill="auto"/>
        <w:tabs>
          <w:tab w:val="center" w:pos="4153"/>
          <w:tab w:val="right" w:pos="8306"/>
        </w:tabs>
        <w:adjustRightInd/>
        <w:snapToGrid w:val="0"/>
        <w:contextualSpacing w:val="0"/>
        <w:rPr>
          <w:sz w:val="32"/>
          <w:szCs w:val="32"/>
          <w:shd w:val="clear" w:color="auto" w:fill="auto"/>
        </w:rPr>
      </w:pPr>
    </w:p>
    <w:p>
      <w:pPr>
        <w:pStyle w:val="33"/>
        <w:shd w:val="clear" w:color="auto" w:fill="auto"/>
        <w:adjustRightInd w:val="0"/>
        <w:snapToGrid w:val="0"/>
        <w:ind w:firstLineChars="200" w:firstLine="624"/>
        <w:rPr>
          <w:szCs w:val="32"/>
          <w:shd w:val="clear" w:color="auto" w:fill="auto"/>
        </w:rPr>
      </w:pPr>
      <w:r>
        <w:rPr>
          <w:szCs w:val="32"/>
          <w:shd w:val="clear" w:color="auto" w:fill="auto"/>
        </w:rPr>
        <w:t>根据《中华人民共和国政府信息公开条例》《国务院办公厅政府信息与政务公开办公室关于政府信息公开工作年度报告有关事项的通知》《国务院办公厅政府信息与政务公开办公室关于印发〈中华人民共和国政府信息公开工作年度报告格式〉的通知》等规定，梳理编制越秀海关2024年政府信息公开工作年报。年报中所列数据的统计期限，自2024年1月1日起至2024年12月31日止。如对本年报有疑问或有任何意见、建议，请联系越秀海关办公室。地址：广东省广州市越秀区先烈中路100号十五栋之一4楼越秀海关办公室，邮编：510075；电话：020-81134132；电子邮箱：yxhg@customs.gov.cn。</w:t>
      </w:r>
    </w:p>
    <w:p>
      <w:pPr>
        <w:pStyle w:val="33"/>
        <w:shd w:val="clear" w:color="auto" w:fill="auto"/>
        <w:adjustRightInd w:val="0"/>
        <w:snapToGrid w:val="0"/>
        <w:ind w:firstLineChars="200" w:firstLine="624"/>
        <w:rPr>
          <w:rFonts w:eastAsia="方正黑体_GBK"/>
          <w:szCs w:val="32"/>
          <w:shd w:val="clear" w:color="auto" w:fill="auto"/>
        </w:rPr>
      </w:pPr>
      <w:r>
        <w:rPr>
          <w:rFonts w:eastAsia="方正黑体_GBK"/>
          <w:szCs w:val="32"/>
          <w:shd w:val="clear" w:color="auto" w:fill="auto"/>
        </w:rPr>
        <w:t>一、总体情况</w:t>
      </w:r>
    </w:p>
    <w:p>
      <w:pPr>
        <w:pStyle w:val="33"/>
        <w:shd w:val="clear" w:color="auto" w:fill="auto"/>
        <w:adjustRightInd w:val="0"/>
        <w:snapToGrid w:val="0"/>
        <w:ind w:firstLineChars="200" w:firstLine="624"/>
        <w:rPr>
          <w:szCs w:val="32"/>
          <w:shd w:val="clear" w:color="auto" w:fill="auto"/>
        </w:rPr>
      </w:pPr>
      <w:r>
        <w:rPr>
          <w:szCs w:val="32"/>
          <w:shd w:val="clear" w:color="auto" w:fill="auto"/>
        </w:rPr>
        <w:t>2024年，越秀海关坚持以习近平新时代中国特色社会主义思想为指导，全面贯彻落实党的二十大和二十届二中、三中全会精神，深入学习贯彻习近平总书记</w:t>
      </w:r>
      <w:r>
        <w:rPr>
          <w:rFonts w:ascii="Times New Roman" w:eastAsia="方正仿宋_GBK" w:hAnsi="Times New Roman"/>
          <w:sz w:val="32"/>
          <w:szCs w:val="32"/>
          <w:shd w:val="clear" w:color="auto" w:fill="auto"/>
        </w:rPr>
        <w:t>重要指示批示和</w:t>
      </w:r>
      <w:r>
        <w:rPr>
          <w:szCs w:val="32"/>
          <w:shd w:val="clear" w:color="auto" w:fill="auto"/>
        </w:rPr>
        <w:t>给红其拉甫海关全体关员重要回信精神，严格贯彻落实《中华人民共和国政府信息公开条例》，准确把握新时代海关政务公开工作要求，结合关区重点产业、企业及公众的实际需求，切实做到以公开助落实、以公开惠民生、以公开促规范、以公开优环境，扎实推进政府信息公开工作。现将工作情况报告如下：</w:t>
      </w:r>
    </w:p>
    <w:p>
      <w:pPr>
        <w:pStyle w:val="33"/>
        <w:shd w:val="clear" w:color="auto" w:fill="auto"/>
        <w:adjustRightInd w:val="0"/>
        <w:snapToGrid w:val="0"/>
        <w:ind w:firstLineChars="200" w:firstLine="624"/>
        <w:rPr>
          <w:rFonts w:ascii="方正楷体_GBK" w:eastAsia="方正楷体_GBK" w:hint="eastAsia"/>
          <w:b/>
          <w:bCs/>
          <w:szCs w:val="32"/>
          <w:shd w:val="clear" w:color="auto" w:fill="auto"/>
        </w:rPr>
      </w:pPr>
      <w:r>
        <w:rPr>
          <w:rFonts w:ascii="方正楷体_GBK" w:eastAsia="方正楷体_GBK" w:hint="eastAsia"/>
          <w:b/>
          <w:bCs/>
          <w:szCs w:val="32"/>
          <w:shd w:val="clear" w:color="auto" w:fill="auto"/>
        </w:rPr>
        <w:t>（一）主动公开情况。</w:t>
      </w:r>
    </w:p>
    <w:p>
      <w:pPr>
        <w:pStyle w:val="33"/>
        <w:shd w:val="clear" w:color="auto" w:fill="auto"/>
        <w:adjustRightInd w:val="0"/>
        <w:snapToGrid w:val="0"/>
        <w:ind w:firstLineChars="200" w:firstLine="624"/>
        <w:rPr>
          <w:szCs w:val="32"/>
          <w:shd w:val="clear" w:color="auto" w:fill="auto"/>
        </w:rPr>
      </w:pPr>
      <w:r>
        <w:rPr>
          <w:szCs w:val="32"/>
          <w:shd w:val="clear" w:color="auto" w:fill="auto"/>
        </w:rPr>
        <w:t>结合内设机构职能职责调整情况，及时更新维护广州海关门户网站、越秀海关公告栏、越秀区政务服务中心窗口海关公告栏及电子显示屏等公开渠道，动态更新机构职能、机构设置、联系方式、负责人姓名、办公时间、业务咨询电话、本关政务公开标准事项目录等信息。通过广州海关门户网站主动公开政府信息公开工作年报、财务预决算、行政处罚、关长接待日等信息。</w:t>
      </w:r>
    </w:p>
    <w:p>
      <w:pPr>
        <w:pStyle w:val="33"/>
        <w:shd w:val="clear" w:color="auto" w:fill="auto"/>
        <w:adjustRightInd w:val="0"/>
        <w:snapToGrid w:val="0"/>
        <w:ind w:firstLineChars="200" w:firstLine="624"/>
        <w:rPr>
          <w:rFonts w:ascii="方正楷体_GBK" w:eastAsia="方正楷体_GBK" w:hint="eastAsia"/>
          <w:b/>
          <w:bCs/>
          <w:szCs w:val="32"/>
          <w:shd w:val="clear" w:color="auto" w:fill="auto"/>
        </w:rPr>
      </w:pPr>
      <w:r>
        <w:rPr>
          <w:rFonts w:ascii="方正楷体_GBK" w:eastAsia="方正楷体_GBK" w:hint="eastAsia"/>
          <w:b/>
          <w:bCs/>
          <w:szCs w:val="32"/>
          <w:shd w:val="clear" w:color="auto" w:fill="auto"/>
        </w:rPr>
        <w:t>（二）依申请公开情况。</w:t>
      </w:r>
    </w:p>
    <w:p>
      <w:pPr>
        <w:pStyle w:val="33"/>
        <w:shd w:val="clear" w:color="auto" w:fill="auto"/>
        <w:adjustRightInd w:val="0"/>
        <w:snapToGrid w:val="0"/>
        <w:ind w:firstLineChars="200" w:firstLine="624"/>
        <w:rPr>
          <w:szCs w:val="32"/>
          <w:shd w:val="clear" w:color="auto" w:fill="auto"/>
        </w:rPr>
      </w:pPr>
      <w:r>
        <w:rPr>
          <w:szCs w:val="32"/>
          <w:shd w:val="clear" w:color="auto" w:fill="auto"/>
        </w:rPr>
        <w:t>遵循公平、公正、合法、便民原则，细致梳理依申请公开工作流程，积极参加政府信息公开相关培训，加强岗位人员业务知识学习，及时查看现场提交、邮政寄递、传真、电子邮件等各类政府信息公开申请受理渠道。年内，越秀海关未收到政府信息公开申请。</w:t>
      </w:r>
    </w:p>
    <w:p>
      <w:pPr>
        <w:pStyle w:val="33"/>
        <w:shd w:val="clear" w:color="auto" w:fill="auto"/>
        <w:adjustRightInd w:val="0"/>
        <w:snapToGrid w:val="0"/>
        <w:ind w:firstLineChars="200" w:firstLine="624"/>
        <w:rPr>
          <w:rFonts w:ascii="方正楷体_GBK" w:eastAsia="方正楷体_GBK" w:hint="eastAsia"/>
          <w:b/>
          <w:bCs/>
          <w:szCs w:val="32"/>
          <w:shd w:val="clear" w:color="auto" w:fill="auto"/>
        </w:rPr>
      </w:pPr>
      <w:r>
        <w:rPr>
          <w:rFonts w:ascii="方正楷体_GBK" w:eastAsia="方正楷体_GBK" w:hint="eastAsia"/>
          <w:b/>
          <w:bCs/>
          <w:szCs w:val="32"/>
          <w:shd w:val="clear" w:color="auto" w:fill="auto"/>
        </w:rPr>
        <w:t>（三）政府信息管理情况。</w:t>
      </w:r>
    </w:p>
    <w:p>
      <w:pPr>
        <w:pStyle w:val="33"/>
        <w:shd w:val="clear" w:color="auto" w:fill="auto"/>
        <w:adjustRightInd w:val="0"/>
        <w:snapToGrid w:val="0"/>
        <w:ind w:firstLineChars="200" w:firstLine="624"/>
        <w:rPr>
          <w:szCs w:val="32"/>
          <w:shd w:val="clear" w:color="auto" w:fill="auto"/>
        </w:rPr>
      </w:pPr>
      <w:r>
        <w:rPr>
          <w:szCs w:val="32"/>
          <w:shd w:val="clear" w:color="auto" w:fill="auto"/>
        </w:rPr>
        <w:t xml:space="preserve">根据工作实际全面梳理本关政务公开工作情况，扎实开展基层政务公开标准化规范化建设，动态更新《越秀海关政府信息公开指南》和《越秀海关政务公开标准事项目录》。 </w:t>
      </w:r>
    </w:p>
    <w:p>
      <w:pPr>
        <w:pStyle w:val="33"/>
        <w:shd w:val="clear" w:color="auto" w:fill="auto"/>
        <w:adjustRightInd w:val="0"/>
        <w:snapToGrid w:val="0"/>
        <w:ind w:firstLineChars="200" w:firstLine="624"/>
        <w:rPr>
          <w:rFonts w:ascii="方正楷体_GBK" w:eastAsia="方正楷体_GBK" w:hint="eastAsia"/>
          <w:b/>
          <w:bCs/>
          <w:szCs w:val="32"/>
          <w:shd w:val="clear" w:color="auto" w:fill="auto"/>
        </w:rPr>
      </w:pPr>
      <w:r>
        <w:rPr>
          <w:rFonts w:ascii="方正楷体_GBK" w:eastAsia="方正楷体_GBK" w:hint="eastAsia"/>
          <w:b/>
          <w:bCs/>
          <w:szCs w:val="32"/>
          <w:shd w:val="clear" w:color="auto" w:fill="auto"/>
        </w:rPr>
        <w:t>（四）政府信息公开平台建设情况。</w:t>
      </w:r>
    </w:p>
    <w:p>
      <w:pPr>
        <w:pStyle w:val="77"/>
        <w:shd w:val="clear" w:color="auto" w:fill="auto"/>
        <w:spacing w:line="560" w:lineRule="exact"/>
        <w:ind w:firstLineChars="200" w:firstLine="640"/>
        <w:jc w:val="both"/>
        <w:rPr>
          <w:rFonts w:ascii="Times New Roman" w:eastAsia="方正仿宋_GBK" w:cs="Times New Roman" w:hAnsi="Times New Roman"/>
          <w:sz w:val="32"/>
          <w:szCs w:val="32"/>
          <w:shd w:val="clear" w:color="auto" w:fill="auto"/>
          <w:lang w:bidi="ar-SA"/>
        </w:rPr>
      </w:pPr>
      <w:r>
        <w:rPr>
          <w:rFonts w:ascii="Times New Roman" w:eastAsia="方正仿宋_GBK" w:hAnsi="Times New Roman" w:hint="eastAsia"/>
          <w:sz w:val="32"/>
          <w:szCs w:val="32"/>
          <w:shd w:val="clear" w:color="auto" w:fill="auto"/>
        </w:rPr>
        <w:t>以辖区政务服务中心升级改造为契机，进一步提升</w:t>
      </w:r>
      <w:r>
        <w:rPr>
          <w:rFonts w:ascii="Times New Roman" w:eastAsia="方正仿宋_GBK" w:hAnsi="Times New Roman"/>
          <w:sz w:val="32"/>
          <w:szCs w:val="32"/>
          <w:shd w:val="clear" w:color="auto" w:fill="auto"/>
        </w:rPr>
        <w:t>基层</w:t>
      </w:r>
      <w:r>
        <w:rPr>
          <w:rFonts w:ascii="Times New Roman" w:eastAsia="方正仿宋_GBK" w:hAnsi="Times New Roman" w:hint="eastAsia"/>
          <w:sz w:val="32"/>
          <w:szCs w:val="32"/>
          <w:shd w:val="clear" w:color="auto" w:fill="auto"/>
        </w:rPr>
        <w:t>政务公开专区建设，设置公用电脑滚动显示政策法规、办事指南、“智慧海关政务</w:t>
      </w:r>
      <w:r>
        <w:rPr>
          <w:rFonts w:ascii="Times New Roman" w:eastAsia="方正仿宋_GBK" w:hAnsi="Times New Roman"/>
          <w:sz w:val="32"/>
          <w:szCs w:val="32"/>
          <w:shd w:val="clear" w:color="auto" w:fill="auto"/>
        </w:rPr>
        <w:t>服务</w:t>
      </w:r>
      <w:r>
        <w:rPr>
          <w:rFonts w:ascii="Times New Roman" w:eastAsia="方正仿宋_GBK" w:hAnsi="Times New Roman" w:hint="eastAsia"/>
          <w:sz w:val="32"/>
          <w:szCs w:val="32"/>
          <w:shd w:val="clear" w:color="auto" w:fill="auto"/>
        </w:rPr>
        <w:t>地图”等内容</w:t>
      </w:r>
      <w:r>
        <w:rPr>
          <w:rFonts w:ascii="Times New Roman" w:eastAsia="方正仿宋_GBK" w:cs="Times New Roman" w:hAnsi="Times New Roman"/>
          <w:sz w:val="32"/>
          <w:szCs w:val="32"/>
          <w:shd w:val="clear" w:color="auto" w:fill="auto"/>
          <w:lang w:bidi="ar-SA"/>
        </w:rPr>
        <w:t>。响应地方政府、企业群众需求，持续丰富</w:t>
      </w:r>
      <w:r>
        <w:rPr>
          <w:rFonts w:ascii="Times New Roman" w:eastAsia="方正仿宋_GBK" w:cs="Times New Roman" w:hAnsi="Times New Roman" w:hint="eastAsia"/>
          <w:sz w:val="32"/>
          <w:szCs w:val="32"/>
          <w:shd w:val="clear" w:color="auto" w:fill="auto"/>
          <w:lang w:bidi="ar-SA"/>
        </w:rPr>
        <w:t>“</w:t>
      </w:r>
      <w:r>
        <w:rPr>
          <w:rFonts w:ascii="Times New Roman" w:eastAsia="方正仿宋_GBK" w:cs="Times New Roman" w:hAnsi="Times New Roman"/>
          <w:sz w:val="32"/>
          <w:szCs w:val="32"/>
          <w:shd w:val="clear" w:color="auto" w:fill="auto"/>
          <w:lang w:bidi="ar-SA"/>
        </w:rPr>
        <w:t>关徽映红棉</w:t>
      </w:r>
      <w:r>
        <w:rPr>
          <w:rFonts w:ascii="Times New Roman" w:eastAsia="方正仿宋_GBK" w:cs="Times New Roman" w:hAnsi="Times New Roman" w:hint="eastAsia"/>
          <w:sz w:val="32"/>
          <w:szCs w:val="32"/>
          <w:shd w:val="clear" w:color="auto" w:fill="auto"/>
          <w:lang w:bidi="ar-SA"/>
        </w:rPr>
        <w:t>”</w:t>
      </w:r>
      <w:r>
        <w:rPr>
          <w:rFonts w:ascii="Times New Roman" w:eastAsia="方正仿宋_GBK" w:cs="Times New Roman" w:hAnsi="Times New Roman"/>
          <w:sz w:val="32"/>
          <w:szCs w:val="32"/>
          <w:shd w:val="clear" w:color="auto" w:fill="auto"/>
          <w:lang w:bidi="ar-SA"/>
        </w:rPr>
        <w:t>服务品牌内涵，以</w:t>
      </w:r>
      <w:r>
        <w:rPr>
          <w:rFonts w:ascii="Times New Roman" w:eastAsia="方正仿宋_GBK" w:cs="Times New Roman" w:hAnsi="Times New Roman" w:hint="eastAsia"/>
          <w:sz w:val="32"/>
          <w:szCs w:val="32"/>
          <w:shd w:val="clear" w:color="auto" w:fill="auto"/>
          <w:lang w:bidi="ar-SA"/>
        </w:rPr>
        <w:t>“</w:t>
      </w:r>
      <w:r>
        <w:rPr>
          <w:rFonts w:ascii="Times New Roman" w:eastAsia="方正仿宋_GBK" w:cs="Times New Roman" w:hAnsi="Times New Roman"/>
          <w:sz w:val="32"/>
          <w:szCs w:val="32"/>
          <w:shd w:val="clear" w:color="auto" w:fill="auto"/>
          <w:lang w:bidi="ar-SA"/>
        </w:rPr>
        <w:t>海关进企业、海关进社区、海关进校园</w:t>
      </w:r>
      <w:r>
        <w:rPr>
          <w:rFonts w:ascii="Times New Roman" w:eastAsia="方正仿宋_GBK" w:cs="Times New Roman" w:hAnsi="Times New Roman" w:hint="eastAsia"/>
          <w:sz w:val="32"/>
          <w:szCs w:val="32"/>
          <w:shd w:val="clear" w:color="auto" w:fill="auto"/>
          <w:lang w:bidi="ar-SA"/>
        </w:rPr>
        <w:t>”</w:t>
      </w:r>
      <w:r>
        <w:rPr>
          <w:rFonts w:ascii="Times New Roman" w:eastAsia="方正仿宋_GBK" w:cs="Times New Roman" w:hAnsi="Times New Roman"/>
          <w:sz w:val="32"/>
          <w:szCs w:val="32"/>
          <w:shd w:val="clear" w:color="auto" w:fill="auto"/>
          <w:lang w:bidi="ar-SA"/>
        </w:rPr>
        <w:t>——</w:t>
      </w:r>
      <w:r>
        <w:rPr>
          <w:rFonts w:ascii="Times New Roman" w:eastAsia="方正仿宋_GBK" w:cs="Times New Roman" w:hAnsi="Times New Roman" w:hint="eastAsia"/>
          <w:sz w:val="32"/>
          <w:szCs w:val="32"/>
          <w:shd w:val="clear" w:color="auto" w:fill="auto"/>
          <w:lang w:bidi="ar-SA"/>
        </w:rPr>
        <w:t>“</w:t>
      </w:r>
      <w:r>
        <w:rPr>
          <w:rFonts w:ascii="Times New Roman" w:eastAsia="方正仿宋_GBK" w:cs="Times New Roman" w:hAnsi="Times New Roman"/>
          <w:sz w:val="32"/>
          <w:szCs w:val="32"/>
          <w:shd w:val="clear" w:color="auto" w:fill="auto"/>
          <w:lang w:bidi="ar-SA"/>
        </w:rPr>
        <w:t>三进</w:t>
      </w:r>
      <w:r>
        <w:rPr>
          <w:rFonts w:ascii="Times New Roman" w:eastAsia="方正仿宋_GBK" w:cs="Times New Roman" w:hAnsi="Times New Roman" w:hint="eastAsia"/>
          <w:sz w:val="32"/>
          <w:szCs w:val="32"/>
          <w:shd w:val="clear" w:color="auto" w:fill="auto"/>
          <w:lang w:bidi="ar-SA"/>
        </w:rPr>
        <w:t>”</w:t>
      </w:r>
      <w:r>
        <w:rPr>
          <w:rFonts w:ascii="Times New Roman" w:eastAsia="方正仿宋_GBK" w:cs="Times New Roman" w:hAnsi="Times New Roman"/>
          <w:sz w:val="32"/>
          <w:szCs w:val="32"/>
          <w:shd w:val="clear" w:color="auto" w:fill="auto"/>
          <w:lang w:bidi="ar-SA"/>
        </w:rPr>
        <w:t>品牌为抓手举办政策宣讲、普法等活动。年内累计开展</w:t>
      </w:r>
      <w:r>
        <w:rPr>
          <w:rFonts w:ascii="Times New Roman" w:eastAsia="方正仿宋_GBK" w:cs="Times New Roman" w:hAnsi="Times New Roman" w:hint="eastAsia"/>
          <w:sz w:val="32"/>
          <w:szCs w:val="32"/>
          <w:shd w:val="clear" w:color="auto" w:fill="auto"/>
          <w:lang w:bidi="ar-SA"/>
        </w:rPr>
        <w:t>“</w:t>
      </w:r>
      <w:r>
        <w:rPr>
          <w:rFonts w:ascii="Times New Roman" w:eastAsia="方正仿宋_GBK" w:cs="Times New Roman" w:hAnsi="Times New Roman"/>
          <w:sz w:val="32"/>
          <w:szCs w:val="32"/>
          <w:shd w:val="clear" w:color="auto" w:fill="auto"/>
          <w:lang w:bidi="ar-SA"/>
        </w:rPr>
        <w:t>关长接待日</w:t>
      </w:r>
      <w:r>
        <w:rPr>
          <w:rFonts w:ascii="Times New Roman" w:eastAsia="方正仿宋_GBK" w:cs="Times New Roman" w:hAnsi="Times New Roman" w:hint="eastAsia"/>
          <w:sz w:val="32"/>
          <w:szCs w:val="32"/>
          <w:shd w:val="clear" w:color="auto" w:fill="auto"/>
          <w:lang w:bidi="ar-SA"/>
        </w:rPr>
        <w:t>”</w:t>
      </w:r>
      <w:r>
        <w:rPr>
          <w:rFonts w:ascii="Times New Roman" w:eastAsia="方正仿宋_GBK" w:cs="Times New Roman" w:hAnsi="Times New Roman"/>
          <w:sz w:val="32"/>
          <w:szCs w:val="32"/>
          <w:shd w:val="clear" w:color="auto" w:fill="auto"/>
          <w:lang w:bidi="ar-SA"/>
        </w:rPr>
        <w:t>12次、</w:t>
      </w:r>
      <w:r>
        <w:rPr>
          <w:rFonts w:ascii="Times New Roman" w:eastAsia="方正仿宋_GBK" w:cs="Times New Roman" w:hAnsi="Times New Roman" w:hint="eastAsia"/>
          <w:sz w:val="32"/>
          <w:szCs w:val="32"/>
          <w:shd w:val="clear" w:color="auto" w:fill="auto"/>
          <w:lang w:bidi="ar-SA"/>
        </w:rPr>
        <w:t>“</w:t>
      </w:r>
      <w:r>
        <w:rPr>
          <w:rFonts w:ascii="Times New Roman" w:eastAsia="方正仿宋_GBK" w:cs="Times New Roman" w:hAnsi="Times New Roman"/>
          <w:sz w:val="32"/>
          <w:szCs w:val="32"/>
          <w:shd w:val="clear" w:color="auto" w:fill="auto"/>
          <w:lang w:bidi="ar-SA"/>
        </w:rPr>
        <w:t>三进</w:t>
      </w:r>
      <w:r>
        <w:rPr>
          <w:rFonts w:ascii="Times New Roman" w:eastAsia="方正仿宋_GBK" w:cs="Times New Roman" w:hAnsi="Times New Roman" w:hint="eastAsia"/>
          <w:sz w:val="32"/>
          <w:szCs w:val="32"/>
          <w:shd w:val="clear" w:color="auto" w:fill="auto"/>
          <w:lang w:bidi="ar-SA"/>
        </w:rPr>
        <w:t>”</w:t>
      </w:r>
      <w:r>
        <w:rPr>
          <w:rFonts w:ascii="Times New Roman" w:eastAsia="方正仿宋_GBK" w:cs="Times New Roman" w:hAnsi="Times New Roman"/>
          <w:sz w:val="32"/>
          <w:szCs w:val="32"/>
          <w:shd w:val="clear" w:color="auto" w:fill="auto"/>
          <w:lang w:bidi="ar-SA"/>
        </w:rPr>
        <w:t>品牌活动96次。</w:t>
      </w:r>
    </w:p>
    <w:p>
      <w:pPr>
        <w:pStyle w:val="77"/>
        <w:shd w:val="clear" w:color="auto" w:fill="auto"/>
        <w:spacing w:line="560" w:lineRule="exact"/>
        <w:ind w:firstLineChars="200" w:firstLine="640"/>
        <w:jc w:val="both"/>
        <w:rPr>
          <w:rFonts w:ascii="方正楷体_GBK" w:eastAsia="方正楷体_GBK" w:cs="Times New Roman" w:hint="eastAsia"/>
          <w:b/>
          <w:bCs/>
          <w:sz w:val="32"/>
          <w:szCs w:val="32"/>
          <w:shd w:val="clear" w:color="auto" w:fill="auto"/>
          <w:lang w:bidi="ar-SA"/>
        </w:rPr>
      </w:pPr>
      <w:r>
        <w:rPr>
          <w:rFonts w:ascii="方正楷体_GBK" w:eastAsia="方正楷体_GBK" w:cs="Times New Roman" w:hint="eastAsia"/>
          <w:b/>
          <w:bCs/>
          <w:sz w:val="32"/>
          <w:szCs w:val="32"/>
          <w:shd w:val="clear" w:color="auto" w:fill="auto"/>
          <w:lang w:bidi="ar-SA"/>
        </w:rPr>
        <w:t>（五）监督保障</w:t>
      </w:r>
      <w:r>
        <w:rPr>
          <w:rFonts w:ascii="方正楷体_GBK" w:eastAsia="方正楷体_GBK" w:cs="Times New Roman"/>
          <w:b/>
          <w:bCs/>
          <w:sz w:val="32"/>
          <w:szCs w:val="32"/>
          <w:shd w:val="clear" w:color="auto" w:fill="auto"/>
          <w:lang w:bidi="ar-SA"/>
        </w:rPr>
        <w:t>情况</w:t>
      </w:r>
      <w:r>
        <w:rPr>
          <w:rFonts w:ascii="方正楷体_GBK" w:eastAsia="方正楷体_GBK" w:cs="Times New Roman" w:hint="eastAsia"/>
          <w:b/>
          <w:bCs/>
          <w:sz w:val="32"/>
          <w:szCs w:val="32"/>
          <w:shd w:val="clear" w:color="auto" w:fill="auto"/>
          <w:lang w:bidi="ar-SA"/>
        </w:rPr>
        <w:t>。</w:t>
      </w:r>
    </w:p>
    <w:p>
      <w:pPr>
        <w:pStyle w:val="77"/>
        <w:shd w:val="clear" w:color="auto" w:fill="auto"/>
        <w:spacing w:line="560" w:lineRule="exact"/>
        <w:ind w:firstLineChars="200" w:firstLine="640"/>
        <w:jc w:val="both"/>
        <w:rPr>
          <w:rFonts w:ascii="Times New Roman" w:eastAsia="方正仿宋_GBK" w:cs="Times New Roman" w:hAnsi="Times New Roman"/>
          <w:sz w:val="32"/>
          <w:szCs w:val="32"/>
          <w:shd w:val="clear" w:color="auto" w:fill="auto"/>
          <w:lang w:bidi="ar-SA"/>
        </w:rPr>
      </w:pPr>
      <w:r>
        <w:rPr>
          <w:rFonts w:ascii="Times New Roman" w:eastAsia="方正仿宋_GBK" w:cs="Times New Roman" w:hAnsi="Times New Roman"/>
          <w:sz w:val="32"/>
          <w:szCs w:val="32"/>
          <w:shd w:val="clear" w:color="auto" w:fill="auto"/>
          <w:lang w:bidi="ar-SA"/>
        </w:rPr>
        <w:t>优化完善</w:t>
      </w:r>
      <w:r>
        <w:rPr>
          <w:rFonts w:ascii="Times New Roman" w:eastAsia="方正仿宋_GBK" w:cs="Times New Roman" w:hAnsi="Times New Roman" w:hint="eastAsia"/>
          <w:sz w:val="32"/>
          <w:szCs w:val="32"/>
          <w:shd w:val="clear" w:color="auto" w:fill="auto"/>
          <w:lang w:bidi="ar-SA"/>
        </w:rPr>
        <w:t>“</w:t>
      </w:r>
      <w:r>
        <w:rPr>
          <w:rFonts w:ascii="Times New Roman" w:eastAsia="方正仿宋_GBK" w:cs="Times New Roman" w:hAnsi="Times New Roman"/>
          <w:sz w:val="32"/>
          <w:szCs w:val="32"/>
          <w:shd w:val="clear" w:color="auto" w:fill="auto"/>
          <w:lang w:bidi="ar-SA"/>
        </w:rPr>
        <w:t>双公示</w:t>
      </w:r>
      <w:r>
        <w:rPr>
          <w:rFonts w:ascii="Times New Roman" w:eastAsia="方正仿宋_GBK" w:cs="Times New Roman" w:hAnsi="Times New Roman" w:hint="eastAsia"/>
          <w:sz w:val="32"/>
          <w:szCs w:val="32"/>
          <w:shd w:val="clear" w:color="auto" w:fill="auto"/>
          <w:lang w:bidi="ar-SA"/>
        </w:rPr>
        <w:t>”</w:t>
      </w:r>
      <w:r>
        <w:rPr>
          <w:rFonts w:ascii="Times New Roman" w:eastAsia="方正仿宋_GBK" w:cs="Times New Roman" w:hAnsi="Times New Roman"/>
          <w:sz w:val="32"/>
          <w:szCs w:val="32"/>
          <w:shd w:val="clear" w:color="auto" w:fill="auto"/>
          <w:lang w:bidi="ar-SA"/>
        </w:rPr>
        <w:t>工作机制，由专人负责信息公开发布审查工作。组织开展政府信息公开岗位人员培训，确保最新要求落实到位。召开关企座谈会，积极听取企业群众对海关事业发展的意见建议，邀请特约监督员参加，自觉接受监督。</w:t>
      </w:r>
    </w:p>
    <w:p>
      <w:pPr>
        <w:pStyle w:val="77"/>
        <w:shd w:val="clear" w:color="auto" w:fill="auto"/>
        <w:spacing w:line="560" w:lineRule="exact"/>
        <w:ind w:firstLineChars="200" w:firstLine="640"/>
        <w:jc w:val="both"/>
        <w:rPr>
          <w:rFonts w:ascii="方正楷体_GBK" w:eastAsia="方正楷体_GBK" w:cs="Times New Roman" w:hint="eastAsia"/>
          <w:b/>
          <w:bCs/>
          <w:sz w:val="32"/>
          <w:szCs w:val="32"/>
          <w:shd w:val="clear" w:color="auto" w:fill="auto"/>
          <w:lang w:bidi="ar-SA"/>
        </w:rPr>
      </w:pPr>
      <w:r>
        <w:rPr>
          <w:rFonts w:ascii="方正楷体_GBK" w:eastAsia="方正楷体_GBK" w:cs="Times New Roman" w:hint="eastAsia"/>
          <w:b/>
          <w:bCs/>
          <w:sz w:val="32"/>
          <w:szCs w:val="32"/>
          <w:shd w:val="clear" w:color="auto" w:fill="auto"/>
          <w:lang w:bidi="ar-SA"/>
        </w:rPr>
        <w:t>（六）政务公开工作亮点。</w:t>
      </w:r>
    </w:p>
    <w:p>
      <w:pPr>
        <w:pStyle w:val="77"/>
        <w:shd w:val="clear" w:color="auto" w:fill="auto"/>
        <w:spacing w:line="560" w:lineRule="exact"/>
        <w:ind w:firstLineChars="200" w:firstLine="640"/>
        <w:jc w:val="both"/>
        <w:rPr>
          <w:rFonts w:ascii="Times New Roman" w:eastAsia="方正仿宋_GBK" w:cs="Times New Roman" w:hAnsi="Times New Roman"/>
          <w:sz w:val="32"/>
          <w:szCs w:val="32"/>
          <w:shd w:val="clear" w:color="auto" w:fill="auto"/>
          <w:lang w:bidi="ar-SA"/>
        </w:rPr>
      </w:pPr>
      <w:r>
        <w:rPr>
          <w:rFonts w:ascii="Times New Roman" w:eastAsia="方正仿宋_GBK" w:cs="Times New Roman" w:hAnsi="Times New Roman"/>
          <w:sz w:val="32"/>
          <w:szCs w:val="32"/>
          <w:shd w:val="clear" w:color="auto" w:fill="auto"/>
          <w:lang w:bidi="ar-SA"/>
        </w:rPr>
        <w:t>创新工作思路和方法，在广州市越秀区政务服务中心开展</w:t>
      </w:r>
      <w:r>
        <w:rPr>
          <w:rFonts w:ascii="Times New Roman" w:eastAsia="方正仿宋_GBK" w:cs="Times New Roman" w:hAnsi="Times New Roman" w:hint="eastAsia"/>
          <w:sz w:val="32"/>
          <w:szCs w:val="32"/>
          <w:shd w:val="clear" w:color="auto" w:fill="auto"/>
          <w:lang w:bidi="ar-SA"/>
        </w:rPr>
        <w:t>“</w:t>
      </w:r>
      <w:r>
        <w:rPr>
          <w:rFonts w:ascii="Times New Roman" w:eastAsia="方正仿宋_GBK" w:cs="Times New Roman" w:hAnsi="Times New Roman"/>
          <w:sz w:val="32"/>
          <w:szCs w:val="32"/>
          <w:shd w:val="clear" w:color="auto" w:fill="auto"/>
          <w:lang w:bidi="ar-SA"/>
        </w:rPr>
        <w:t>我陪群众走流程</w:t>
      </w:r>
      <w:r>
        <w:rPr>
          <w:rFonts w:ascii="Times New Roman" w:eastAsia="方正仿宋_GBK" w:cs="Times New Roman" w:hAnsi="Times New Roman" w:hint="eastAsia"/>
          <w:sz w:val="32"/>
          <w:szCs w:val="32"/>
          <w:shd w:val="clear" w:color="auto" w:fill="auto"/>
          <w:lang w:bidi="ar-SA"/>
        </w:rPr>
        <w:t>”</w:t>
      </w:r>
      <w:r>
        <w:rPr>
          <w:rFonts w:ascii="Times New Roman" w:eastAsia="方正仿宋_GBK" w:cs="Times New Roman" w:hAnsi="Times New Roman"/>
          <w:sz w:val="32"/>
          <w:szCs w:val="32"/>
          <w:shd w:val="clear" w:color="auto" w:fill="auto"/>
          <w:lang w:bidi="ar-SA"/>
        </w:rPr>
        <w:t>政务服务提升行动，邀请辖区2家重点企业办事人员担任</w:t>
      </w:r>
      <w:r>
        <w:rPr>
          <w:rFonts w:ascii="Times New Roman" w:eastAsia="方正仿宋_GBK" w:cs="Times New Roman" w:hAnsi="Times New Roman" w:hint="eastAsia"/>
          <w:sz w:val="32"/>
          <w:szCs w:val="32"/>
          <w:shd w:val="clear" w:color="auto" w:fill="auto"/>
          <w:lang w:bidi="ar-SA"/>
        </w:rPr>
        <w:t>“</w:t>
      </w:r>
      <w:r>
        <w:rPr>
          <w:rFonts w:ascii="Times New Roman" w:eastAsia="方正仿宋_GBK" w:cs="Times New Roman" w:hAnsi="Times New Roman"/>
          <w:sz w:val="32"/>
          <w:szCs w:val="32"/>
          <w:shd w:val="clear" w:color="auto" w:fill="auto"/>
          <w:lang w:bidi="ar-SA"/>
        </w:rPr>
        <w:t>海关政策体验官</w:t>
      </w:r>
      <w:r>
        <w:rPr>
          <w:rFonts w:ascii="Times New Roman" w:eastAsia="方正仿宋_GBK" w:cs="Times New Roman" w:hAnsi="Times New Roman" w:hint="eastAsia"/>
          <w:sz w:val="32"/>
          <w:szCs w:val="32"/>
          <w:shd w:val="clear" w:color="auto" w:fill="auto"/>
          <w:lang w:bidi="ar-SA"/>
        </w:rPr>
        <w:t>”</w:t>
      </w:r>
      <w:r>
        <w:rPr>
          <w:rFonts w:ascii="Times New Roman" w:eastAsia="方正仿宋_GBK" w:cs="Times New Roman" w:hAnsi="Times New Roman"/>
          <w:sz w:val="32"/>
          <w:szCs w:val="32"/>
          <w:shd w:val="clear" w:color="auto" w:fill="auto"/>
          <w:lang w:bidi="ar-SA"/>
        </w:rPr>
        <w:t>，体验</w:t>
      </w:r>
      <w:r>
        <w:rPr>
          <w:rFonts w:ascii="Times New Roman" w:eastAsia="方正仿宋_GBK" w:cs="Times New Roman" w:hAnsi="Times New Roman" w:hint="eastAsia"/>
          <w:sz w:val="32"/>
          <w:szCs w:val="32"/>
          <w:shd w:val="clear" w:color="auto" w:fill="auto"/>
          <w:lang w:bidi="ar-SA"/>
        </w:rPr>
        <w:t>“</w:t>
      </w:r>
      <w:r>
        <w:rPr>
          <w:rFonts w:ascii="Times New Roman" w:eastAsia="方正仿宋_GBK" w:cs="Times New Roman" w:hAnsi="Times New Roman"/>
          <w:sz w:val="32"/>
          <w:szCs w:val="32"/>
          <w:shd w:val="clear" w:color="auto" w:fill="auto"/>
          <w:lang w:bidi="ar-SA"/>
        </w:rPr>
        <w:t>归类预裁定</w:t>
      </w:r>
      <w:r>
        <w:rPr>
          <w:rFonts w:ascii="Times New Roman" w:eastAsia="方正仿宋_GBK" w:cs="Times New Roman" w:hAnsi="Times New Roman" w:hint="eastAsia"/>
          <w:sz w:val="32"/>
          <w:szCs w:val="32"/>
          <w:shd w:val="clear" w:color="auto" w:fill="auto"/>
          <w:lang w:bidi="ar-SA"/>
        </w:rPr>
        <w:t>”</w:t>
      </w:r>
      <w:r>
        <w:rPr>
          <w:rFonts w:ascii="Times New Roman" w:eastAsia="方正仿宋_GBK" w:cs="Times New Roman" w:hAnsi="Times New Roman"/>
          <w:sz w:val="32"/>
          <w:szCs w:val="32"/>
          <w:shd w:val="clear" w:color="auto" w:fill="auto"/>
          <w:lang w:bidi="ar-SA"/>
        </w:rPr>
        <w:t>业务申办全流程，并结合企业办事人员意见建议优化办理模式。结合</w:t>
      </w:r>
      <w:r>
        <w:rPr>
          <w:rFonts w:ascii="Times New Roman" w:eastAsia="方正仿宋_GBK" w:cs="Times New Roman" w:hAnsi="Times New Roman" w:hint="eastAsia"/>
          <w:sz w:val="32"/>
          <w:szCs w:val="32"/>
          <w:shd w:val="clear" w:color="auto" w:fill="auto"/>
          <w:lang w:bidi="ar-SA"/>
        </w:rPr>
        <w:t>“</w:t>
      </w:r>
      <w:r>
        <w:rPr>
          <w:rFonts w:ascii="Times New Roman" w:eastAsia="方正仿宋_GBK" w:cs="Times New Roman" w:hAnsi="Times New Roman"/>
          <w:sz w:val="32"/>
          <w:szCs w:val="32"/>
          <w:shd w:val="clear" w:color="auto" w:fill="auto"/>
          <w:lang w:bidi="ar-SA"/>
        </w:rPr>
        <w:t>三进</w:t>
      </w:r>
      <w:r>
        <w:rPr>
          <w:rFonts w:ascii="Times New Roman" w:eastAsia="方正仿宋_GBK" w:cs="Times New Roman" w:hAnsi="Times New Roman" w:hint="eastAsia"/>
          <w:sz w:val="32"/>
          <w:szCs w:val="32"/>
          <w:shd w:val="clear" w:color="auto" w:fill="auto"/>
          <w:lang w:bidi="ar-SA"/>
        </w:rPr>
        <w:t>”</w:t>
      </w:r>
      <w:r>
        <w:rPr>
          <w:rFonts w:ascii="Times New Roman" w:eastAsia="方正仿宋_GBK" w:cs="Times New Roman" w:hAnsi="Times New Roman"/>
          <w:sz w:val="32"/>
          <w:szCs w:val="32"/>
          <w:shd w:val="clear" w:color="auto" w:fill="auto"/>
          <w:lang w:bidi="ar-SA"/>
        </w:rPr>
        <w:t>品牌活动，践行新时代</w:t>
      </w:r>
      <w:r>
        <w:rPr>
          <w:rFonts w:ascii="Times New Roman" w:eastAsia="方正仿宋_GBK" w:cs="Times New Roman" w:hAnsi="Times New Roman" w:hint="eastAsia"/>
          <w:sz w:val="32"/>
          <w:szCs w:val="32"/>
          <w:shd w:val="clear" w:color="auto" w:fill="auto"/>
          <w:lang w:bidi="ar-SA"/>
        </w:rPr>
        <w:t>“</w:t>
      </w:r>
      <w:r>
        <w:rPr>
          <w:rFonts w:ascii="Times New Roman" w:eastAsia="方正仿宋_GBK" w:cs="Times New Roman" w:hAnsi="Times New Roman"/>
          <w:sz w:val="32"/>
          <w:szCs w:val="32"/>
          <w:shd w:val="clear" w:color="auto" w:fill="auto"/>
          <w:lang w:bidi="ar-SA"/>
        </w:rPr>
        <w:t>枫桥经验</w:t>
      </w:r>
      <w:r>
        <w:rPr>
          <w:rFonts w:ascii="Times New Roman" w:eastAsia="方正仿宋_GBK" w:cs="Times New Roman" w:hAnsi="Times New Roman" w:hint="eastAsia"/>
          <w:sz w:val="32"/>
          <w:szCs w:val="32"/>
          <w:shd w:val="clear" w:color="auto" w:fill="auto"/>
          <w:lang w:bidi="ar-SA"/>
        </w:rPr>
        <w:t>”</w:t>
      </w:r>
      <w:r>
        <w:rPr>
          <w:rFonts w:ascii="Times New Roman" w:eastAsia="方正仿宋_GBK" w:cs="Times New Roman" w:hAnsi="Times New Roman"/>
          <w:sz w:val="32"/>
          <w:szCs w:val="32"/>
          <w:shd w:val="clear" w:color="auto" w:fill="auto"/>
          <w:lang w:bidi="ar-SA"/>
        </w:rPr>
        <w:t>，依托</w:t>
      </w:r>
      <w:r>
        <w:rPr>
          <w:rFonts w:ascii="Times New Roman" w:eastAsia="方正仿宋_GBK" w:cs="Times New Roman" w:hAnsi="Times New Roman" w:hint="eastAsia"/>
          <w:sz w:val="32"/>
          <w:szCs w:val="32"/>
          <w:shd w:val="clear" w:color="auto" w:fill="auto"/>
          <w:lang w:bidi="ar-SA"/>
        </w:rPr>
        <w:t>“</w:t>
      </w:r>
      <w:r>
        <w:rPr>
          <w:rFonts w:ascii="Times New Roman" w:eastAsia="方正仿宋_GBK" w:cs="Times New Roman" w:hAnsi="Times New Roman"/>
          <w:sz w:val="32"/>
          <w:szCs w:val="32"/>
          <w:shd w:val="clear" w:color="auto" w:fill="auto"/>
          <w:lang w:bidi="ar-SA"/>
        </w:rPr>
        <w:t>关长联系企业</w:t>
      </w:r>
      <w:r>
        <w:rPr>
          <w:rFonts w:ascii="Times New Roman" w:eastAsia="方正仿宋_GBK" w:cs="Times New Roman" w:hAnsi="Times New Roman" w:hint="eastAsia"/>
          <w:sz w:val="32"/>
          <w:szCs w:val="32"/>
          <w:shd w:val="clear" w:color="auto" w:fill="auto"/>
          <w:lang w:bidi="ar-SA"/>
        </w:rPr>
        <w:t>”“</w:t>
      </w:r>
      <w:r>
        <w:rPr>
          <w:rFonts w:ascii="Times New Roman" w:eastAsia="方正仿宋_GBK" w:cs="Times New Roman" w:hAnsi="Times New Roman"/>
          <w:sz w:val="32"/>
          <w:szCs w:val="32"/>
          <w:shd w:val="clear" w:color="auto" w:fill="auto"/>
          <w:lang w:bidi="ar-SA"/>
        </w:rPr>
        <w:t>关长进街道</w:t>
      </w:r>
      <w:r>
        <w:rPr>
          <w:rFonts w:ascii="Times New Roman" w:eastAsia="方正仿宋_GBK" w:cs="Times New Roman" w:hAnsi="Times New Roman" w:hint="eastAsia"/>
          <w:sz w:val="32"/>
          <w:szCs w:val="32"/>
          <w:shd w:val="clear" w:color="auto" w:fill="auto"/>
          <w:lang w:bidi="ar-SA"/>
        </w:rPr>
        <w:t>”</w:t>
      </w:r>
      <w:r>
        <w:rPr>
          <w:rFonts w:ascii="Times New Roman" w:eastAsia="方正仿宋_GBK" w:cs="Times New Roman" w:hAnsi="Times New Roman"/>
          <w:sz w:val="32"/>
          <w:szCs w:val="32"/>
          <w:shd w:val="clear" w:color="auto" w:fill="auto"/>
          <w:lang w:bidi="ar-SA"/>
        </w:rPr>
        <w:t>工作机制， 送政策上门，打通海关服务企业</w:t>
      </w:r>
      <w:r>
        <w:rPr>
          <w:rFonts w:ascii="Times New Roman" w:eastAsia="方正仿宋_GBK" w:cs="Times New Roman" w:hAnsi="Times New Roman" w:hint="eastAsia"/>
          <w:sz w:val="32"/>
          <w:szCs w:val="32"/>
          <w:shd w:val="clear" w:color="auto" w:fill="auto"/>
          <w:lang w:bidi="ar-SA"/>
        </w:rPr>
        <w:t>“</w:t>
      </w:r>
      <w:r>
        <w:rPr>
          <w:rFonts w:ascii="Times New Roman" w:eastAsia="方正仿宋_GBK" w:cs="Times New Roman" w:hAnsi="Times New Roman"/>
          <w:sz w:val="32"/>
          <w:szCs w:val="32"/>
          <w:shd w:val="clear" w:color="auto" w:fill="auto"/>
          <w:lang w:bidi="ar-SA"/>
        </w:rPr>
        <w:t>最后一公里</w:t>
      </w:r>
      <w:r>
        <w:rPr>
          <w:rFonts w:ascii="Times New Roman" w:eastAsia="方正仿宋_GBK" w:cs="Times New Roman" w:hAnsi="Times New Roman" w:hint="eastAsia"/>
          <w:sz w:val="32"/>
          <w:szCs w:val="32"/>
          <w:shd w:val="clear" w:color="auto" w:fill="auto"/>
          <w:lang w:bidi="ar-SA"/>
        </w:rPr>
        <w:t>”</w:t>
      </w:r>
      <w:r>
        <w:rPr>
          <w:rFonts w:ascii="Times New Roman" w:eastAsia="方正仿宋_GBK" w:cs="Times New Roman" w:hAnsi="Times New Roman"/>
          <w:sz w:val="32"/>
          <w:szCs w:val="32"/>
          <w:shd w:val="clear" w:color="auto" w:fill="auto"/>
          <w:lang w:bidi="ar-SA"/>
        </w:rPr>
        <w:t>，年内共实地走访企业85家，解决企业问题27个。主动参与地方服务企业工作，快速响应企业诉求，及时协调企业反映的海关业务问题。</w:t>
      </w:r>
    </w:p>
    <w:p>
      <w:pPr>
        <w:pStyle w:val="16"/>
        <w:shd w:val="clear" w:color="auto" w:fill="auto"/>
        <w:tabs>
          <w:tab w:val="center" w:pos="4153"/>
          <w:tab w:val="right" w:pos="8306"/>
        </w:tabs>
        <w:spacing w:line="560" w:lineRule="exact"/>
        <w:ind w:firstLineChars="200" w:firstLine="640"/>
        <w:rPr>
          <w:rFonts w:eastAsia="方正黑体_GBK"/>
          <w:bCs/>
          <w:kern w:val="0"/>
          <w:sz w:val="32"/>
          <w:szCs w:val="32"/>
          <w:shd w:val="clear" w:color="auto" w:fill="auto"/>
        </w:rPr>
      </w:pPr>
      <w:r>
        <w:rPr>
          <w:rFonts w:eastAsia="方正黑体_GBK"/>
          <w:bCs/>
          <w:kern w:val="0"/>
          <w:sz w:val="32"/>
          <w:szCs w:val="32"/>
          <w:shd w:val="clear" w:color="auto" w:fill="auto"/>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19"/>
        <w:gridCol w:w="2183"/>
        <w:gridCol w:w="1936"/>
        <w:gridCol w:w="2156"/>
      </w:tblGrid>
      <w:tr>
        <w:trPr>
          <w:trHeight w:val="495"/>
        </w:trPr>
        <w:tc>
          <w:tcPr>
            <w:tcW w:w="8994"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8"/>
              <w:widowControl/>
              <w:shd w:val="clear" w:color="auto" w:fill="auto"/>
              <w:jc w:val="center"/>
              <w:rPr>
                <w:sz w:val="24"/>
                <w:szCs w:val="24"/>
                <w:shd w:val="clear" w:color="auto" w:fill="auto"/>
              </w:rPr>
            </w:pPr>
            <w:r>
              <w:rPr>
                <w:kern w:val="0"/>
                <w:sz w:val="24"/>
                <w:szCs w:val="24"/>
                <w:shd w:val="clear" w:color="auto" w:fill="auto"/>
                <w:lang w:bidi="ar-SA"/>
              </w:rPr>
              <w:t>第二十条第（一）项</w:t>
            </w:r>
          </w:p>
        </w:tc>
      </w:tr>
      <w:tr>
        <w:trPr>
          <w:trHeight w:val="68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kern w:val="0"/>
                <w:sz w:val="24"/>
                <w:szCs w:val="24"/>
                <w:shd w:val="clear" w:color="auto" w:fill="auto"/>
                <w:lang w:bidi="ar-SA"/>
              </w:rP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kern w:val="0"/>
                <w:sz w:val="24"/>
                <w:szCs w:val="24"/>
                <w:shd w:val="clear" w:color="auto" w:fill="auto"/>
                <w:lang w:bidi="ar-SA"/>
              </w:rPr>
              <w:t>本年</w:t>
            </w:r>
            <w:r>
              <w:rPr>
                <w:kern w:val="0"/>
                <w:sz w:val="24"/>
                <w:szCs w:val="24"/>
                <w:shd w:val="clear" w:color="auto" w:fill="auto"/>
              </w:rPr>
              <w:t>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kern w:val="0"/>
                <w:sz w:val="24"/>
                <w:szCs w:val="24"/>
                <w:shd w:val="clear" w:color="auto" w:fill="auto"/>
                <w:lang w:bidi="ar-SA"/>
              </w:rPr>
              <w:t>本年废止件</w:t>
            </w:r>
            <w:r>
              <w:rPr>
                <w:kern w:val="0"/>
                <w:sz w:val="24"/>
                <w:szCs w:val="24"/>
                <w:shd w:val="clear" w:color="auto" w:fill="auto"/>
              </w:rPr>
              <w:t>数</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28"/>
              <w:widowControl/>
              <w:shd w:val="clear" w:color="auto" w:fill="auto"/>
              <w:jc w:val="center"/>
              <w:rPr>
                <w:sz w:val="24"/>
                <w:szCs w:val="24"/>
                <w:shd w:val="clear" w:color="auto" w:fill="auto"/>
              </w:rPr>
            </w:pPr>
            <w:r>
              <w:rPr>
                <w:kern w:val="0"/>
                <w:sz w:val="24"/>
                <w:szCs w:val="24"/>
                <w:shd w:val="clear" w:color="auto" w:fill="auto"/>
                <w:lang w:bidi="ar-SA"/>
              </w:rPr>
              <w:t>现行有效件数</w:t>
            </w:r>
          </w:p>
        </w:tc>
      </w:tr>
      <w:tr>
        <w:trPr>
          <w:trHeight w:val="51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sz w:val="24"/>
                <w:szCs w:val="24"/>
                <w:shd w:val="clear" w:color="auto" w:fill="auto"/>
              </w:rPr>
            </w:pPr>
            <w:r>
              <w:rPr>
                <w:kern w:val="0"/>
                <w:sz w:val="24"/>
                <w:szCs w:val="24"/>
                <w:shd w:val="clear" w:color="auto" w:fill="auto"/>
                <w:lang w:bidi="ar-SA"/>
              </w:rP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1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sz w:val="24"/>
                <w:szCs w:val="24"/>
                <w:shd w:val="clear" w:color="auto" w:fill="auto"/>
              </w:rPr>
            </w:pPr>
            <w:r>
              <w:rPr>
                <w:kern w:val="0"/>
                <w:sz w:val="24"/>
                <w:szCs w:val="24"/>
                <w:shd w:val="clear" w:color="auto" w:fill="auto"/>
                <w:lang w:bidi="ar-SA"/>
              </w:rP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435"/>
        </w:trPr>
        <w:tc>
          <w:tcPr>
            <w:tcW w:w="8994"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8"/>
              <w:widowControl/>
              <w:shd w:val="clear" w:color="auto" w:fill="auto"/>
              <w:jc w:val="center"/>
              <w:rPr>
                <w:sz w:val="24"/>
                <w:szCs w:val="24"/>
                <w:shd w:val="clear" w:color="auto" w:fill="auto"/>
              </w:rPr>
            </w:pPr>
            <w:r>
              <w:rPr>
                <w:kern w:val="0"/>
                <w:sz w:val="24"/>
                <w:szCs w:val="24"/>
                <w:shd w:val="clear" w:color="auto" w:fill="auto"/>
                <w:lang w:bidi="ar-SA"/>
              </w:rPr>
              <w:t>第二十条第（五）项</w:t>
            </w:r>
          </w:p>
        </w:tc>
      </w:tr>
      <w:tr>
        <w:trPr>
          <w:trHeight w:val="68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sz w:val="24"/>
                <w:szCs w:val="24"/>
                <w:shd w:val="clear" w:color="auto" w:fill="auto"/>
              </w:rPr>
            </w:pPr>
            <w:r>
              <w:rPr>
                <w:kern w:val="0"/>
                <w:sz w:val="24"/>
                <w:szCs w:val="24"/>
                <w:shd w:val="clear" w:color="auto" w:fill="auto"/>
                <w:lang w:bidi="ar-SA"/>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2"/>
              <w:widowControl/>
              <w:shd w:val="clear" w:color="auto" w:fill="auto"/>
              <w:adjustRightInd w:val="0"/>
              <w:snapToGrid w:val="0"/>
              <w:spacing w:line="260" w:lineRule="exact"/>
              <w:jc w:val="center"/>
              <w:rPr>
                <w:sz w:val="24"/>
                <w:szCs w:val="24"/>
                <w:shd w:val="clear" w:color="auto" w:fill="auto"/>
              </w:rPr>
            </w:pPr>
            <w:r>
              <w:rPr>
                <w:kern w:val="0"/>
                <w:sz w:val="24"/>
                <w:szCs w:val="24"/>
                <w:shd w:val="clear" w:color="auto" w:fill="auto"/>
                <w:lang w:bidi="ar-SA"/>
              </w:rPr>
              <w:t>本年处理决定数量</w:t>
            </w:r>
          </w:p>
        </w:tc>
      </w:tr>
      <w:tr>
        <w:trPr>
          <w:trHeight w:val="51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sz w:val="24"/>
                <w:szCs w:val="24"/>
                <w:shd w:val="clear" w:color="auto" w:fill="auto"/>
              </w:rPr>
            </w:pPr>
            <w:r>
              <w:rPr>
                <w:kern w:val="0"/>
                <w:sz w:val="24"/>
                <w:szCs w:val="24"/>
                <w:shd w:val="clear" w:color="auto" w:fill="auto"/>
                <w:lang w:bidi="ar-SA"/>
              </w:rPr>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3"/>
              <w:shd w:val="clear" w:color="auto" w:fill="auto"/>
              <w:jc w:val="center"/>
              <w:rPr>
                <w:rFonts w:eastAsia="方正仿宋_GBK"/>
                <w:sz w:val="24"/>
                <w:szCs w:val="24"/>
                <w:shd w:val="clear" w:color="auto" w:fill="auto"/>
                <w:lang w:bidi="ar-SA"/>
              </w:rPr>
            </w:pPr>
            <w:r>
              <w:rPr>
                <w:rFonts w:eastAsia="方正仿宋_GBK"/>
                <w:sz w:val="24"/>
                <w:szCs w:val="24"/>
                <w:shd w:val="clear" w:color="auto" w:fill="auto"/>
                <w:lang w:bidi="ar-SA"/>
              </w:rPr>
              <w:t>0</w:t>
            </w:r>
          </w:p>
        </w:tc>
      </w:tr>
      <w:tr>
        <w:trPr>
          <w:trHeight w:val="406"/>
        </w:trPr>
        <w:tc>
          <w:tcPr>
            <w:tcW w:w="8994"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8"/>
              <w:widowControl/>
              <w:shd w:val="clear" w:color="auto" w:fill="auto"/>
              <w:jc w:val="center"/>
              <w:rPr>
                <w:sz w:val="24"/>
                <w:szCs w:val="24"/>
                <w:shd w:val="clear" w:color="auto" w:fill="auto"/>
              </w:rPr>
            </w:pPr>
            <w:r>
              <w:rPr>
                <w:kern w:val="0"/>
                <w:sz w:val="24"/>
                <w:szCs w:val="24"/>
                <w:shd w:val="clear" w:color="auto" w:fill="auto"/>
                <w:lang w:bidi="ar-SA"/>
              </w:rPr>
              <w:t>第二十条第（六）项</w:t>
            </w:r>
          </w:p>
        </w:tc>
      </w:tr>
      <w:tr>
        <w:trPr>
          <w:trHeight w:val="68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sz w:val="24"/>
                <w:szCs w:val="24"/>
                <w:shd w:val="clear" w:color="auto" w:fill="auto"/>
              </w:rPr>
            </w:pPr>
            <w:r>
              <w:rPr>
                <w:kern w:val="0"/>
                <w:sz w:val="24"/>
                <w:szCs w:val="24"/>
                <w:shd w:val="clear" w:color="auto" w:fill="auto"/>
                <w:lang w:bidi="ar-SA"/>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55"/>
              <w:widowControl/>
              <w:shd w:val="clear" w:color="auto" w:fill="auto"/>
              <w:adjustRightInd w:val="0"/>
              <w:snapToGrid w:val="0"/>
              <w:spacing w:line="260" w:lineRule="exact"/>
              <w:jc w:val="center"/>
              <w:rPr>
                <w:sz w:val="24"/>
                <w:szCs w:val="24"/>
                <w:shd w:val="clear" w:color="auto" w:fill="auto"/>
              </w:rPr>
            </w:pPr>
            <w:r>
              <w:rPr>
                <w:kern w:val="0"/>
                <w:sz w:val="24"/>
                <w:szCs w:val="24"/>
                <w:shd w:val="clear" w:color="auto" w:fill="auto"/>
                <w:lang w:bidi="ar-SA"/>
              </w:rPr>
              <w:t>本年处理决定数量</w:t>
            </w:r>
          </w:p>
        </w:tc>
      </w:tr>
      <w:tr>
        <w:trPr>
          <w:trHeight w:val="51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sz w:val="24"/>
                <w:szCs w:val="24"/>
                <w:shd w:val="clear" w:color="auto" w:fill="auto"/>
              </w:rPr>
            </w:pPr>
            <w:r>
              <w:rPr>
                <w:kern w:val="0"/>
                <w:sz w:val="24"/>
                <w:szCs w:val="24"/>
                <w:shd w:val="clear" w:color="auto" w:fill="auto"/>
                <w:lang w:bidi="ar-SA"/>
              </w:rP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lang w:bidi="ar-SA"/>
              </w:rPr>
            </w:pPr>
            <w:r>
              <w:rPr>
                <w:rFonts w:eastAsia="方正仿宋_GBK"/>
                <w:sz w:val="24"/>
                <w:szCs w:val="24"/>
                <w:shd w:val="clear" w:color="auto" w:fill="auto"/>
                <w:lang w:bidi="ar-SA"/>
              </w:rPr>
              <w:t>14</w:t>
            </w:r>
          </w:p>
        </w:tc>
      </w:tr>
      <w:tr>
        <w:trPr>
          <w:trHeight w:val="51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sz w:val="24"/>
                <w:szCs w:val="24"/>
                <w:shd w:val="clear" w:color="auto" w:fill="auto"/>
              </w:rPr>
            </w:pPr>
            <w:r>
              <w:rPr>
                <w:kern w:val="0"/>
                <w:sz w:val="24"/>
                <w:szCs w:val="24"/>
                <w:shd w:val="clear" w:color="auto" w:fill="auto"/>
                <w:lang w:bidi="ar-SA"/>
              </w:rP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64"/>
              <w:shd w:val="clear" w:color="auto" w:fill="auto"/>
              <w:jc w:val="center"/>
              <w:rPr>
                <w:rFonts w:eastAsia="方正仿宋_GBK"/>
                <w:sz w:val="24"/>
                <w:szCs w:val="24"/>
                <w:shd w:val="clear" w:color="auto" w:fill="auto"/>
                <w:lang w:bidi="ar-SA"/>
              </w:rPr>
            </w:pPr>
            <w:r>
              <w:rPr>
                <w:rFonts w:eastAsia="方正仿宋_GBK"/>
                <w:sz w:val="24"/>
                <w:szCs w:val="24"/>
                <w:shd w:val="clear" w:color="auto" w:fill="auto"/>
                <w:lang w:bidi="ar-SA"/>
              </w:rPr>
              <w:t>27</w:t>
            </w:r>
          </w:p>
        </w:tc>
      </w:tr>
      <w:tr>
        <w:trPr>
          <w:trHeight w:val="474"/>
        </w:trPr>
        <w:tc>
          <w:tcPr>
            <w:tcW w:w="8994"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28"/>
              <w:widowControl/>
              <w:shd w:val="clear" w:color="auto" w:fill="auto"/>
              <w:jc w:val="center"/>
              <w:rPr>
                <w:sz w:val="24"/>
                <w:szCs w:val="24"/>
                <w:shd w:val="clear" w:color="auto" w:fill="auto"/>
              </w:rPr>
            </w:pPr>
            <w:r>
              <w:rPr>
                <w:kern w:val="0"/>
                <w:sz w:val="24"/>
                <w:szCs w:val="24"/>
                <w:shd w:val="clear" w:color="auto" w:fill="auto"/>
                <w:lang w:bidi="ar-SA"/>
              </w:rPr>
              <w:t>第二十条第（八）项</w:t>
            </w:r>
          </w:p>
        </w:tc>
      </w:tr>
      <w:tr>
        <w:trPr>
          <w:trHeight w:val="68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sz w:val="24"/>
                <w:szCs w:val="24"/>
                <w:shd w:val="clear" w:color="auto" w:fill="auto"/>
              </w:rPr>
            </w:pPr>
            <w:r>
              <w:rPr>
                <w:kern w:val="0"/>
                <w:sz w:val="24"/>
                <w:szCs w:val="24"/>
                <w:shd w:val="clear" w:color="auto" w:fill="auto"/>
                <w:lang w:bidi="ar-SA"/>
              </w:rP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59"/>
              <w:widowControl/>
              <w:shd w:val="clear" w:color="auto" w:fill="auto"/>
              <w:adjustRightInd w:val="0"/>
              <w:snapToGrid w:val="0"/>
              <w:spacing w:line="260" w:lineRule="exact"/>
              <w:jc w:val="center"/>
              <w:rPr>
                <w:sz w:val="24"/>
                <w:szCs w:val="24"/>
                <w:shd w:val="clear" w:color="auto" w:fill="auto"/>
              </w:rPr>
            </w:pPr>
            <w:r>
              <w:rPr>
                <w:kern w:val="0"/>
                <w:sz w:val="24"/>
                <w:szCs w:val="24"/>
                <w:shd w:val="clear" w:color="auto" w:fill="auto"/>
                <w:lang w:bidi="ar-SA"/>
              </w:rPr>
              <w:t>本年收费金额（单位：万元）</w:t>
            </w:r>
          </w:p>
        </w:tc>
      </w:tr>
      <w:tr>
        <w:trPr>
          <w:trHeight w:val="510"/>
        </w:trPr>
        <w:tc>
          <w:tcPr>
            <w:tcW w:w="2719"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adjustRightInd w:val="0"/>
              <w:snapToGrid w:val="0"/>
              <w:spacing w:line="260" w:lineRule="exact"/>
              <w:jc w:val="center"/>
              <w:rPr>
                <w:shd w:val="clear" w:color="auto" w:fill="auto"/>
              </w:rPr>
            </w:pPr>
            <w:r>
              <w:rPr>
                <w:kern w:val="0"/>
                <w:sz w:val="24"/>
                <w:szCs w:val="24"/>
                <w:shd w:val="clear" w:color="auto" w:fill="auto"/>
                <w:lang w:bidi="ar-SA"/>
              </w:rP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lang w:bidi="ar-SA"/>
              </w:rPr>
            </w:pPr>
            <w:r>
              <w:rPr>
                <w:rFonts w:eastAsia="方正仿宋_GBK"/>
                <w:sz w:val="24"/>
                <w:szCs w:val="24"/>
                <w:shd w:val="clear" w:color="auto" w:fill="auto"/>
                <w:lang w:bidi="ar-SA"/>
              </w:rPr>
              <w:t>0</w:t>
            </w:r>
          </w:p>
        </w:tc>
      </w:tr>
    </w:tbl>
    <w:p>
      <w:pPr>
        <w:pStyle w:val="191"/>
        <w:widowControl/>
        <w:shd w:val="clear" w:color="auto" w:fill="auto"/>
        <w:adjustRightInd w:val="0"/>
        <w:snapToGrid w:val="0"/>
        <w:spacing w:before="0" w:beforeAutospacing="0" w:after="0" w:afterAutospacing="0" w:line="560" w:lineRule="exact"/>
        <w:ind w:firstLineChars="200" w:firstLine="640"/>
        <w:jc w:val="both"/>
        <w:rPr>
          <w:rFonts w:eastAsia="方正仿宋_GBK" w:cs="方正黑体_GBK" w:hint="eastAsia"/>
          <w:kern w:val="2"/>
          <w:sz w:val="32"/>
          <w:szCs w:val="32"/>
          <w:shd w:val="clear" w:color="auto" w:fill="auto"/>
        </w:rPr>
      </w:pPr>
      <w:r>
        <w:rPr>
          <w:rFonts w:eastAsia="方正仿宋_GBK" w:cs="方正黑体_GBK" w:hint="eastAsia"/>
          <w:kern w:val="2"/>
          <w:sz w:val="32"/>
          <w:szCs w:val="32"/>
          <w:shd w:val="clear" w:color="auto" w:fill="auto"/>
        </w:rPr>
        <w:t>*备注：本表格行政许可的处理决定数量，包括本机关在本年度内作出的准予许可决定、不予许可决定、变更许可决定、延期（延续）许可决定、撤销许可决定、撤回许可决定等。</w:t>
      </w:r>
    </w:p>
    <w:p>
      <w:pPr>
        <w:pStyle w:val="16"/>
        <w:shd w:val="clear" w:color="auto" w:fill="auto"/>
        <w:tabs>
          <w:tab w:val="center" w:pos="4153"/>
          <w:tab w:val="right" w:pos="8306"/>
        </w:tabs>
        <w:spacing w:line="560" w:lineRule="exact"/>
        <w:ind w:firstLineChars="200" w:firstLine="640"/>
        <w:rPr>
          <w:rFonts w:eastAsia="方正黑体_GBK"/>
          <w:bCs/>
          <w:kern w:val="0"/>
          <w:sz w:val="32"/>
          <w:szCs w:val="32"/>
          <w:shd w:val="clear" w:color="auto" w:fill="auto"/>
        </w:rPr>
      </w:pPr>
      <w:bookmarkStart w:id="2" w:name="_GoBack"/>
      <w:bookmarkEnd w:id="2"/>
      <w:r>
        <w:rPr>
          <w:rFonts w:eastAsia="方正黑体_GBK"/>
          <w:bCs/>
          <w:kern w:val="0"/>
          <w:sz w:val="32"/>
          <w:szCs w:val="32"/>
          <w:shd w:val="clear" w:color="auto" w:fill="auto"/>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kern w:val="0"/>
                <w:sz w:val="20"/>
                <w:szCs w:val="20"/>
                <w:shd w:val="clear" w:color="auto" w:fill="auto"/>
                <w:lang w:bidi="ar-SA"/>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kern w:val="0"/>
                <w:sz w:val="20"/>
                <w:szCs w:val="20"/>
                <w:shd w:val="clear" w:color="auto" w:fill="auto"/>
                <w:lang w:bidi="ar-SA"/>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kern w:val="0"/>
                <w:sz w:val="20"/>
                <w:szCs w:val="20"/>
                <w:shd w:val="clear" w:color="auto" w:fill="auto"/>
                <w:lang w:bidi="ar-SA"/>
              </w:rPr>
              <w:t>自然人</w:t>
            </w:r>
          </w:p>
        </w:tc>
        <w:tc>
          <w:tcPr>
            <w:tcW w:w="3452"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kern w:val="0"/>
                <w:sz w:val="20"/>
                <w:szCs w:val="20"/>
                <w:shd w:val="clear" w:color="auto" w:fill="auto"/>
                <w:lang w:bidi="ar-SA"/>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kern w:val="0"/>
                <w:sz w:val="20"/>
                <w:szCs w:val="20"/>
                <w:shd w:val="clear" w:color="auto" w:fill="auto"/>
                <w:lang w:bidi="ar-SA"/>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kern w:val="0"/>
                <w:sz w:val="20"/>
                <w:szCs w:val="20"/>
                <w:shd w:val="clear" w:color="auto" w:fill="auto"/>
                <w:lang w:bidi="ar-SA"/>
              </w:rP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kern w:val="0"/>
                <w:sz w:val="20"/>
                <w:szCs w:val="20"/>
                <w:shd w:val="clear" w:color="auto" w:fill="auto"/>
                <w:lang w:bidi="ar-SA"/>
              </w:rP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kern w:val="0"/>
                <w:sz w:val="20"/>
                <w:szCs w:val="20"/>
                <w:shd w:val="clear" w:color="auto" w:fill="auto"/>
                <w:lang w:bidi="ar-SA"/>
              </w:rPr>
              <w:t>社会公益组织</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kern w:val="0"/>
                <w:sz w:val="20"/>
                <w:szCs w:val="20"/>
                <w:shd w:val="clear" w:color="auto" w:fill="auto"/>
                <w:lang w:bidi="ar-SA"/>
              </w:rPr>
              <w:t>法律服务机构</w:t>
            </w:r>
          </w:p>
        </w:tc>
        <w:tc>
          <w:tcPr>
            <w:tcW w:w="497"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hd w:val="clear" w:color="auto" w:fill="auto"/>
              </w:rPr>
            </w:pPr>
            <w:r>
              <w:rPr>
                <w:kern w:val="0"/>
                <w:sz w:val="20"/>
                <w:szCs w:val="20"/>
                <w:shd w:val="clear" w:color="auto" w:fill="auto"/>
                <w:lang w:bidi="ar-SA"/>
              </w:rP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28"/>
              <w:widowControl/>
              <w:shd w:val="clear" w:color="auto" w:fill="auto"/>
              <w:jc w:val="left"/>
              <w:rPr>
                <w:sz w:val="24"/>
                <w:szCs w:val="24"/>
                <w:shd w:val="clear" w:color="auto" w:fill="auto"/>
              </w:rPr>
            </w:pPr>
            <w:r>
              <w:rPr>
                <w:kern w:val="0"/>
                <w:sz w:val="24"/>
                <w:szCs w:val="24"/>
                <w:shd w:val="clear" w:color="auto" w:fill="auto"/>
                <w:lang w:bidi="ar-SA"/>
              </w:rPr>
              <w:t>一、本年新收政府信息公开申请数量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28"/>
              <w:widowControl/>
              <w:shd w:val="clear" w:color="auto" w:fill="auto"/>
              <w:jc w:val="left"/>
              <w:rPr>
                <w:sz w:val="24"/>
                <w:szCs w:val="24"/>
                <w:shd w:val="clear" w:color="auto" w:fill="auto"/>
              </w:rPr>
            </w:pPr>
            <w:r>
              <w:rPr>
                <w:kern w:val="0"/>
                <w:sz w:val="24"/>
                <w:szCs w:val="24"/>
                <w:shd w:val="clear" w:color="auto" w:fill="auto"/>
                <w:lang w:bidi="ar-SA"/>
              </w:rPr>
              <w:t>二、上年结转政府信息公开申请数量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kern w:val="0"/>
                <w:sz w:val="24"/>
                <w:szCs w:val="24"/>
                <w:shd w:val="clear" w:color="auto" w:fill="auto"/>
                <w:lang w:bidi="ar-SA"/>
              </w:rPr>
              <w:t>三、本年度办理结果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left"/>
              <w:rPr>
                <w:sz w:val="24"/>
                <w:szCs w:val="24"/>
                <w:shd w:val="clear" w:color="auto" w:fill="auto"/>
              </w:rPr>
            </w:pPr>
            <w:r>
              <w:rPr>
                <w:rFonts w:eastAsia="楷体"/>
                <w:kern w:val="0"/>
                <w:sz w:val="24"/>
                <w:szCs w:val="24"/>
                <w:shd w:val="clear" w:color="auto" w:fill="auto"/>
                <w:lang w:bidi="ar-SA"/>
              </w:rPr>
              <w:t>（一）予以公开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left"/>
              <w:rPr>
                <w:sz w:val="24"/>
                <w:szCs w:val="24"/>
                <w:shd w:val="clear" w:color="auto" w:fill="auto"/>
              </w:rPr>
            </w:pPr>
            <w:r>
              <w:rPr>
                <w:rFonts w:eastAsia="楷体"/>
                <w:kern w:val="0"/>
                <w:sz w:val="24"/>
                <w:szCs w:val="24"/>
                <w:shd w:val="clear" w:color="auto" w:fill="auto"/>
                <w:lang w:bidi="ar-SA"/>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kern w:val="0"/>
                <w:sz w:val="24"/>
                <w:szCs w:val="24"/>
                <w:shd w:val="clear" w:color="auto" w:fill="auto"/>
                <w:lang w:bidi="ar-SA"/>
              </w:rPr>
              <w:t>（三）不予公开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kern w:val="0"/>
                <w:sz w:val="24"/>
                <w:szCs w:val="24"/>
                <w:shd w:val="clear" w:color="auto" w:fill="auto"/>
                <w:lang w:bidi="ar-SA"/>
              </w:rPr>
              <w:t>1.属于国家秘密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kern w:val="0"/>
                <w:sz w:val="24"/>
                <w:szCs w:val="24"/>
                <w:shd w:val="clear" w:color="auto" w:fill="auto"/>
                <w:lang w:bidi="ar-SA"/>
              </w:rPr>
              <w:t>2.其他法律行政法规禁止公开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kern w:val="0"/>
                <w:sz w:val="24"/>
                <w:szCs w:val="24"/>
                <w:shd w:val="clear" w:color="auto" w:fill="auto"/>
                <w:lang w:bidi="ar-SA"/>
              </w:rPr>
              <w:t>3.危及“三安全一稳定”</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kern w:val="0"/>
                <w:sz w:val="24"/>
                <w:szCs w:val="24"/>
                <w:shd w:val="clear" w:color="auto" w:fill="auto"/>
                <w:lang w:bidi="ar-SA"/>
              </w:rPr>
              <w:t>4.保护第三方合法权益</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kern w:val="0"/>
                <w:sz w:val="24"/>
                <w:szCs w:val="24"/>
                <w:shd w:val="clear" w:color="auto" w:fill="auto"/>
                <w:lang w:bidi="ar-SA"/>
              </w:rPr>
              <w:t>5.属于三类内部事务信息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kern w:val="0"/>
                <w:sz w:val="24"/>
                <w:szCs w:val="24"/>
                <w:shd w:val="clear" w:color="auto" w:fill="auto"/>
                <w:lang w:bidi="ar-SA"/>
              </w:rPr>
              <w:t>6.属于四类过程性信息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kern w:val="0"/>
                <w:sz w:val="24"/>
                <w:szCs w:val="24"/>
                <w:shd w:val="clear" w:color="auto" w:fill="auto"/>
                <w:lang w:bidi="ar-SA"/>
              </w:rPr>
              <w:t>7.属于行政执法案卷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kern w:val="0"/>
                <w:sz w:val="24"/>
                <w:szCs w:val="24"/>
                <w:shd w:val="clear" w:color="auto" w:fill="auto"/>
                <w:lang w:bidi="ar-SA"/>
              </w:rPr>
              <w:t>8.属于行政查询事项</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kern w:val="0"/>
                <w:sz w:val="24"/>
                <w:szCs w:val="24"/>
                <w:shd w:val="clear" w:color="auto" w:fill="auto"/>
                <w:lang w:bidi="ar-SA"/>
              </w:rPr>
              <w:t>（四）无法提供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kern w:val="0"/>
                <w:sz w:val="24"/>
                <w:szCs w:val="24"/>
                <w:shd w:val="clear" w:color="auto" w:fill="auto"/>
                <w:lang w:bidi="ar-SA"/>
              </w:rPr>
              <w:t>1.本机关不掌握相关政府信息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kern w:val="0"/>
                <w:sz w:val="24"/>
                <w:szCs w:val="24"/>
                <w:shd w:val="clear" w:color="auto" w:fill="auto"/>
                <w:lang w:bidi="ar-SA"/>
              </w:rPr>
              <w:t>2.没有现成信息需要另行制作</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kern w:val="0"/>
                <w:sz w:val="24"/>
                <w:szCs w:val="24"/>
                <w:shd w:val="clear" w:color="auto" w:fill="auto"/>
                <w:lang w:bidi="ar-SA"/>
              </w:rPr>
              <w:t>3.补正后申请内容仍不明确</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kern w:val="0"/>
                <w:sz w:val="24"/>
                <w:szCs w:val="24"/>
                <w:shd w:val="clear" w:color="auto" w:fill="auto"/>
                <w:lang w:bidi="ar-SA"/>
              </w:rPr>
              <w:t>（五）不予处理</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kern w:val="0"/>
                <w:sz w:val="24"/>
                <w:szCs w:val="24"/>
                <w:shd w:val="clear" w:color="auto" w:fill="auto"/>
                <w:lang w:bidi="ar-SA"/>
              </w:rPr>
              <w:t>1.信访举报投诉类申请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kern w:val="0"/>
                <w:sz w:val="24"/>
                <w:szCs w:val="24"/>
                <w:shd w:val="clear" w:color="auto" w:fill="auto"/>
                <w:lang w:bidi="ar-SA"/>
              </w:rPr>
              <w:t>2.重复申请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kern w:val="0"/>
                <w:sz w:val="24"/>
                <w:szCs w:val="24"/>
                <w:shd w:val="clear" w:color="auto" w:fill="auto"/>
                <w:lang w:bidi="ar-SA"/>
              </w:rPr>
              <w:t>3.要求提供公开出版物</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kern w:val="0"/>
                <w:sz w:val="24"/>
                <w:szCs w:val="24"/>
                <w:shd w:val="clear" w:color="auto" w:fill="auto"/>
                <w:lang w:bidi="ar-SA"/>
              </w:rPr>
              <w:t>4.无正当理由大量反复申请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kern w:val="0"/>
                <w:sz w:val="24"/>
                <w:szCs w:val="24"/>
                <w:shd w:val="clear" w:color="auto" w:fill="auto"/>
                <w:lang w:bidi="ar-SA"/>
              </w:rPr>
              <w:t>5.要求行政机关确认或重新出具已获取信息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kern w:val="0"/>
                <w:sz w:val="24"/>
                <w:szCs w:val="24"/>
                <w:shd w:val="clear" w:color="auto" w:fill="auto"/>
                <w:lang w:bidi="ar-SA"/>
              </w:rP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28"/>
              <w:widowControl/>
              <w:shd w:val="clear" w:color="auto" w:fill="auto"/>
              <w:rPr>
                <w:rFonts w:eastAsia="楷体"/>
                <w:kern w:val="0"/>
                <w:sz w:val="24"/>
                <w:szCs w:val="24"/>
                <w:shd w:val="clear" w:color="auto" w:fill="auto"/>
                <w:lang w:bidi="ar-SA"/>
              </w:rPr>
            </w:pPr>
            <w:r>
              <w:rPr>
                <w:rFonts w:eastAsia="楷体"/>
                <w:kern w:val="0"/>
                <w:sz w:val="24"/>
                <w:szCs w:val="24"/>
                <w:shd w:val="clear" w:color="auto" w:fill="auto"/>
                <w:lang w:bidi="ar-SA"/>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8"/>
              <w:widowControl/>
              <w:shd w:val="clear" w:color="auto" w:fill="auto"/>
              <w:rPr>
                <w:rFonts w:eastAsia="楷体"/>
                <w:kern w:val="0"/>
                <w:sz w:val="24"/>
                <w:szCs w:val="24"/>
                <w:shd w:val="clear" w:color="auto" w:fill="auto"/>
                <w:lang w:bidi="ar-SA"/>
              </w:rPr>
            </w:pPr>
            <w:r>
              <w:rPr>
                <w:rFonts w:eastAsia="楷体"/>
                <w:kern w:val="0"/>
                <w:sz w:val="24"/>
                <w:szCs w:val="24"/>
                <w:shd w:val="clear" w:color="auto" w:fill="auto"/>
                <w:lang w:bidi="ar-SA"/>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8"/>
              <w:widowControl/>
              <w:shd w:val="clear" w:color="auto" w:fill="auto"/>
              <w:rPr>
                <w:rFonts w:eastAsia="楷体"/>
                <w:kern w:val="0"/>
                <w:sz w:val="24"/>
                <w:szCs w:val="24"/>
                <w:shd w:val="clear" w:color="auto" w:fill="auto"/>
                <w:lang w:bidi="ar-SA"/>
              </w:rPr>
            </w:pPr>
            <w:r>
              <w:rPr>
                <w:rFonts w:eastAsia="楷体"/>
                <w:kern w:val="0"/>
                <w:sz w:val="24"/>
                <w:szCs w:val="24"/>
                <w:shd w:val="clear" w:color="auto" w:fill="auto"/>
                <w:lang w:bidi="ar-SA"/>
              </w:rPr>
              <w:t>3.咨询事项，指引咨询渠道</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28"/>
              <w:widowControl/>
              <w:shd w:val="clear" w:color="auto" w:fill="auto"/>
              <w:rPr>
                <w:rFonts w:eastAsia="楷体"/>
                <w:kern w:val="0"/>
                <w:sz w:val="24"/>
                <w:szCs w:val="24"/>
                <w:shd w:val="clear" w:color="auto" w:fill="auto"/>
                <w:lang w:bidi="ar-SA"/>
              </w:rPr>
            </w:pPr>
            <w:r>
              <w:rPr>
                <w:rFonts w:eastAsia="楷体"/>
                <w:kern w:val="0"/>
                <w:sz w:val="24"/>
                <w:szCs w:val="24"/>
                <w:shd w:val="clear" w:color="auto" w:fill="auto"/>
                <w:lang w:bidi="ar-SA"/>
              </w:rPr>
              <w:t>4.申请人撤销申请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rPr>
                <w:sz w:val="24"/>
                <w:szCs w:val="24"/>
                <w:shd w:val="clear" w:color="auto" w:fill="auto"/>
              </w:rPr>
            </w:pPr>
            <w:r>
              <w:rPr>
                <w:rFonts w:eastAsia="楷体"/>
                <w:kern w:val="0"/>
                <w:sz w:val="24"/>
                <w:szCs w:val="24"/>
                <w:shd w:val="clear" w:color="auto" w:fill="auto"/>
                <w:lang w:bidi="ar-SA"/>
              </w:rPr>
              <w:t>（七）总计</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left"/>
              <w:rPr>
                <w:shd w:val="clear" w:color="auto" w:fill="auto"/>
              </w:rPr>
            </w:pPr>
            <w:r>
              <w:rPr>
                <w:kern w:val="0"/>
                <w:sz w:val="24"/>
                <w:szCs w:val="24"/>
                <w:shd w:val="clear" w:color="auto" w:fill="auto"/>
                <w:lang w:bidi="ar-SA"/>
              </w:rPr>
              <w:t>四、结转下年度继续办理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bl>
    <w:p>
      <w:pPr>
        <w:pStyle w:val="16"/>
        <w:shd w:val="clear" w:color="auto" w:fill="auto"/>
        <w:tabs>
          <w:tab w:val="center" w:pos="4153"/>
          <w:tab w:val="right" w:pos="8306"/>
        </w:tabs>
        <w:spacing w:line="560" w:lineRule="exact"/>
        <w:ind w:firstLineChars="200" w:firstLine="640"/>
        <w:rPr>
          <w:rFonts w:eastAsia="方正黑体_GBK"/>
          <w:bCs/>
          <w:kern w:val="0"/>
          <w:sz w:val="32"/>
          <w:szCs w:val="32"/>
          <w:shd w:val="clear" w:color="auto" w:fill="auto"/>
        </w:rPr>
      </w:pPr>
      <w:r>
        <w:rPr>
          <w:rFonts w:eastAsia="方正黑体_GBK"/>
          <w:bCs/>
          <w:kern w:val="0"/>
          <w:sz w:val="32"/>
          <w:szCs w:val="32"/>
          <w:shd w:val="clear" w:color="auto" w:fill="auto"/>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kern w:val="0"/>
                <w:sz w:val="24"/>
                <w:szCs w:val="24"/>
                <w:shd w:val="clear" w:color="auto" w:fill="auto"/>
                <w:lang w:bidi="ar-SA"/>
              </w:rPr>
              <w:t>行政复议</w:t>
            </w:r>
          </w:p>
        </w:tc>
        <w:tc>
          <w:tcPr>
            <w:tcW w:w="5997"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kern w:val="0"/>
                <w:sz w:val="24"/>
                <w:szCs w:val="24"/>
                <w:shd w:val="clear" w:color="auto" w:fill="auto"/>
                <w:lang w:bidi="ar-SA"/>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kern w:val="0"/>
                <w:sz w:val="24"/>
                <w:szCs w:val="24"/>
                <w:shd w:val="clear" w:color="auto" w:fill="auto"/>
                <w:lang w:bidi="ar-SA"/>
              </w:rPr>
              <w:t>结果维持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kern w:val="0"/>
                <w:sz w:val="24"/>
                <w:szCs w:val="24"/>
                <w:shd w:val="clear" w:color="auto" w:fill="auto"/>
                <w:lang w:bidi="ar-SA"/>
              </w:rPr>
              <w:t>结果纠正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kern w:val="0"/>
                <w:sz w:val="24"/>
                <w:szCs w:val="24"/>
                <w:shd w:val="clear" w:color="auto" w:fill="auto"/>
                <w:lang w:bidi="ar-SA"/>
              </w:rPr>
              <w:t>其他结果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kern w:val="0"/>
                <w:sz w:val="24"/>
                <w:szCs w:val="24"/>
                <w:shd w:val="clear" w:color="auto" w:fill="auto"/>
                <w:lang w:bidi="ar-SA"/>
              </w:rPr>
              <w:t>尚未审结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kern w:val="0"/>
                <w:sz w:val="24"/>
                <w:szCs w:val="24"/>
                <w:shd w:val="clear" w:color="auto" w:fill="auto"/>
                <w:lang w:bidi="ar-SA"/>
              </w:rPr>
              <w:t>总计</w:t>
            </w:r>
          </w:p>
        </w:tc>
        <w:tc>
          <w:tcPr>
            <w:tcW w:w="297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kern w:val="0"/>
                <w:sz w:val="24"/>
                <w:szCs w:val="24"/>
                <w:shd w:val="clear" w:color="auto" w:fill="auto"/>
                <w:lang w:bidi="ar-SA"/>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kern w:val="0"/>
                <w:sz w:val="24"/>
                <w:szCs w:val="24"/>
                <w:shd w:val="clear" w:color="auto" w:fill="auto"/>
                <w:lang w:bidi="ar-SA"/>
              </w:rPr>
              <w:t>复议后起诉</w:t>
            </w:r>
          </w:p>
        </w:tc>
      </w:tr>
      <w:t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kern w:val="0"/>
                <w:sz w:val="24"/>
                <w:szCs w:val="24"/>
                <w:shd w:val="clear" w:color="auto" w:fill="auto"/>
                <w:lang w:bidi="ar-SA"/>
              </w:rP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kern w:val="0"/>
                <w:sz w:val="24"/>
                <w:szCs w:val="24"/>
                <w:shd w:val="clear" w:color="auto" w:fill="auto"/>
                <w:lang w:bidi="ar-SA"/>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kern w:val="0"/>
                <w:sz w:val="24"/>
                <w:szCs w:val="24"/>
                <w:shd w:val="clear" w:color="auto" w:fill="auto"/>
                <w:lang w:bidi="ar-SA"/>
              </w:rP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kern w:val="0"/>
                <w:sz w:val="24"/>
                <w:szCs w:val="24"/>
                <w:shd w:val="clear" w:color="auto" w:fill="auto"/>
                <w:lang w:bidi="ar-SA"/>
              </w:rPr>
              <w:t>尚未审结</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kern w:val="0"/>
                <w:sz w:val="24"/>
                <w:szCs w:val="24"/>
                <w:shd w:val="clear" w:color="auto" w:fill="auto"/>
                <w:lang w:bidi="ar-SA"/>
              </w:rPr>
              <w:t>总计</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kern w:val="0"/>
                <w:sz w:val="24"/>
                <w:szCs w:val="24"/>
                <w:shd w:val="clear" w:color="auto" w:fill="auto"/>
                <w:lang w:bidi="ar-SA"/>
              </w:rP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kern w:val="0"/>
                <w:sz w:val="24"/>
                <w:szCs w:val="24"/>
                <w:shd w:val="clear" w:color="auto" w:fill="auto"/>
                <w:lang w:bidi="ar-SA"/>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kern w:val="0"/>
                <w:sz w:val="24"/>
                <w:szCs w:val="24"/>
                <w:shd w:val="clear" w:color="auto" w:fill="auto"/>
                <w:lang w:bidi="ar-SA"/>
              </w:rP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kern w:val="0"/>
                <w:sz w:val="24"/>
                <w:szCs w:val="24"/>
                <w:shd w:val="clear" w:color="auto" w:fill="auto"/>
                <w:lang w:bidi="ar-SA"/>
              </w:rPr>
              <w:t>尚未审结</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4"/>
                <w:szCs w:val="24"/>
                <w:shd w:val="clear" w:color="auto" w:fill="auto"/>
              </w:rPr>
            </w:pPr>
            <w:r>
              <w:rPr>
                <w:kern w:val="0"/>
                <w:sz w:val="24"/>
                <w:szCs w:val="24"/>
                <w:shd w:val="clear" w:color="auto" w:fill="auto"/>
                <w:lang w:bidi="ar-SA"/>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8"/>
                <w:szCs w:val="28"/>
                <w:shd w:val="clear" w:color="auto" w:fill="auto"/>
              </w:rPr>
            </w:pPr>
            <w:r>
              <w:rPr>
                <w:sz w:val="28"/>
                <w:szCs w:val="28"/>
                <w:shd w:val="clear" w:color="auto" w:fill="auto"/>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8"/>
                <w:szCs w:val="28"/>
                <w:shd w:val="clear" w:color="auto" w:fill="auto"/>
              </w:rPr>
            </w:pPr>
            <w:r>
              <w:rPr>
                <w:sz w:val="28"/>
                <w:szCs w:val="28"/>
                <w:shd w:val="clear" w:color="auto" w:fill="auto"/>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8"/>
                <w:szCs w:val="28"/>
                <w:shd w:val="clear" w:color="auto" w:fill="auto"/>
              </w:rPr>
            </w:pPr>
            <w:r>
              <w:rPr>
                <w:sz w:val="28"/>
                <w:szCs w:val="28"/>
                <w:shd w:val="clear" w:color="auto" w:fill="auto"/>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8"/>
                <w:szCs w:val="28"/>
                <w:shd w:val="clear" w:color="auto" w:fill="auto"/>
              </w:rPr>
            </w:pPr>
            <w:r>
              <w:rPr>
                <w:sz w:val="28"/>
                <w:szCs w:val="28"/>
                <w:shd w:val="clear" w:color="auto" w:fill="auto"/>
              </w:rP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8"/>
                <w:szCs w:val="28"/>
                <w:shd w:val="clear" w:color="auto" w:fill="auto"/>
              </w:rPr>
            </w:pPr>
            <w:r>
              <w:rPr>
                <w:sz w:val="28"/>
                <w:szCs w:val="28"/>
                <w:shd w:val="clear" w:color="auto" w:fill="auto"/>
              </w:rPr>
              <w:t>0</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8"/>
                <w:szCs w:val="28"/>
                <w:shd w:val="clear" w:color="auto" w:fill="auto"/>
              </w:rPr>
            </w:pPr>
            <w:r>
              <w:rPr>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8"/>
                <w:szCs w:val="28"/>
                <w:shd w:val="clear" w:color="auto" w:fill="auto"/>
              </w:rPr>
            </w:pPr>
            <w:r>
              <w:rPr>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8"/>
                <w:szCs w:val="28"/>
                <w:shd w:val="clear" w:color="auto" w:fill="auto"/>
              </w:rPr>
            </w:pPr>
            <w:r>
              <w:rPr>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8"/>
                <w:szCs w:val="28"/>
                <w:shd w:val="clear" w:color="auto" w:fill="auto"/>
              </w:rPr>
            </w:pPr>
            <w:r>
              <w:rPr>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8"/>
                <w:szCs w:val="28"/>
                <w:shd w:val="clear" w:color="auto" w:fill="auto"/>
              </w:rPr>
            </w:pPr>
            <w:r>
              <w:rPr>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8"/>
                <w:szCs w:val="28"/>
                <w:shd w:val="clear" w:color="auto" w:fill="auto"/>
              </w:rPr>
            </w:pPr>
            <w:r>
              <w:rPr>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8"/>
                <w:szCs w:val="28"/>
                <w:shd w:val="clear" w:color="auto" w:fill="auto"/>
              </w:rPr>
            </w:pPr>
            <w:r>
              <w:rPr>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sz w:val="28"/>
                <w:szCs w:val="28"/>
                <w:shd w:val="clear" w:color="auto" w:fill="auto"/>
              </w:rPr>
            </w:pPr>
            <w:r>
              <w:rPr>
                <w:sz w:val="28"/>
                <w:szCs w:val="28"/>
                <w:shd w:val="clear" w:color="auto" w:fill="auto"/>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kern w:val="0"/>
                <w:sz w:val="28"/>
                <w:szCs w:val="28"/>
                <w:shd w:val="clear" w:color="auto" w:fill="auto"/>
              </w:rPr>
            </w:pPr>
            <w:r>
              <w:rPr>
                <w:kern w:val="0"/>
                <w:sz w:val="28"/>
                <w:szCs w:val="28"/>
                <w:shd w:val="clear" w:color="auto" w:fill="auto"/>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28"/>
              <w:widowControl/>
              <w:shd w:val="clear" w:color="auto" w:fill="auto"/>
              <w:jc w:val="center"/>
              <w:rPr>
                <w:kern w:val="0"/>
                <w:sz w:val="28"/>
                <w:szCs w:val="28"/>
                <w:shd w:val="clear" w:color="auto" w:fill="auto"/>
              </w:rPr>
            </w:pPr>
            <w:r>
              <w:rPr>
                <w:kern w:val="0"/>
                <w:sz w:val="28"/>
                <w:szCs w:val="28"/>
                <w:shd w:val="clear" w:color="auto" w:fill="auto"/>
              </w:rPr>
              <w:t>0</w:t>
            </w:r>
          </w:p>
        </w:tc>
      </w:tr>
    </w:tbl>
    <w:p>
      <w:pPr>
        <w:pStyle w:val="78"/>
        <w:shd w:val="clear" w:color="auto" w:fill="auto"/>
        <w:spacing w:line="560" w:lineRule="exact"/>
        <w:ind w:firstLineChars="200" w:firstLine="640"/>
        <w:jc w:val="both"/>
        <w:rPr>
          <w:rFonts w:ascii="Times New Roman" w:eastAsia="方正黑体_GBK" w:cs="Times New Roman" w:hAnsi="Times New Roman"/>
          <w:sz w:val="32"/>
          <w:szCs w:val="32"/>
          <w:shd w:val="clear" w:color="auto" w:fill="auto"/>
          <w:lang w:bidi="ar-SA"/>
        </w:rPr>
      </w:pPr>
      <w:bookmarkEnd w:id="1"/>
      <w:r>
        <w:rPr>
          <w:rFonts w:ascii="Times New Roman" w:eastAsia="方正黑体_GBK" w:cs="Times New Roman" w:hAnsi="Times New Roman"/>
          <w:sz w:val="32"/>
          <w:szCs w:val="32"/>
          <w:shd w:val="clear" w:color="auto" w:fill="auto"/>
          <w:lang w:bidi="ar-SA"/>
        </w:rPr>
        <w:t>五、存在的主要问题及改进情况</w:t>
      </w:r>
    </w:p>
    <w:p>
      <w:pPr>
        <w:pStyle w:val="78"/>
        <w:shd w:val="clear" w:color="auto" w:fill="auto"/>
        <w:spacing w:line="560" w:lineRule="exact"/>
        <w:ind w:firstLineChars="200" w:firstLine="640"/>
        <w:jc w:val="both"/>
        <w:rPr>
          <w:rFonts w:ascii="方正楷体_GBK" w:eastAsia="方正楷体_GBK" w:cs="Times New Roman" w:hint="eastAsia"/>
          <w:b/>
          <w:bCs/>
          <w:sz w:val="32"/>
          <w:szCs w:val="32"/>
          <w:shd w:val="clear" w:color="auto" w:fill="auto"/>
          <w:lang w:bidi="ar-SA"/>
        </w:rPr>
      </w:pPr>
      <w:r>
        <w:rPr>
          <w:rFonts w:ascii="方正楷体_GBK" w:eastAsia="方正楷体_GBK" w:cs="Times New Roman" w:hint="eastAsia"/>
          <w:b/>
          <w:bCs/>
          <w:sz w:val="32"/>
          <w:szCs w:val="32"/>
          <w:shd w:val="clear" w:color="auto" w:fill="auto"/>
          <w:lang w:bidi="ar-SA"/>
        </w:rPr>
        <w:t>（一）</w:t>
      </w:r>
      <w:r>
        <w:rPr>
          <w:rFonts w:ascii="Times New Roman" w:eastAsia="方正楷体_GBK" w:hAnsi="Times New Roman"/>
          <w:b/>
          <w:bCs/>
          <w:sz w:val="32"/>
          <w:szCs w:val="32"/>
          <w:shd w:val="clear" w:color="auto" w:fill="auto"/>
          <w:lang w:bidi="ar-SA"/>
        </w:rPr>
        <w:t>2023</w:t>
      </w:r>
      <w:r>
        <w:rPr>
          <w:rFonts w:ascii="方正楷体_GBK" w:eastAsia="方正楷体_GBK" w:cs="Times New Roman" w:hint="eastAsia"/>
          <w:b/>
          <w:bCs/>
          <w:sz w:val="32"/>
          <w:szCs w:val="32"/>
          <w:shd w:val="clear" w:color="auto" w:fill="auto"/>
          <w:lang w:bidi="ar-SA"/>
        </w:rPr>
        <w:t>年年报中所提问题整改情况。</w:t>
      </w:r>
    </w:p>
    <w:p>
      <w:pPr>
        <w:pStyle w:val="78"/>
        <w:shd w:val="clear" w:color="auto" w:fill="auto"/>
        <w:spacing w:line="560" w:lineRule="exact"/>
        <w:ind w:firstLineChars="200" w:firstLine="640"/>
        <w:jc w:val="both"/>
        <w:rPr>
          <w:rFonts w:ascii="Times New Roman" w:eastAsia="方正仿宋_GBK" w:cs="Times New Roman" w:hAnsi="Times New Roman"/>
          <w:sz w:val="32"/>
          <w:szCs w:val="32"/>
          <w:shd w:val="clear" w:color="auto" w:fill="auto"/>
          <w:lang w:bidi="ar-SA"/>
        </w:rPr>
      </w:pPr>
      <w:r>
        <w:rPr>
          <w:rFonts w:ascii="Times New Roman" w:eastAsia="方正仿宋_GBK" w:cs="Times New Roman" w:hAnsi="Times New Roman"/>
          <w:sz w:val="32"/>
          <w:szCs w:val="32"/>
          <w:shd w:val="clear" w:color="auto" w:fill="auto"/>
          <w:lang w:bidi="ar-SA"/>
        </w:rPr>
        <w:t>越秀海关2023年年报提出以下问题：因人员交流、岗位调整等原因，部分新到岗人员对政府信息公开相关工作要求熟练度仍待提高。</w:t>
      </w:r>
    </w:p>
    <w:p>
      <w:pPr>
        <w:pStyle w:val="78"/>
        <w:shd w:val="clear" w:color="auto" w:fill="auto"/>
        <w:spacing w:line="560" w:lineRule="exact"/>
        <w:ind w:firstLineChars="200" w:firstLine="640"/>
        <w:jc w:val="both"/>
        <w:rPr>
          <w:rFonts w:ascii="Times New Roman" w:eastAsia="方正仿宋_GBK" w:cs="Times New Roman" w:hAnsi="Times New Roman"/>
          <w:sz w:val="32"/>
          <w:szCs w:val="32"/>
          <w:shd w:val="clear" w:color="auto" w:fill="auto"/>
          <w:lang w:bidi="ar-SA"/>
        </w:rPr>
      </w:pPr>
      <w:r>
        <w:rPr>
          <w:rFonts w:ascii="Times New Roman" w:eastAsia="方正仿宋_GBK" w:cs="Times New Roman" w:hAnsi="Times New Roman"/>
          <w:sz w:val="32"/>
          <w:szCs w:val="32"/>
          <w:shd w:val="clear" w:color="auto" w:fill="auto"/>
          <w:lang w:bidi="ar-SA"/>
        </w:rPr>
        <w:t>上述问题在2024年已采取措施完成整改：</w:t>
      </w:r>
      <w:r>
        <w:rPr>
          <w:rFonts w:ascii="Times New Roman" w:eastAsia="方正仿宋_GBK" w:cs="Times New Roman" w:hAnsi="Times New Roman"/>
          <w:b/>
          <w:bCs/>
          <w:sz w:val="32"/>
          <w:szCs w:val="32"/>
          <w:shd w:val="clear" w:color="auto" w:fill="auto"/>
          <w:lang w:bidi="ar-SA"/>
        </w:rPr>
        <w:t>一是</w:t>
      </w:r>
      <w:r>
        <w:rPr>
          <w:rFonts w:ascii="Times New Roman" w:eastAsia="方正仿宋_GBK" w:cs="Times New Roman" w:hAnsi="Times New Roman"/>
          <w:sz w:val="32"/>
          <w:szCs w:val="32"/>
          <w:shd w:val="clear" w:color="auto" w:fill="auto"/>
          <w:lang w:bidi="ar-SA"/>
        </w:rPr>
        <w:t>集中梳理政务公开工作内容，制定年度规划，突出重点要求，明确职责分工。</w:t>
      </w:r>
      <w:r>
        <w:rPr>
          <w:rFonts w:ascii="Times New Roman" w:eastAsia="方正仿宋_GBK" w:cs="Times New Roman" w:hAnsi="Times New Roman"/>
          <w:b/>
          <w:bCs/>
          <w:sz w:val="32"/>
          <w:szCs w:val="32"/>
          <w:shd w:val="clear" w:color="auto" w:fill="auto"/>
          <w:lang w:bidi="ar-SA"/>
        </w:rPr>
        <w:t>二是</w:t>
      </w:r>
      <w:r>
        <w:rPr>
          <w:rFonts w:ascii="Times New Roman" w:eastAsia="方正仿宋_GBK" w:cs="Times New Roman" w:hAnsi="Times New Roman"/>
          <w:sz w:val="32"/>
          <w:szCs w:val="32"/>
          <w:shd w:val="clear" w:color="auto" w:fill="auto"/>
          <w:lang w:bidi="ar-SA"/>
        </w:rPr>
        <w:t>系统梳理相关法律条文，开展专题培训，重点关注新到岗人员学习情况，加强与上级部门及兄弟海关的沟通联系，持续夯实政务公开岗位人员业务基础。</w:t>
      </w:r>
    </w:p>
    <w:p>
      <w:pPr>
        <w:pStyle w:val="78"/>
        <w:shd w:val="clear" w:color="auto" w:fill="auto"/>
        <w:spacing w:line="560" w:lineRule="exact"/>
        <w:ind w:firstLineChars="200" w:firstLine="640"/>
        <w:jc w:val="both"/>
        <w:rPr>
          <w:rFonts w:ascii="方正楷体_GBK" w:eastAsia="方正楷体_GBK" w:cs="Times New Roman" w:hint="eastAsia"/>
          <w:b/>
          <w:bCs/>
          <w:sz w:val="32"/>
          <w:szCs w:val="32"/>
          <w:shd w:val="clear" w:color="auto" w:fill="auto"/>
          <w:lang w:bidi="ar-SA"/>
        </w:rPr>
      </w:pPr>
      <w:r>
        <w:rPr>
          <w:rFonts w:ascii="方正楷体_GBK" w:eastAsia="方正楷体_GBK" w:cs="Times New Roman" w:hint="eastAsia"/>
          <w:b/>
          <w:bCs/>
          <w:sz w:val="32"/>
          <w:szCs w:val="32"/>
          <w:shd w:val="clear" w:color="auto" w:fill="auto"/>
          <w:lang w:bidi="ar-SA"/>
        </w:rPr>
        <w:t>（二）目前存在问题。</w:t>
      </w:r>
    </w:p>
    <w:p>
      <w:pPr>
        <w:pStyle w:val="78"/>
        <w:shd w:val="clear" w:color="auto" w:fill="auto"/>
        <w:spacing w:line="560" w:lineRule="exact"/>
        <w:ind w:firstLineChars="200" w:firstLine="640"/>
        <w:jc w:val="both"/>
        <w:rPr>
          <w:rFonts w:ascii="Times New Roman" w:eastAsia="方正仿宋_GBK" w:cs="Times New Roman" w:hAnsi="Times New Roman"/>
          <w:sz w:val="32"/>
          <w:szCs w:val="32"/>
          <w:shd w:val="clear" w:color="auto" w:fill="auto"/>
          <w:lang w:bidi="ar-SA"/>
        </w:rPr>
      </w:pPr>
      <w:r>
        <w:rPr>
          <w:rFonts w:ascii="Times New Roman" w:eastAsia="方正仿宋_GBK" w:cs="Times New Roman" w:hAnsi="Times New Roman"/>
          <w:sz w:val="32"/>
          <w:szCs w:val="32"/>
          <w:shd w:val="clear" w:color="auto" w:fill="auto"/>
          <w:lang w:bidi="ar-SA"/>
        </w:rPr>
        <w:t>行政处罚、行政许可信息公示工作有待进一步规范，需要加强自查频率。</w:t>
      </w:r>
    </w:p>
    <w:p>
      <w:pPr>
        <w:pStyle w:val="78"/>
        <w:shd w:val="clear" w:color="auto" w:fill="auto"/>
        <w:spacing w:line="560" w:lineRule="exact"/>
        <w:ind w:firstLineChars="200" w:firstLine="640"/>
        <w:jc w:val="both"/>
        <w:rPr>
          <w:rFonts w:ascii="Times New Roman" w:eastAsia="方正黑体_GBK" w:cs="Times New Roman" w:hAnsi="Times New Roman"/>
          <w:sz w:val="32"/>
          <w:szCs w:val="32"/>
          <w:shd w:val="clear" w:color="auto" w:fill="auto"/>
          <w:lang w:bidi="ar-SA"/>
        </w:rPr>
      </w:pPr>
      <w:r>
        <w:rPr>
          <w:rFonts w:ascii="Times New Roman" w:eastAsia="方正黑体_GBK" w:cs="Times New Roman" w:hAnsi="Times New Roman"/>
          <w:sz w:val="32"/>
          <w:szCs w:val="32"/>
          <w:shd w:val="clear" w:color="auto" w:fill="auto"/>
          <w:lang w:bidi="ar-SA"/>
        </w:rPr>
        <w:t>六、其他需要报告的事项</w:t>
      </w:r>
    </w:p>
    <w:p>
      <w:pPr>
        <w:pStyle w:val="76"/>
        <w:widowControl/>
        <w:shd w:val="clear" w:color="auto" w:fill="auto"/>
        <w:spacing w:beforeAutospacing="0" w:afterAutospacing="0" w:line="560" w:lineRule="exact"/>
        <w:ind w:firstLineChars="200" w:firstLine="624"/>
        <w:jc w:val="both"/>
        <w:rPr>
          <w:rFonts w:ascii="方正楷体_GBK" w:eastAsia="方正楷体_GBK"/>
          <w:b/>
          <w:spacing w:val="-4"/>
          <w:sz w:val="32"/>
          <w:szCs w:val="20"/>
          <w:shd w:val="clear" w:color="auto" w:fill="auto"/>
        </w:rPr>
      </w:pPr>
      <w:r>
        <w:rPr>
          <w:rFonts w:ascii="方正楷体_GBK" w:eastAsia="方正楷体_GBK" w:hint="eastAsia"/>
          <w:b/>
          <w:spacing w:val="-4"/>
          <w:sz w:val="32"/>
          <w:szCs w:val="20"/>
          <w:shd w:val="clear" w:color="auto" w:fill="auto"/>
        </w:rPr>
        <w:t>（一）政府信息公开信息处理费收</w:t>
      </w:r>
      <w:r>
        <w:rPr>
          <w:rFonts w:ascii="方正楷体_GBK" w:eastAsia="方正楷体_GBK"/>
          <w:b/>
          <w:spacing w:val="-4"/>
          <w:sz w:val="32"/>
          <w:szCs w:val="20"/>
          <w:shd w:val="clear" w:color="auto" w:fill="auto"/>
        </w:rPr>
        <w:t>取</w:t>
      </w:r>
      <w:r>
        <w:rPr>
          <w:rFonts w:ascii="方正楷体_GBK" w:eastAsia="方正楷体_GBK" w:hint="eastAsia"/>
          <w:b/>
          <w:spacing w:val="-4"/>
          <w:sz w:val="32"/>
          <w:szCs w:val="20"/>
          <w:shd w:val="clear" w:color="auto" w:fill="auto"/>
        </w:rPr>
        <w:t>情况。</w:t>
      </w:r>
    </w:p>
    <w:p>
      <w:pPr>
        <w:pStyle w:val="81"/>
        <w:shd w:val="clear" w:color="auto" w:fill="auto"/>
        <w:spacing w:line="560" w:lineRule="exact"/>
        <w:ind w:firstLineChars="200" w:firstLine="640"/>
        <w:jc w:val="both"/>
        <w:rPr>
          <w:rFonts w:ascii="Times New Roman" w:eastAsia="方正仿宋_GBK" w:hAnsi="Times New Roman"/>
          <w:sz w:val="32"/>
          <w:szCs w:val="32"/>
          <w:shd w:val="clear" w:color="auto" w:fill="auto"/>
          <w:lang w:bidi="ar-SA"/>
        </w:rPr>
      </w:pPr>
      <w:r>
        <w:rPr>
          <w:rFonts w:ascii="Times New Roman" w:eastAsia="方正仿宋_GBK" w:cs="Times New Roman" w:hAnsi="Times New Roman"/>
          <w:sz w:val="32"/>
          <w:szCs w:val="32"/>
          <w:shd w:val="clear" w:color="auto" w:fill="auto"/>
          <w:lang w:bidi="ar-SA"/>
        </w:rPr>
        <w:t>越秀海关严格按照《国务院办公厅关于印发〈政府信息公开信息处理费管理办法〉的通知》，规范政府信息公开信息处理费收取工作，2024年未收取政府信息公开信息处理费。</w:t>
      </w:r>
    </w:p>
    <w:p>
      <w:pPr>
        <w:pStyle w:val="97"/>
        <w:widowControl/>
        <w:shd w:val="clear" w:color="auto" w:fill="auto"/>
        <w:spacing w:beforeAutospacing="0" w:afterAutospacing="0" w:line="560" w:lineRule="exact"/>
        <w:ind w:firstLineChars="200" w:firstLine="624"/>
        <w:jc w:val="both"/>
        <w:rPr>
          <w:rFonts w:ascii="方正楷体_GBK" w:eastAsia="方正楷体_GBK"/>
          <w:b/>
          <w:spacing w:val="-4"/>
          <w:sz w:val="32"/>
          <w:szCs w:val="20"/>
          <w:shd w:val="clear" w:color="auto" w:fill="auto"/>
        </w:rPr>
      </w:pPr>
      <w:r>
        <w:rPr>
          <w:rFonts w:ascii="方正楷体_GBK" w:eastAsia="方正楷体_GBK" w:hint="eastAsia"/>
          <w:b/>
          <w:spacing w:val="-4"/>
          <w:sz w:val="32"/>
          <w:szCs w:val="20"/>
          <w:shd w:val="clear" w:color="auto" w:fill="auto"/>
        </w:rPr>
        <w:t>（二）</w:t>
      </w:r>
      <w:r>
        <w:rPr>
          <w:rFonts w:ascii="方正楷体_GBK" w:eastAsia="方正楷体_GBK"/>
          <w:b/>
          <w:spacing w:val="-4"/>
          <w:sz w:val="32"/>
          <w:szCs w:val="20"/>
          <w:shd w:val="clear" w:color="auto" w:fill="auto"/>
        </w:rPr>
        <w:t>获评</w:t>
      </w:r>
      <w:r>
        <w:rPr>
          <w:rFonts w:ascii="方正楷体_GBK" w:eastAsia="方正楷体_GBK" w:hint="eastAsia"/>
          <w:b/>
          <w:spacing w:val="-4"/>
          <w:sz w:val="32"/>
          <w:szCs w:val="20"/>
          <w:shd w:val="clear" w:color="auto" w:fill="auto"/>
        </w:rPr>
        <w:t>荣誉情况。</w:t>
      </w:r>
    </w:p>
    <w:p>
      <w:pPr>
        <w:pStyle w:val="95"/>
        <w:shd w:val="clear" w:color="auto" w:fill="auto"/>
        <w:spacing w:line="560" w:lineRule="exact"/>
        <w:ind w:firstLineChars="200" w:firstLine="640"/>
        <w:jc w:val="both"/>
        <w:rPr>
          <w:rFonts w:ascii="Times New Roman" w:eastAsia="方正仿宋_GBK" w:hAnsi="Times New Roman"/>
          <w:sz w:val="32"/>
          <w:szCs w:val="32"/>
          <w:shd w:val="clear" w:color="auto" w:fill="auto"/>
        </w:rPr>
      </w:pPr>
      <w:r>
        <w:rPr>
          <w:rFonts w:ascii="Times New Roman" w:eastAsia="方正仿宋_GBK" w:hAnsi="Times New Roman"/>
          <w:sz w:val="32"/>
          <w:szCs w:val="32"/>
          <w:shd w:val="clear" w:color="auto" w:fill="auto"/>
          <w:lang w:bidi="ar-SA"/>
        </w:rPr>
        <w:t>2024年，越秀海关政务服务科获评为</w:t>
      </w:r>
      <w:r>
        <w:rPr>
          <w:rFonts w:ascii="Times New Roman" w:eastAsia="方正仿宋_GBK" w:hAnsi="Times New Roman" w:hint="eastAsia"/>
          <w:sz w:val="32"/>
          <w:szCs w:val="32"/>
          <w:shd w:val="clear" w:color="auto" w:fill="auto"/>
          <w:lang w:bidi="ar-SA"/>
        </w:rPr>
        <w:t>越秀区“创品质越秀，建典范城区”先进集体</w:t>
      </w:r>
      <w:r>
        <w:rPr>
          <w:rFonts w:ascii="Times New Roman" w:eastAsia="方正仿宋_GBK" w:hAnsi="Times New Roman"/>
          <w:sz w:val="32"/>
          <w:szCs w:val="32"/>
          <w:shd w:val="clear" w:color="auto" w:fill="auto"/>
          <w:lang w:bidi="ar-SA"/>
        </w:rPr>
        <w:t>。</w:t>
      </w:r>
    </w:p>
    <w:sectPr>
      <w:footerReference w:type="default" r:id="rId2"/>
      <w:footerReference w:type="even" r:id="rId3"/>
      <w:footerReference w:type="first" r:id="rId4"/>
      <w:pgSz w:w="11907" w:h="16840"/>
      <w:pgMar w:top="1928" w:right="1588" w:bottom="1588"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仿宋_GBK">
    <w:panose1 w:val="03000509000000000000"/>
    <w:charset w:val="86"/>
    <w:family w:val="script"/>
    <w:pitch w:val="variable"/>
    <w:sig w:usb0="00000001" w:usb1="080E0000" w:usb2="00000010" w:usb3="00000000" w:csb0="00040000" w:csb1="00000000"/>
  </w:font>
  <w:font w:name="方正楷体_GBK">
    <w:panose1 w:val="03000509000000000000"/>
    <w:charset w:val="86"/>
    <w:family w:val="script"/>
    <w:pitch w:val="variable"/>
    <w:sig w:usb0="00000001" w:usb1="080E0000" w:usb2="00000000" w:usb3="00000000" w:csb0="00040000" w:csb1="00000000"/>
  </w:font>
  <w:font w:name="楷体">
    <w:panose1 w:val="02010609060101010101"/>
    <w:charset w:val="86"/>
    <w:family w:val="modern"/>
    <w:pitch w:val="variable"/>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lang w:val="en-US" w:eastAsia="zh-CN"/>
      </w:rPr>
      <w:t>- 7 -</w:t>
    </w:r>
    <w:r>
      <w:rPr>
        <w:rStyle w:val="17"/>
      </w:rPr>
      <w:fldChar w:fldCharType="end"/>
    </w:r>
  </w:p>
  <w:p>
    <w:pPr>
      <w:pStyle w:val="16"/>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lang w:val="en-US" w:eastAsia="zh-CN"/>
      </w:rPr>
      <w:t>- 6 -</w:t>
    </w:r>
    <w:r>
      <w:rPr>
        <w:rStyle w:val="17"/>
      </w:rPr>
      <w:fldChar w:fldCharType="end"/>
    </w:r>
  </w:p>
  <w:p>
    <w:pPr>
      <w:pStyle w:val="16"/>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16"/>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95A5882"/>
    <w:multiLevelType w:val="singleLevel"/>
    <w:tmpl w:val="679C2ECA"/>
    <w:lvl w:ilvl="0">
      <w:start w:val="1"/>
      <w:numFmt w:val="decimal"/>
      <w:lvlRestart w:val="0"/>
      <w:pStyle w:val="52"/>
      <w:lvlText w:val="%1."/>
      <w:lvlJc w:val="left"/>
      <w:pPr>
        <w:tabs>
          <w:tab w:val="num" w:pos="780"/>
        </w:tabs>
        <w:ind w:left="780" w:hanging="36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5"/>
  <w:doNotDisplayPageBoundaries/>
  <w:bordersDoNotSurroundHeader/>
  <w:bordersDoNotSurroundFooter/>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bCs/>
      <w:sz w:val="32"/>
      <w:szCs w:val="32"/>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bdr w:val="none" w:sz="0" w:space="0" w:color="auto"/>
    </w:rPr>
  </w:style>
  <w:style w:type="paragraph" w:styleId="16">
    <w:name w:val="footer"/>
    <w:basedOn w:val="0"/>
    <w:pPr>
      <w:tabs>
        <w:tab w:val="center" w:pos="4153"/>
        <w:tab w:val="right" w:pos="8306"/>
      </w:tabs>
      <w:snapToGrid w:val="0"/>
      <w:jc w:val="left"/>
    </w:pPr>
    <w:rPr>
      <w:sz w:val="18"/>
      <w:szCs w:val="18"/>
    </w:rPr>
  </w:style>
  <w:style w:type="character" w:styleId="17">
    <w:name w:val="page number"/>
    <w:basedOn w:val="10"/>
  </w:style>
  <w:style w:type="paragraph" w:customStyle="1" w:styleId="18">
    <w:name w:val="样式 三号"/>
    <w:next w:val="27"/>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styleId="19">
    <w:name w:val="index 5"/>
    <w:basedOn w:val="0"/>
    <w:autoRedefine/>
    <w:next w:val="0"/>
    <w:pPr>
      <w:ind w:left="1680"/>
    </w:pPr>
    <w:rPr>
      <w:rFonts w:ascii="Times New Roman" w:eastAsia="宋体" w:cs="Times New Roman" w:hAnsi="Times New Roman"/>
      <w:lang w:val="en-US" w:eastAsia="zh-CN" w:bidi="ar-SA"/>
    </w:rPr>
  </w:style>
  <w:style w:type="paragraph" w:styleId="20">
    <w:name w:val="index 6"/>
    <w:basedOn w:val="0"/>
    <w:autoRedefine/>
    <w:next w:val="0"/>
    <w:pPr>
      <w:ind w:left="2100"/>
    </w:pPr>
  </w:style>
  <w:style w:type="paragraph" w:styleId="21">
    <w:name w:val="index 7"/>
    <w:basedOn w:val="0"/>
    <w:autoRedefine/>
    <w:next w:val="0"/>
    <w:pPr>
      <w:ind w:left="2520"/>
    </w:pPr>
  </w:style>
  <w:style w:type="paragraph" w:styleId="22">
    <w:name w:val="index 8"/>
    <w:basedOn w:val="0"/>
    <w:autoRedefine/>
    <w:next w:val="0"/>
    <w:pPr>
      <w:ind w:left="2940"/>
    </w:pPr>
  </w:style>
  <w:style w:type="paragraph" w:styleId="23">
    <w:name w:val="toc 1"/>
    <w:basedOn w:val="0"/>
    <w:autoRedefine/>
    <w:next w:val="0"/>
  </w:style>
  <w:style w:type="paragraph" w:styleId="24">
    <w:name w:val="toc 2"/>
    <w:basedOn w:val="0"/>
    <w:autoRedefine/>
    <w:next w:val="0"/>
    <w:pPr>
      <w:ind w:left="420"/>
    </w:pPr>
  </w:style>
  <w:style w:type="paragraph" w:styleId="25">
    <w:name w:val="Normal (Web)"/>
    <w:next w:val="16"/>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26">
    <w:name w:val="样式 1 三号"/>
    <w:next w:val="23"/>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27">
    <w:name w:val="样式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8">
    <w:name w:val="样式 小三"/>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29">
    <w:name w:val="样式 1 小四"/>
    <w:next w:val="23"/>
    <w:pPr>
      <w:widowControl w:val="0"/>
    </w:pPr>
    <w:rPr>
      <w:rFonts w:ascii="宋体" w:eastAsia="宋体" w:cs="Times New Roman"/>
      <w:kern w:val="2"/>
      <w:sz w:val="24"/>
      <w:lang w:val="en-US" w:eastAsia="zh-CN" w:bidi="ar-SA"/>
    </w:rPr>
  </w:style>
  <w:style w:type="paragraph" w:customStyle="1" w:styleId="30">
    <w:name w:val="样式 6 小四"/>
    <w:next w:val="0"/>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1">
    <w:name w:val="样式 20 小四"/>
    <w:next w:val="19"/>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2">
    <w:name w:val="样式 12 三号"/>
    <w:next w:val="22"/>
    <w:pPr>
      <w:widowControl w:val="0"/>
      <w:jc w:val="both"/>
    </w:pPr>
    <w:rPr>
      <w:rFonts w:ascii="Times New Roman" w:eastAsia="方正仿宋_GBK" w:cs="Times New Roman" w:hAnsi="Times New Roman"/>
      <w:kern w:val="2"/>
      <w:sz w:val="32"/>
      <w:lang w:val="en-US" w:eastAsia="zh-CN" w:bidi="ar-SA"/>
    </w:rPr>
  </w:style>
  <w:style w:type="paragraph" w:customStyle="1" w:styleId="33">
    <w:name w:val="样式 50 三号"/>
    <w:next w:val="20"/>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4">
    <w:name w:val="样式 13 三号"/>
    <w:next w:val="21"/>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5">
    <w:name w:val="样式 2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6">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7">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8">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9">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0">
    <w:name w:val="样式 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1">
    <w:name w:val="样式 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2">
    <w:name w:val="样式 小四"/>
    <w:next w:val="0"/>
    <w:pPr>
      <w:widowControl w:val="0"/>
    </w:pPr>
    <w:rPr>
      <w:rFonts w:ascii="宋体" w:eastAsia="宋体" w:cs="Times New Roman"/>
      <w:kern w:val="2"/>
      <w:sz w:val="24"/>
      <w:szCs w:val="21"/>
      <w:lang w:val="en-US" w:eastAsia="zh-CN" w:bidi="ar-SA"/>
    </w:rPr>
  </w:style>
  <w:style w:type="paragraph" w:customStyle="1" w:styleId="43">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44">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45">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46">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47">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48">
    <w:name w:val="样式 2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49">
    <w:name w:val="样式 1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50">
    <w:name w:val="样式 3 小四"/>
    <w:pPr>
      <w:widowControl w:val="0"/>
    </w:pPr>
    <w:rPr>
      <w:rFonts w:ascii="宋体" w:eastAsia="宋体" w:cs="Times New Roman"/>
      <w:kern w:val="2"/>
      <w:sz w:val="24"/>
      <w:lang w:val="en-US" w:eastAsia="zh-CN" w:bidi="ar-SA"/>
    </w:rPr>
  </w:style>
  <w:style w:type="paragraph" w:styleId="51">
    <w:name w:val="List Number 2"/>
    <w:basedOn w:val="0"/>
    <w:pPr>
      <w:numPr>
        <w:ilvl w:val="0"/>
        <w:numId w:val="1"/>
      </w:numPr>
    </w:pPr>
  </w:style>
  <w:style w:type="paragraph" w:customStyle="1" w:styleId="52">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54">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55">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20 小三"/>
    <w:pPr>
      <w:widowControl w:val="0"/>
      <w:jc w:val="both"/>
    </w:pPr>
    <w:rPr>
      <w:rFonts w:ascii="Times New Roman" w:eastAsia="宋体" w:cs="Times New Roman" w:hAnsi="Times New Roman"/>
      <w:kern w:val="2"/>
      <w:sz w:val="30"/>
      <w:szCs w:val="30"/>
      <w:lang w:val="en-US" w:eastAsia="zh-CN" w:bidi="ar-SA"/>
    </w:rPr>
  </w:style>
  <w:style w:type="paragraph" w:styleId="68">
    <w:name w:val="Balloon Text"/>
    <w:basedOn w:val="0"/>
    <w:rPr>
      <w:sz w:val="18"/>
      <w:szCs w:val="18"/>
    </w:rPr>
  </w:style>
  <w:style w:type="character" w:customStyle="1" w:styleId="69">
    <w:name w:val="im-content1"/>
    <w:basedOn w:val="10"/>
    <w:rPr>
      <w:color w:val="000000"/>
    </w:rPr>
  </w:style>
  <w:style w:type="character" w:styleId="70">
    <w:name w:val="Hyperlink"/>
    <w:rPr>
      <w:color w:val="0000FF"/>
      <w:u w:val="single"/>
    </w:rPr>
  </w:style>
  <w:style w:type="paragraph" w:customStyle="1" w:styleId="71">
    <w:name w:val="样式 "/>
    <w:rPr>
      <w:rFonts w:ascii="Times New Roman" w:eastAsia="方正黑体_GBK" w:cs="Times New Roman" w:hAnsi="Times New Roman"/>
      <w:color w:val="000000"/>
      <w:sz w:val="20"/>
      <w:lang w:val="en-US" w:eastAsia="zh-CN" w:bidi="ar-SA"/>
    </w:rPr>
  </w:style>
  <w:style w:type="paragraph" w:customStyle="1" w:styleId="72">
    <w:name w:val="样式 11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73">
    <w:name w:val="样式 1 "/>
    <w:rPr>
      <w:rFonts w:ascii="Times New Roman" w:eastAsia="方正黑体_GBK" w:cs="Times New Roman" w:hAnsi="Times New Roman"/>
      <w:color w:val="000000"/>
      <w:sz w:val="20"/>
      <w:lang w:val="en-US" w:eastAsia="zh-CN" w:bidi="ar-SA"/>
    </w:rPr>
  </w:style>
  <w:style w:type="paragraph" w:customStyle="1" w:styleId="74">
    <w:name w:val="样式 14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75">
    <w:name w:val="样式 4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76">
    <w:name w:val="样式 5 小四"/>
    <w:next w:val="81"/>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77">
    <w:name w:val="样式 7 小四"/>
    <w:pPr>
      <w:widowControl w:val="0"/>
      <w:spacing w:line="240" w:lineRule="auto"/>
      <w:jc w:val="left"/>
    </w:pPr>
    <w:rPr>
      <w:rFonts w:ascii="宋体" w:eastAsia="宋体" w:cs="Times New Roman"/>
      <w:kern w:val="2"/>
      <w:sz w:val="24"/>
      <w:szCs w:val="21"/>
      <w:lang w:val="en-US" w:eastAsia="zh-CN" w:bidi="ar-SA"/>
    </w:rPr>
  </w:style>
  <w:style w:type="paragraph" w:customStyle="1" w:styleId="78">
    <w:name w:val="样式 8 小四"/>
    <w:pPr>
      <w:widowControl w:val="0"/>
      <w:spacing w:line="240" w:lineRule="auto"/>
      <w:jc w:val="left"/>
    </w:pPr>
    <w:rPr>
      <w:rFonts w:ascii="宋体" w:eastAsia="宋体" w:cs="Times New Roman"/>
      <w:kern w:val="2"/>
      <w:sz w:val="24"/>
      <w:szCs w:val="21"/>
      <w:lang w:val="en-US" w:eastAsia="zh-CN" w:bidi="ar-SA"/>
    </w:rPr>
  </w:style>
  <w:style w:type="paragraph" w:customStyle="1" w:styleId="79">
    <w:name w:val="样式 9 小四"/>
    <w:pPr>
      <w:widowControl w:val="0"/>
      <w:spacing w:line="240" w:lineRule="auto"/>
      <w:jc w:val="left"/>
    </w:pPr>
    <w:rPr>
      <w:rFonts w:ascii="宋体" w:eastAsia="宋体" w:cs="Times New Roman"/>
      <w:kern w:val="2"/>
      <w:sz w:val="24"/>
      <w:szCs w:val="21"/>
      <w:lang w:val="en-US" w:eastAsia="zh-CN" w:bidi="ar-SA"/>
    </w:rPr>
  </w:style>
  <w:style w:type="paragraph" w:customStyle="1" w:styleId="80">
    <w:name w:val="样式 10 小四"/>
    <w:pPr>
      <w:widowControl w:val="0"/>
      <w:spacing w:line="240" w:lineRule="auto"/>
      <w:jc w:val="left"/>
    </w:pPr>
    <w:rPr>
      <w:rFonts w:ascii="宋体" w:eastAsia="宋体" w:cs="Times New Roman"/>
      <w:kern w:val="2"/>
      <w:sz w:val="24"/>
      <w:szCs w:val="21"/>
      <w:lang w:val="en-US" w:eastAsia="zh-CN" w:bidi="ar-SA"/>
    </w:rPr>
  </w:style>
  <w:style w:type="paragraph" w:customStyle="1" w:styleId="81">
    <w:name w:val="样式 11 小四"/>
    <w:pPr>
      <w:widowControl w:val="0"/>
      <w:spacing w:line="240" w:lineRule="auto"/>
      <w:jc w:val="left"/>
    </w:pPr>
    <w:rPr>
      <w:rFonts w:ascii="宋体" w:eastAsia="宋体" w:cs="Times New Roman"/>
      <w:kern w:val="2"/>
      <w:sz w:val="24"/>
      <w:szCs w:val="21"/>
      <w:lang w:val="en-US" w:eastAsia="zh-CN" w:bidi="ar-SA"/>
    </w:rPr>
  </w:style>
  <w:style w:type="paragraph" w:customStyle="1" w:styleId="82">
    <w:name w:val="样式 12 小四"/>
    <w:pPr>
      <w:widowControl w:val="0"/>
      <w:spacing w:line="240" w:lineRule="auto"/>
      <w:jc w:val="left"/>
    </w:pPr>
    <w:rPr>
      <w:rFonts w:ascii="宋体" w:eastAsia="宋体" w:cs="Times New Roman"/>
      <w:kern w:val="2"/>
      <w:sz w:val="24"/>
      <w:szCs w:val="21"/>
      <w:lang w:val="en-US" w:eastAsia="zh-CN" w:bidi="ar-SA"/>
    </w:rPr>
  </w:style>
  <w:style w:type="paragraph" w:styleId="83">
    <w:name w:val="annotation text"/>
    <w:basedOn w:val="0"/>
    <w:pPr>
      <w:jc w:val="left"/>
    </w:pPr>
  </w:style>
  <w:style w:type="paragraph" w:styleId="84">
    <w:name w:val="annotation subject"/>
    <w:basedOn w:val="83"/>
    <w:next w:val="83"/>
    <w:rPr>
      <w:b/>
    </w:rPr>
  </w:style>
  <w:style w:type="paragraph" w:customStyle="1" w:styleId="85">
    <w:name w:val="样式 15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86">
    <w:name w:val="样式 16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87">
    <w:name w:val="样式 1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88">
    <w:name w:val="样式 1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89">
    <w:name w:val="样式 19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90">
    <w:name w:val="样式 13 小四"/>
    <w:pPr>
      <w:widowControl w:val="0"/>
      <w:spacing w:line="240" w:lineRule="auto"/>
      <w:jc w:val="left"/>
    </w:pPr>
    <w:rPr>
      <w:rFonts w:ascii="宋体" w:eastAsia="宋体" w:cs="Times New Roman"/>
      <w:kern w:val="2"/>
      <w:sz w:val="24"/>
      <w:szCs w:val="21"/>
      <w:lang w:val="en-US" w:eastAsia="zh-CN" w:bidi="ar-SA"/>
    </w:rPr>
  </w:style>
  <w:style w:type="paragraph" w:customStyle="1" w:styleId="91">
    <w:name w:val="样式 14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92">
    <w:name w:val="样式 15 小四"/>
    <w:pPr>
      <w:widowControl w:val="0"/>
      <w:spacing w:line="240" w:lineRule="auto"/>
      <w:jc w:val="left"/>
    </w:pPr>
    <w:rPr>
      <w:rFonts w:ascii="宋体" w:eastAsia="宋体" w:cs="Times New Roman"/>
      <w:kern w:val="2"/>
      <w:sz w:val="24"/>
      <w:szCs w:val="21"/>
      <w:lang w:val="en-US" w:eastAsia="zh-CN" w:bidi="ar-SA"/>
    </w:rPr>
  </w:style>
  <w:style w:type="paragraph" w:customStyle="1" w:styleId="93">
    <w:name w:val="样式 16 小四"/>
    <w:pPr>
      <w:widowControl w:val="0"/>
      <w:spacing w:line="240" w:lineRule="auto"/>
      <w:jc w:val="left"/>
    </w:pPr>
    <w:rPr>
      <w:rFonts w:ascii="宋体" w:eastAsia="宋体" w:cs="Times New Roman"/>
      <w:kern w:val="2"/>
      <w:sz w:val="24"/>
      <w:szCs w:val="21"/>
      <w:lang w:val="en-US" w:eastAsia="zh-CN" w:bidi="ar-SA"/>
    </w:rPr>
  </w:style>
  <w:style w:type="paragraph" w:customStyle="1" w:styleId="94">
    <w:name w:val="样式 17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95">
    <w:name w:val="样式 18 小四"/>
    <w:pPr>
      <w:widowControl w:val="0"/>
      <w:spacing w:line="240" w:lineRule="auto"/>
      <w:jc w:val="left"/>
    </w:pPr>
    <w:rPr>
      <w:rFonts w:ascii="宋体" w:eastAsia="宋体" w:cs="Times New Roman"/>
      <w:kern w:val="2"/>
      <w:sz w:val="24"/>
      <w:szCs w:val="21"/>
      <w:lang w:val="en-US" w:eastAsia="zh-CN" w:bidi="ar-SA"/>
    </w:rPr>
  </w:style>
  <w:style w:type="paragraph" w:customStyle="1" w:styleId="96">
    <w:name w:val="样式 19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97">
    <w:name w:val="样式 21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191">
    <w:name w:val="样式 22 小四"/>
    <w:pPr>
      <w:widowControl w:val="0"/>
      <w:spacing w:before="100" w:beforeAutospacing="1" w:after="100" w:afterAutospacing="1"/>
      <w:jc w:val="left"/>
    </w:pPr>
    <w:rPr>
      <w:rFonts w:ascii="Times New Roman" w:eastAsia="宋体" w:cs="Times New Roman" w:hAnsi="Times New Roman"/>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870</TotalTime>
  <Application>Yozo_Office</Application>
  <Pages>7</Pages>
  <Words>2804</Words>
  <Characters>2900</Characters>
  <Lines>450</Lines>
  <Paragraphs>318</Paragraphs>
  <CharactersWithSpaces>2902</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刘书华</cp:lastModifiedBy>
  <cp:revision>14</cp:revision>
  <cp:lastPrinted>2020-01-22T00:43:00Z</cp:lastPrinted>
  <dcterms:created xsi:type="dcterms:W3CDTF">2024-01-16T03:39:00Z</dcterms:created>
  <dcterms:modified xsi:type="dcterms:W3CDTF">2025-01-26T08:01:45Z</dcterms:modified>
</cp:coreProperties>
</file>