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82"/>
        <w:shd w:val="clear" w:color="auto" w:fill="auto"/>
        <w:jc w:val="center"/>
        <w:rPr>
          <w:rFonts w:ascii="方正黑体_GBK" w:eastAsia="方正黑体_GBK" w:cs="方正小标宋_GBK"/>
          <w:color w:val="000000"/>
          <w:szCs w:val="32"/>
          <w:shd w:val="clear" w:color="auto" w:fill="auto"/>
        </w:rPr>
      </w:pPr>
      <w:bookmarkStart w:id="0" w:name="_Hlk25540369"/>
      <w:bookmarkStart w:id="1" w:name="cogw__正文__file"/>
      <w:r>
        <w:rPr>
          <w:rFonts w:ascii="方正小标宋_GBK" w:eastAsia="方正小标宋_GBK" w:cs="方正小标宋_GBK" w:hint="eastAsia"/>
          <w:color w:val="000000"/>
          <w:sz w:val="44"/>
          <w:szCs w:val="44"/>
          <w:shd w:val="clear" w:color="auto" w:fill="auto"/>
        </w:rPr>
        <w:t>南沙海关2024年政府信息公开工作年度报告</w:t>
      </w:r>
      <w:bookmarkEnd w:id="0"/>
    </w:p>
    <w:p>
      <w:pPr>
        <w:pStyle w:val="25"/>
        <w:widowControl/>
        <w:shd w:val="clear" w:color="auto" w:fill="auto"/>
        <w:adjustRightInd w:val="0"/>
        <w:snapToGrid w:val="0"/>
        <w:spacing w:beforeAutospacing="0" w:afterAutospacing="0" w:line="560" w:lineRule="exact"/>
        <w:jc w:val="both"/>
        <w:rPr>
          <w:rFonts w:ascii="楷体_GB2312" w:eastAsia="楷体_GB2312" w:cs="楷体_GB2312"/>
          <w:bCs/>
          <w:color w:val="000000"/>
          <w:sz w:val="32"/>
          <w:szCs w:val="32"/>
          <w:shd w:val="clear" w:color="auto" w:fill="auto"/>
        </w:rPr>
      </w:pPr>
    </w:p>
    <w:p>
      <w:pPr>
        <w:pStyle w:val="26"/>
        <w:shd w:val="clear" w:color="auto" w:fill="auto"/>
        <w:ind w:firstLineChars="200" w:firstLine="624"/>
        <w:rPr>
          <w:color w:val="000000"/>
          <w:shd w:val="clear" w:color="auto" w:fill="auto"/>
        </w:rPr>
      </w:pPr>
      <w:r>
        <w:rPr>
          <w:rFonts w:hint="eastAsia"/>
          <w:color w:val="000000"/>
          <w:shd w:val="clear" w:color="auto" w:fill="auto"/>
        </w:rPr>
        <w:t>根据《中华人民共和国政府信息公开条例》</w:t>
      </w:r>
      <w:r>
        <w:rPr>
          <w:color w:val="000000"/>
          <w:spacing w:val="-8"/>
          <w:shd w:val="clear" w:color="auto" w:fill="auto"/>
        </w:rPr>
        <w:t>《国务院办公厅政府信息与政务公开办公室关于政府信息公开工作年度报告有关事项的通知》《国务院办公厅政府信息与政务公开办公室关于印发〈中华人民共和国政府信息公开工作年度报告格式〉的通知》</w:t>
      </w:r>
      <w:r>
        <w:rPr>
          <w:rFonts w:hint="eastAsia"/>
          <w:color w:val="000000"/>
          <w:shd w:val="clear" w:color="auto" w:fill="auto"/>
        </w:rPr>
        <w:t>等规定，梳理</w:t>
      </w:r>
      <w:r>
        <w:rPr>
          <w:color w:val="000000"/>
          <w:shd w:val="clear" w:color="auto" w:fill="auto"/>
        </w:rPr>
        <w:t>编制</w:t>
      </w:r>
      <w:r>
        <w:rPr>
          <w:rFonts w:hint="eastAsia"/>
          <w:color w:val="000000"/>
          <w:shd w:val="clear" w:color="auto" w:fill="auto"/>
        </w:rPr>
        <w:t>南沙海关2024年政府信息公开工作</w:t>
      </w:r>
      <w:r>
        <w:rPr>
          <w:color w:val="000000"/>
          <w:shd w:val="clear" w:color="auto" w:fill="auto"/>
        </w:rPr>
        <w:t>年报</w:t>
      </w:r>
      <w:r>
        <w:rPr>
          <w:rFonts w:hint="eastAsia"/>
          <w:color w:val="000000"/>
          <w:shd w:val="clear" w:color="auto" w:fill="auto"/>
        </w:rPr>
        <w:t>。</w:t>
      </w:r>
      <w:r>
        <w:rPr>
          <w:color w:val="000000"/>
          <w:shd w:val="clear" w:color="auto" w:fill="auto"/>
        </w:rPr>
        <w:t>报告</w:t>
      </w:r>
      <w:r>
        <w:rPr>
          <w:rFonts w:hint="eastAsia"/>
          <w:color w:val="000000"/>
          <w:shd w:val="clear" w:color="auto" w:fill="auto"/>
        </w:rPr>
        <w:t>中所列数据的统计期限，自2024年1月1日起至2024年12月31日止。如对本</w:t>
      </w:r>
      <w:r>
        <w:rPr>
          <w:color w:val="000000"/>
          <w:shd w:val="clear" w:color="auto" w:fill="auto"/>
        </w:rPr>
        <w:t>报告</w:t>
      </w:r>
      <w:r>
        <w:rPr>
          <w:rFonts w:hint="eastAsia"/>
          <w:color w:val="000000"/>
          <w:shd w:val="clear" w:color="auto" w:fill="auto"/>
        </w:rPr>
        <w:t>有疑问或有</w:t>
      </w:r>
      <w:r>
        <w:rPr>
          <w:color w:val="000000"/>
          <w:shd w:val="clear" w:color="auto" w:fill="auto"/>
        </w:rPr>
        <w:t>任何</w:t>
      </w:r>
      <w:r>
        <w:rPr>
          <w:rFonts w:hint="eastAsia"/>
          <w:color w:val="000000"/>
          <w:shd w:val="clear" w:color="auto" w:fill="auto"/>
        </w:rPr>
        <w:t>意见、建议，请联系南沙海关办公室。地址：广东省广州市南沙区南沙街进港大道618号，邮编：511458；电话：020-81135505；电子邮箱：nshg@customs.gov.cn。</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一、总体情况</w:t>
      </w:r>
    </w:p>
    <w:p>
      <w:pPr>
        <w:pStyle w:val="71"/>
        <w:shd w:val="clear" w:color="auto" w:fill="auto"/>
        <w:adjustRightInd w:val="0"/>
        <w:snapToGrid w:val="0"/>
        <w:spacing w:line="560" w:lineRule="exact"/>
        <w:ind w:firstLineChars="200" w:firstLine="640"/>
        <w:jc w:val="both"/>
        <w:rPr>
          <w:rFonts w:ascii="Times New Roman" w:eastAsia="方正仿宋_GBK" w:hAnsi="Times New Roman"/>
          <w:color w:val="000000"/>
          <w:sz w:val="32"/>
          <w:szCs w:val="32"/>
          <w:shd w:val="clear" w:color="auto" w:fill="auto"/>
        </w:rPr>
      </w:pPr>
      <w:r>
        <w:rPr>
          <w:rFonts w:ascii="Times New Roman" w:eastAsia="方正仿宋_GBK" w:hAnsi="Times New Roman"/>
          <w:color w:val="000000"/>
          <w:sz w:val="32"/>
          <w:szCs w:val="32"/>
          <w:shd w:val="clear" w:color="auto" w:fill="auto"/>
        </w:rPr>
        <w:t>2024</w:t>
      </w:r>
      <w:r>
        <w:rPr>
          <w:rFonts w:ascii="Times New Roman" w:eastAsia="方正仿宋_GBK" w:hAnsi="Times New Roman" w:hint="eastAsia"/>
          <w:color w:val="000000"/>
          <w:sz w:val="32"/>
          <w:szCs w:val="32"/>
          <w:shd w:val="clear" w:color="auto" w:fill="auto"/>
        </w:rPr>
        <w:t>年，南沙海关坚持以习近平新时代中国特色社会主义思想为指导，全面贯彻落实党的二十大和二十届二中、三中全会精神</w:t>
      </w:r>
      <w:r>
        <w:rPr>
          <w:rFonts w:ascii="Times New Roman" w:eastAsia="方正仿宋_GBK" w:hAnsi="Times New Roman"/>
          <w:color w:val="000000"/>
          <w:sz w:val="32"/>
          <w:szCs w:val="32"/>
          <w:shd w:val="clear" w:color="auto" w:fill="auto"/>
        </w:rPr>
        <w:t>，</w:t>
      </w:r>
      <w:r>
        <w:rPr>
          <w:rFonts w:ascii="Times New Roman" w:eastAsia="方正仿宋_GBK" w:hAnsi="Times New Roman" w:hint="eastAsia"/>
          <w:color w:val="000000"/>
          <w:sz w:val="32"/>
          <w:szCs w:val="32"/>
          <w:shd w:val="clear" w:color="auto" w:fill="auto"/>
        </w:rPr>
        <w:t>深入学习贯彻习近平总书记</w:t>
      </w:r>
      <w:r>
        <w:rPr>
          <w:rFonts w:ascii="Times New Roman" w:eastAsia="方正仿宋_GBK" w:hAnsi="Times New Roman"/>
          <w:color w:val="000000"/>
          <w:sz w:val="32"/>
          <w:szCs w:val="32"/>
          <w:shd w:val="clear" w:color="auto" w:fill="auto"/>
        </w:rPr>
        <w:t>重要指示批示和</w:t>
      </w:r>
      <w:r>
        <w:rPr>
          <w:rFonts w:ascii="Times New Roman" w:eastAsia="方正仿宋_GBK" w:hAnsi="Times New Roman" w:hint="eastAsia"/>
          <w:color w:val="000000"/>
          <w:sz w:val="32"/>
          <w:szCs w:val="32"/>
          <w:shd w:val="clear" w:color="auto" w:fill="auto"/>
        </w:rPr>
        <w:t>给红其拉甫海关全体关员重要回信</w:t>
      </w:r>
      <w:r>
        <w:rPr>
          <w:rFonts w:ascii="Times New Roman" w:eastAsia="方正仿宋_GBK" w:hAnsi="Times New Roman"/>
          <w:color w:val="000000"/>
          <w:sz w:val="32"/>
          <w:szCs w:val="32"/>
          <w:shd w:val="clear" w:color="auto" w:fill="auto"/>
        </w:rPr>
        <w:t>精神</w:t>
      </w:r>
      <w:r>
        <w:rPr>
          <w:rFonts w:ascii="Times New Roman" w:eastAsia="方正仿宋_GBK" w:hAnsi="Times New Roman" w:hint="eastAsia"/>
          <w:color w:val="000000"/>
          <w:sz w:val="32"/>
          <w:szCs w:val="32"/>
          <w:shd w:val="clear" w:color="auto" w:fill="auto"/>
        </w:rPr>
        <w:t>，</w:t>
      </w:r>
      <w:r>
        <w:rPr>
          <w:rFonts w:ascii="Times New Roman" w:eastAsia="方正仿宋_GBK" w:cs="Arial" w:hAnsi="Times New Roman" w:hint="eastAsia"/>
          <w:color w:val="000000"/>
          <w:sz w:val="32"/>
          <w:szCs w:val="32"/>
          <w:shd w:val="clear" w:color="auto" w:fill="auto"/>
        </w:rPr>
        <w:t>严格贯彻落实《中华人民共和国政府信息公开条例》，</w:t>
      </w:r>
      <w:r>
        <w:rPr>
          <w:rFonts w:ascii="Times New Roman" w:eastAsia="方正仿宋_GBK" w:cs="Arial" w:hAnsi="Times New Roman"/>
          <w:color w:val="000000"/>
          <w:sz w:val="32"/>
          <w:szCs w:val="32"/>
          <w:shd w:val="clear" w:color="auto" w:fill="auto"/>
        </w:rPr>
        <w:t>提升海关工作透明度，主动回应关切，切实保障企业群众知情权，着力提升政府信息公开工作质效</w:t>
      </w:r>
      <w:r>
        <w:rPr>
          <w:rFonts w:ascii="Times New Roman" w:eastAsia="方正仿宋_GBK" w:hAnsi="Times New Roman" w:hint="eastAsia"/>
          <w:color w:val="000000"/>
          <w:sz w:val="32"/>
          <w:szCs w:val="32"/>
          <w:shd w:val="clear" w:color="auto" w:fill="auto"/>
        </w:rPr>
        <w:t>。</w:t>
      </w:r>
      <w:r>
        <w:rPr>
          <w:rFonts w:ascii="Times New Roman" w:eastAsia="方正仿宋_GBK" w:hAnsi="Times New Roman"/>
          <w:color w:val="000000"/>
          <w:sz w:val="32"/>
          <w:szCs w:val="32"/>
          <w:shd w:val="clear" w:color="auto" w:fill="auto"/>
        </w:rPr>
        <w:t>现将工作情况报告如下：</w:t>
      </w:r>
    </w:p>
    <w:p>
      <w:pPr>
        <w:pStyle w:val="71"/>
        <w:shd w:val="clear" w:color="auto" w:fill="auto"/>
        <w:adjustRightInd w:val="0"/>
        <w:snapToGrid w:val="0"/>
        <w:spacing w:line="560" w:lineRule="exact"/>
        <w:ind w:firstLineChars="200" w:firstLine="640"/>
        <w:jc w:val="both"/>
        <w:rPr>
          <w:rFonts w:ascii="Times New Roman" w:eastAsia="方正楷体_GBK" w:hAnsi="Times New Roman"/>
          <w:b/>
          <w:bCs/>
          <w:color w:val="000000"/>
          <w:sz w:val="32"/>
          <w:szCs w:val="32"/>
          <w:shd w:val="clear" w:color="auto" w:fill="auto"/>
        </w:rPr>
      </w:pPr>
      <w:r>
        <w:rPr>
          <w:rFonts w:ascii="Times New Roman" w:eastAsia="方正楷体_GBK" w:hAnsi="Times New Roman"/>
          <w:b/>
          <w:bCs/>
          <w:color w:val="000000"/>
          <w:sz w:val="32"/>
          <w:szCs w:val="32"/>
          <w:shd w:val="clear" w:color="auto" w:fill="auto"/>
        </w:rPr>
        <w:t>（一）</w:t>
      </w:r>
      <w:r>
        <w:rPr>
          <w:rFonts w:ascii="Times New Roman" w:eastAsia="方正楷体_GBK" w:hAnsi="Times New Roman" w:hint="eastAsia"/>
          <w:b/>
          <w:bCs/>
          <w:color w:val="000000"/>
          <w:sz w:val="32"/>
          <w:szCs w:val="32"/>
          <w:shd w:val="clear" w:color="auto" w:fill="auto"/>
        </w:rPr>
        <w:t>主动公开</w:t>
      </w:r>
      <w:r>
        <w:rPr>
          <w:rFonts w:ascii="Times New Roman" w:eastAsia="方正楷体_GBK" w:hAnsi="Times New Roman"/>
          <w:b/>
          <w:bCs/>
          <w:color w:val="000000"/>
          <w:sz w:val="32"/>
          <w:szCs w:val="32"/>
          <w:shd w:val="clear" w:color="auto" w:fill="auto"/>
        </w:rPr>
        <w:t>方面。</w:t>
      </w:r>
    </w:p>
    <w:p>
      <w:pPr>
        <w:pStyle w:val="71"/>
        <w:shd w:val="clear" w:color="auto" w:fill="auto"/>
        <w:adjustRightInd w:val="0"/>
        <w:snapToGrid w:val="0"/>
        <w:spacing w:line="560" w:lineRule="exact"/>
        <w:ind w:firstLineChars="200" w:firstLine="624"/>
        <w:jc w:val="both"/>
        <w:rPr>
          <w:rFonts w:ascii="Times New Roman" w:eastAsia="方正仿宋_GBK" w:hAnsi="Times New Roman"/>
          <w:color w:val="000000"/>
          <w:spacing w:val="-4"/>
          <w:sz w:val="32"/>
          <w:shd w:val="clear" w:color="auto" w:fill="auto"/>
        </w:rPr>
      </w:pPr>
      <w:r>
        <w:rPr>
          <w:rFonts w:ascii="Times New Roman" w:eastAsia="方正仿宋_GBK" w:hAnsi="Times New Roman"/>
          <w:color w:val="000000"/>
          <w:spacing w:val="-4"/>
          <w:sz w:val="32"/>
          <w:shd w:val="clear" w:color="auto" w:fill="auto"/>
        </w:rPr>
        <w:t>依托</w:t>
      </w:r>
      <w:r>
        <w:rPr>
          <w:rFonts w:ascii="Times New Roman" w:eastAsia="方正仿宋_GBK" w:hAnsi="Times New Roman" w:hint="eastAsia"/>
          <w:color w:val="000000"/>
          <w:spacing w:val="-4"/>
          <w:sz w:val="32"/>
          <w:shd w:val="clear" w:color="auto" w:fill="auto"/>
        </w:rPr>
        <w:t>广州海关门户网站</w:t>
      </w:r>
      <w:r>
        <w:rPr>
          <w:rFonts w:ascii="Times New Roman" w:eastAsia="方正仿宋_GBK" w:hAnsi="Times New Roman"/>
          <w:color w:val="000000"/>
          <w:spacing w:val="-4"/>
          <w:sz w:val="32"/>
          <w:shd w:val="clear" w:color="auto" w:fill="auto"/>
        </w:rPr>
        <w:t>主动公开</w:t>
      </w:r>
      <w:r>
        <w:rPr>
          <w:rFonts w:ascii="Times New Roman" w:eastAsia="方正仿宋_GBK" w:hAnsi="Times New Roman" w:hint="eastAsia"/>
          <w:color w:val="000000"/>
          <w:spacing w:val="-4"/>
          <w:sz w:val="32"/>
          <w:shd w:val="clear" w:color="auto" w:fill="auto"/>
        </w:rPr>
        <w:t>机构职能、机构设置、业务咨询渠道</w:t>
      </w:r>
      <w:r>
        <w:rPr>
          <w:rFonts w:ascii="Times New Roman" w:eastAsia="方正仿宋_GBK" w:hAnsi="Times New Roman"/>
          <w:color w:val="000000"/>
          <w:spacing w:val="-4"/>
          <w:sz w:val="32"/>
          <w:shd w:val="clear" w:color="auto" w:fill="auto"/>
        </w:rPr>
        <w:t>、行政执法决定、财务预决算</w:t>
      </w:r>
      <w:r>
        <w:rPr>
          <w:rFonts w:ascii="Times New Roman" w:eastAsia="方正仿宋_GBK" w:hAnsi="Times New Roman" w:hint="eastAsia"/>
          <w:color w:val="000000"/>
          <w:spacing w:val="-4"/>
          <w:sz w:val="32"/>
          <w:shd w:val="clear" w:color="auto" w:fill="auto"/>
        </w:rPr>
        <w:t>等信息</w:t>
      </w:r>
      <w:r>
        <w:rPr>
          <w:rFonts w:ascii="Times New Roman" w:eastAsia="方正仿宋_GBK" w:hAnsi="Times New Roman"/>
          <w:color w:val="000000"/>
          <w:spacing w:val="-4"/>
          <w:sz w:val="32"/>
          <w:shd w:val="clear" w:color="auto" w:fill="auto"/>
        </w:rPr>
        <w:t>，</w:t>
      </w:r>
      <w:r>
        <w:rPr>
          <w:rFonts w:ascii="Times New Roman" w:eastAsia="方正仿宋_GBK" w:hAnsi="Times New Roman" w:hint="eastAsia"/>
          <w:color w:val="000000"/>
          <w:spacing w:val="-4"/>
          <w:sz w:val="32"/>
          <w:shd w:val="clear" w:color="auto" w:fill="auto"/>
        </w:rPr>
        <w:t>主动发布行政许可、行政处罚</w:t>
      </w:r>
      <w:r>
        <w:rPr>
          <w:rFonts w:ascii="Times New Roman" w:eastAsia="方正仿宋_GBK" w:hAnsi="Times New Roman"/>
          <w:color w:val="000000"/>
          <w:spacing w:val="-4"/>
          <w:sz w:val="32"/>
          <w:shd w:val="clear" w:color="auto" w:fill="auto"/>
        </w:rPr>
        <w:t>、</w:t>
      </w:r>
      <w:r>
        <w:rPr>
          <w:rFonts w:ascii="Times New Roman" w:eastAsia="方正仿宋_GBK" w:hAnsi="Times New Roman" w:hint="eastAsia"/>
          <w:color w:val="000000"/>
          <w:spacing w:val="-4"/>
          <w:sz w:val="32"/>
          <w:shd w:val="clear" w:color="auto" w:fill="auto"/>
        </w:rPr>
        <w:t>“双随机、一公开”</w:t>
      </w:r>
      <w:r>
        <w:rPr>
          <w:rFonts w:ascii="Times New Roman" w:eastAsia="方正仿宋_GBK" w:hAnsi="Times New Roman"/>
          <w:color w:val="000000"/>
          <w:spacing w:val="-4"/>
          <w:sz w:val="32"/>
          <w:shd w:val="clear" w:color="auto" w:fill="auto"/>
        </w:rPr>
        <w:t>、</w:t>
      </w:r>
      <w:r>
        <w:rPr>
          <w:rFonts w:ascii="Times New Roman" w:eastAsia="方正仿宋_GBK" w:hAnsi="Times New Roman" w:hint="eastAsia"/>
          <w:color w:val="000000"/>
          <w:spacing w:val="-4"/>
          <w:sz w:val="32"/>
          <w:shd w:val="clear" w:color="auto" w:fill="auto"/>
        </w:rPr>
        <w:t>行政处罚案件公告送达</w:t>
      </w:r>
      <w:r>
        <w:rPr>
          <w:rFonts w:ascii="Times New Roman" w:eastAsia="方正仿宋_GBK" w:hAnsi="Times New Roman"/>
          <w:color w:val="000000"/>
          <w:spacing w:val="-4"/>
          <w:sz w:val="32"/>
          <w:shd w:val="clear" w:color="auto" w:fill="auto"/>
        </w:rPr>
        <w:t>、</w:t>
      </w:r>
      <w:r>
        <w:rPr>
          <w:rFonts w:ascii="Times New Roman" w:eastAsia="方正仿宋_GBK" w:hAnsi="Times New Roman" w:hint="eastAsia"/>
          <w:color w:val="000000"/>
          <w:spacing w:val="-4"/>
          <w:sz w:val="32"/>
          <w:shd w:val="clear" w:color="auto" w:fill="auto"/>
        </w:rPr>
        <w:t>财务预决算</w:t>
      </w:r>
      <w:r>
        <w:rPr>
          <w:rFonts w:ascii="Times New Roman" w:eastAsia="方正仿宋_GBK" w:hAnsi="Times New Roman"/>
          <w:color w:val="000000"/>
          <w:spacing w:val="-4"/>
          <w:sz w:val="32"/>
          <w:shd w:val="clear" w:color="auto" w:fill="auto"/>
        </w:rPr>
        <w:t>、涉案财务拍卖等信息</w:t>
      </w:r>
      <w:r>
        <w:rPr>
          <w:rFonts w:ascii="Times New Roman" w:eastAsia="方正仿宋_GBK" w:hAnsi="Times New Roman" w:hint="eastAsia"/>
          <w:color w:val="000000"/>
          <w:spacing w:val="-4"/>
          <w:sz w:val="32"/>
          <w:shd w:val="clear" w:color="auto" w:fill="auto"/>
        </w:rPr>
        <w:t>。</w:t>
      </w:r>
    </w:p>
    <w:p>
      <w:pPr>
        <w:pStyle w:val="71"/>
        <w:shd w:val="clear" w:color="auto" w:fill="auto"/>
        <w:adjustRightInd w:val="0"/>
        <w:snapToGrid w:val="0"/>
        <w:spacing w:line="560" w:lineRule="exact"/>
        <w:ind w:firstLineChars="200" w:firstLine="640"/>
        <w:jc w:val="both"/>
        <w:rPr>
          <w:rFonts w:ascii="Times New Roman" w:eastAsia="方正楷体_GBK" w:hAnsi="Times New Roman"/>
          <w:b/>
          <w:bCs/>
          <w:color w:val="000000"/>
          <w:sz w:val="32"/>
          <w:szCs w:val="32"/>
          <w:shd w:val="clear" w:color="auto" w:fill="auto"/>
        </w:rPr>
      </w:pPr>
      <w:r>
        <w:rPr>
          <w:rFonts w:ascii="Times New Roman" w:eastAsia="方正楷体_GBK" w:hAnsi="Times New Roman"/>
          <w:b/>
          <w:bCs/>
          <w:color w:val="000000"/>
          <w:sz w:val="32"/>
          <w:szCs w:val="32"/>
          <w:shd w:val="clear" w:color="auto" w:fill="auto"/>
        </w:rPr>
        <w:t>（二）</w:t>
      </w:r>
      <w:bookmarkStart w:id="2" w:name="_Hlk156219036"/>
      <w:r>
        <w:rPr>
          <w:rFonts w:ascii="Times New Roman" w:eastAsia="方正楷体_GBK" w:hAnsi="Times New Roman"/>
          <w:b/>
          <w:bCs/>
          <w:color w:val="000000"/>
          <w:sz w:val="32"/>
          <w:szCs w:val="32"/>
          <w:shd w:val="clear" w:color="auto" w:fill="auto"/>
        </w:rPr>
        <w:t>依申请</w:t>
      </w:r>
      <w:r>
        <w:rPr>
          <w:rFonts w:ascii="Times New Roman" w:eastAsia="方正楷体_GBK" w:hAnsi="Times New Roman" w:hint="eastAsia"/>
          <w:b/>
          <w:bCs/>
          <w:color w:val="000000"/>
          <w:sz w:val="32"/>
          <w:szCs w:val="32"/>
          <w:shd w:val="clear" w:color="auto" w:fill="auto"/>
        </w:rPr>
        <w:t>公开</w:t>
      </w:r>
      <w:bookmarkEnd w:id="2"/>
      <w:r>
        <w:rPr>
          <w:rFonts w:ascii="Times New Roman" w:eastAsia="方正楷体_GBK" w:hAnsi="Times New Roman"/>
          <w:b/>
          <w:bCs/>
          <w:color w:val="000000"/>
          <w:sz w:val="32"/>
          <w:szCs w:val="32"/>
          <w:shd w:val="clear" w:color="auto" w:fill="auto"/>
        </w:rPr>
        <w:t>方面。</w:t>
      </w:r>
    </w:p>
    <w:p>
      <w:pPr>
        <w:pStyle w:val="72"/>
        <w:shd w:val="clear" w:color="auto" w:fill="auto"/>
        <w:adjustRightInd w:val="0"/>
        <w:snapToGrid w:val="0"/>
        <w:ind w:firstLineChars="200" w:firstLine="624"/>
        <w:rPr>
          <w:rFonts w:hint="eastAsia"/>
          <w:color w:val="000000"/>
          <w:shd w:val="clear" w:color="auto" w:fill="auto"/>
        </w:rPr>
      </w:pPr>
      <w:r>
        <w:rPr>
          <w:color w:val="000000"/>
          <w:shd w:val="clear" w:color="auto" w:fill="auto"/>
        </w:rPr>
        <w:t>根据《中华人民共和国行政复议法》修订内容，及时明确依申请公开办理相关规范要求，保障申请人救济权利。严格按照</w:t>
      </w:r>
      <w:r>
        <w:rPr>
          <w:rFonts w:ascii="Times New Roman" w:eastAsia="方正仿宋_GBK" w:cs="Arial" w:hAnsi="Times New Roman" w:hint="eastAsia"/>
          <w:color w:val="000000"/>
          <w:sz w:val="32"/>
          <w:szCs w:val="32"/>
          <w:shd w:val="clear" w:color="auto" w:fill="auto"/>
        </w:rPr>
        <w:t>《中华人民共和国政府信息公开条例》</w:t>
      </w:r>
      <w:r>
        <w:rPr>
          <w:rFonts w:ascii="Times New Roman" w:eastAsia="方正仿宋_GBK" w:cs="Arial" w:hAnsi="Times New Roman"/>
          <w:color w:val="000000"/>
          <w:sz w:val="32"/>
          <w:szCs w:val="32"/>
          <w:shd w:val="clear" w:color="auto" w:fill="auto"/>
        </w:rPr>
        <w:t>规范办理依申请公开</w:t>
      </w:r>
      <w:r>
        <w:rPr>
          <w:rFonts w:hint="eastAsia"/>
          <w:color w:val="000000"/>
          <w:shd w:val="clear" w:color="auto" w:fill="auto"/>
        </w:rPr>
        <w:t>，</w:t>
      </w:r>
      <w:r>
        <w:rPr>
          <w:color w:val="000000"/>
          <w:shd w:val="clear" w:color="auto" w:fill="auto"/>
        </w:rPr>
        <w:t>多形式开展政府信息公开工作培训，提升政府信息公开工作人员业务能力，推动依申请公开办理全流程规范有序。年内共收到政府信息公开申请28件</w:t>
      </w:r>
      <w:r>
        <w:rPr>
          <w:rFonts w:hint="eastAsia"/>
          <w:color w:val="000000"/>
          <w:shd w:val="clear" w:color="auto" w:fill="auto"/>
        </w:rPr>
        <w:t>，</w:t>
      </w:r>
      <w:r>
        <w:rPr>
          <w:color w:val="000000"/>
          <w:shd w:val="clear" w:color="auto" w:fill="auto"/>
        </w:rPr>
        <w:t>暂未收到</w:t>
      </w:r>
      <w:r>
        <w:rPr>
          <w:rFonts w:hint="eastAsia"/>
          <w:color w:val="000000"/>
          <w:shd w:val="clear" w:color="auto" w:fill="auto"/>
        </w:rPr>
        <w:t>因政府信息公开引发的</w:t>
      </w:r>
      <w:r>
        <w:rPr>
          <w:color w:val="000000"/>
          <w:shd w:val="clear" w:color="auto" w:fill="auto"/>
        </w:rPr>
        <w:t>投诉、</w:t>
      </w:r>
      <w:r>
        <w:rPr>
          <w:rFonts w:hint="eastAsia"/>
          <w:color w:val="000000"/>
          <w:shd w:val="clear" w:color="auto" w:fill="auto"/>
        </w:rPr>
        <w:t>复议</w:t>
      </w:r>
      <w:r>
        <w:rPr>
          <w:color w:val="000000"/>
          <w:shd w:val="clear" w:color="auto" w:fill="auto"/>
        </w:rPr>
        <w:t>和诉讼，依申请公开办理专业性和规范性进一步提升。</w:t>
      </w:r>
    </w:p>
    <w:p>
      <w:pPr>
        <w:pStyle w:val="71"/>
        <w:shd w:val="clear" w:color="auto" w:fill="auto"/>
        <w:adjustRightInd w:val="0"/>
        <w:snapToGrid w:val="0"/>
        <w:spacing w:line="560" w:lineRule="exact"/>
        <w:ind w:firstLineChars="200" w:firstLine="640"/>
        <w:jc w:val="both"/>
        <w:rPr>
          <w:rFonts w:ascii="Times New Roman" w:eastAsia="方正楷体_GBK" w:hAnsi="Times New Roman"/>
          <w:b/>
          <w:bCs/>
          <w:color w:val="000000"/>
          <w:sz w:val="32"/>
          <w:szCs w:val="32"/>
          <w:shd w:val="clear" w:color="auto" w:fill="auto"/>
        </w:rPr>
      </w:pPr>
      <w:r>
        <w:rPr>
          <w:rFonts w:ascii="Times New Roman" w:eastAsia="方正楷体_GBK" w:hAnsi="Times New Roman"/>
          <w:b/>
          <w:bCs/>
          <w:color w:val="000000"/>
          <w:sz w:val="32"/>
          <w:szCs w:val="32"/>
          <w:shd w:val="clear" w:color="auto" w:fill="auto"/>
        </w:rPr>
        <w:t>（三）政府信息管理方面。</w:t>
      </w:r>
    </w:p>
    <w:p>
      <w:pPr>
        <w:pStyle w:val="71"/>
        <w:shd w:val="clear" w:color="auto" w:fill="auto"/>
        <w:adjustRightInd w:val="0"/>
        <w:snapToGrid w:val="0"/>
        <w:spacing w:line="560" w:lineRule="exact"/>
        <w:ind w:firstLineChars="200" w:firstLine="624"/>
        <w:jc w:val="both"/>
        <w:rPr>
          <w:rFonts w:ascii="Times New Roman" w:eastAsia="方正仿宋_GBK" w:hAnsi="Times New Roman"/>
          <w:bCs/>
          <w:color w:val="000000"/>
          <w:spacing w:val="-4"/>
          <w:sz w:val="32"/>
          <w:shd w:val="clear" w:color="auto" w:fill="auto"/>
        </w:rPr>
      </w:pPr>
      <w:r>
        <w:rPr>
          <w:rFonts w:ascii="Times New Roman" w:eastAsia="方正仿宋_GBK" w:hAnsi="Times New Roman"/>
          <w:bCs/>
          <w:color w:val="000000"/>
          <w:spacing w:val="-4"/>
          <w:sz w:val="32"/>
          <w:shd w:val="clear" w:color="auto" w:fill="auto"/>
        </w:rPr>
        <w:t>按</w:t>
      </w:r>
      <w:r>
        <w:rPr>
          <w:rFonts w:ascii="Times New Roman" w:eastAsia="方正仿宋_GBK" w:hAnsi="Times New Roman" w:hint="eastAsia"/>
          <w:bCs/>
          <w:color w:val="000000"/>
          <w:spacing w:val="-4"/>
          <w:sz w:val="32"/>
          <w:shd w:val="clear" w:color="auto" w:fill="auto"/>
        </w:rPr>
        <w:t>照</w:t>
      </w:r>
      <w:r>
        <w:rPr>
          <w:rFonts w:ascii="Times New Roman" w:eastAsia="方正仿宋_GBK" w:hAnsi="Times New Roman" w:hint="eastAsia"/>
          <w:bCs/>
          <w:color w:val="000000"/>
          <w:spacing w:val="-4"/>
          <w:sz w:val="32"/>
          <w:shd w:val="clear" w:color="auto" w:fill="auto"/>
          <w:lang w:val="en-US"/>
        </w:rPr>
        <w:t>“</w:t>
      </w:r>
      <w:r>
        <w:rPr>
          <w:rFonts w:ascii="Times New Roman" w:eastAsia="方正仿宋_GBK" w:hAnsi="Times New Roman" w:hint="eastAsia"/>
          <w:bCs/>
          <w:color w:val="000000"/>
          <w:spacing w:val="-4"/>
          <w:sz w:val="32"/>
          <w:shd w:val="clear" w:color="auto" w:fill="auto"/>
        </w:rPr>
        <w:t>谁制作、谁公开”“谁公开、谁审查”“先审查、后公开”原则，</w:t>
      </w:r>
      <w:r>
        <w:rPr>
          <w:rFonts w:ascii="Times New Roman" w:eastAsia="方正仿宋_GBK" w:hAnsi="Times New Roman"/>
          <w:bCs/>
          <w:color w:val="000000"/>
          <w:spacing w:val="-4"/>
          <w:sz w:val="32"/>
          <w:shd w:val="clear" w:color="auto" w:fill="auto"/>
        </w:rPr>
        <w:t>及时准确公开政府信息，保障企业群众依法获取政府信息，</w:t>
      </w:r>
      <w:r>
        <w:rPr>
          <w:rFonts w:ascii="Times New Roman" w:eastAsia="方正仿宋_GBK" w:hAnsi="Times New Roman" w:hint="eastAsia"/>
          <w:bCs/>
          <w:color w:val="000000"/>
          <w:spacing w:val="-4"/>
          <w:sz w:val="32"/>
          <w:shd w:val="clear" w:color="auto" w:fill="auto"/>
        </w:rPr>
        <w:t>严格</w:t>
      </w:r>
      <w:r>
        <w:rPr>
          <w:rFonts w:ascii="Times New Roman" w:eastAsia="方正仿宋_GBK" w:hAnsi="Times New Roman"/>
          <w:bCs/>
          <w:color w:val="000000"/>
          <w:spacing w:val="-4"/>
          <w:sz w:val="32"/>
          <w:shd w:val="clear" w:color="auto" w:fill="auto"/>
        </w:rPr>
        <w:t>落实</w:t>
      </w:r>
      <w:r>
        <w:rPr>
          <w:rFonts w:ascii="Times New Roman" w:eastAsia="方正仿宋_GBK" w:hAnsi="Times New Roman" w:hint="eastAsia"/>
          <w:bCs/>
          <w:color w:val="000000"/>
          <w:spacing w:val="-4"/>
          <w:sz w:val="32"/>
          <w:shd w:val="clear" w:color="auto" w:fill="auto"/>
        </w:rPr>
        <w:t>信息公开发布审查</w:t>
      </w:r>
      <w:r>
        <w:rPr>
          <w:rFonts w:ascii="Times New Roman" w:eastAsia="方正仿宋_GBK" w:hAnsi="Times New Roman"/>
          <w:bCs/>
          <w:color w:val="000000"/>
          <w:spacing w:val="-4"/>
          <w:sz w:val="32"/>
          <w:shd w:val="clear" w:color="auto" w:fill="auto"/>
        </w:rPr>
        <w:t>制度</w:t>
      </w:r>
      <w:r>
        <w:rPr>
          <w:rFonts w:ascii="Times New Roman" w:eastAsia="方正仿宋_GBK" w:hAnsi="Times New Roman" w:hint="eastAsia"/>
          <w:bCs/>
          <w:color w:val="000000"/>
          <w:spacing w:val="-4"/>
          <w:sz w:val="32"/>
          <w:shd w:val="clear" w:color="auto" w:fill="auto"/>
        </w:rPr>
        <w:t>。不定期</w:t>
      </w:r>
      <w:r>
        <w:rPr>
          <w:rFonts w:ascii="Times New Roman" w:eastAsia="方正仿宋_GBK" w:hAnsi="Times New Roman"/>
          <w:bCs/>
          <w:color w:val="000000"/>
          <w:spacing w:val="-4"/>
          <w:sz w:val="32"/>
          <w:shd w:val="clear" w:color="auto" w:fill="auto"/>
        </w:rPr>
        <w:t>对已公开信息进行自查</w:t>
      </w:r>
      <w:r>
        <w:rPr>
          <w:rFonts w:ascii="Times New Roman" w:eastAsia="方正仿宋_GBK" w:hAnsi="Times New Roman" w:hint="eastAsia"/>
          <w:bCs/>
          <w:color w:val="000000"/>
          <w:spacing w:val="-4"/>
          <w:sz w:val="32"/>
          <w:shd w:val="clear" w:color="auto" w:fill="auto"/>
        </w:rPr>
        <w:t>，</w:t>
      </w:r>
      <w:r>
        <w:rPr>
          <w:rFonts w:ascii="Times New Roman" w:eastAsia="方正仿宋_GBK" w:hAnsi="Times New Roman"/>
          <w:bCs/>
          <w:color w:val="000000"/>
          <w:spacing w:val="-4"/>
          <w:sz w:val="32"/>
          <w:shd w:val="clear" w:color="auto" w:fill="auto"/>
        </w:rPr>
        <w:t>接收公众监督，</w:t>
      </w:r>
      <w:r>
        <w:rPr>
          <w:rFonts w:ascii="Times New Roman" w:eastAsia="方正仿宋_GBK" w:hAnsi="Times New Roman" w:hint="eastAsia"/>
          <w:bCs/>
          <w:color w:val="000000"/>
          <w:spacing w:val="-4"/>
          <w:sz w:val="32"/>
          <w:shd w:val="clear" w:color="auto" w:fill="auto"/>
        </w:rPr>
        <w:t>对</w:t>
      </w:r>
      <w:r>
        <w:rPr>
          <w:rFonts w:ascii="Times New Roman" w:eastAsia="方正仿宋_GBK" w:hAnsi="Times New Roman"/>
          <w:bCs/>
          <w:color w:val="000000"/>
          <w:spacing w:val="-4"/>
          <w:sz w:val="32"/>
          <w:shd w:val="clear" w:color="auto" w:fill="auto"/>
        </w:rPr>
        <w:t>发现</w:t>
      </w:r>
      <w:r>
        <w:rPr>
          <w:rFonts w:ascii="Times New Roman" w:eastAsia="方正仿宋_GBK" w:hAnsi="Times New Roman" w:hint="eastAsia"/>
          <w:bCs/>
          <w:color w:val="000000"/>
          <w:spacing w:val="-4"/>
          <w:sz w:val="32"/>
          <w:shd w:val="clear" w:color="auto" w:fill="auto"/>
        </w:rPr>
        <w:t>问题</w:t>
      </w:r>
      <w:r>
        <w:rPr>
          <w:rFonts w:ascii="Times New Roman" w:eastAsia="方正仿宋_GBK" w:hAnsi="Times New Roman"/>
          <w:bCs/>
          <w:color w:val="000000"/>
          <w:spacing w:val="-4"/>
          <w:sz w:val="32"/>
          <w:shd w:val="clear" w:color="auto" w:fill="auto"/>
        </w:rPr>
        <w:t>及时进行整改</w:t>
      </w:r>
      <w:r>
        <w:rPr>
          <w:rFonts w:ascii="Times New Roman" w:eastAsia="方正仿宋_GBK" w:hAnsi="Times New Roman" w:hint="eastAsia"/>
          <w:bCs/>
          <w:color w:val="000000"/>
          <w:spacing w:val="-4"/>
          <w:sz w:val="32"/>
          <w:shd w:val="clear" w:color="auto" w:fill="auto"/>
        </w:rPr>
        <w:t>，</w:t>
      </w:r>
      <w:r>
        <w:rPr>
          <w:rFonts w:ascii="Times New Roman" w:eastAsia="方正仿宋_GBK" w:hAnsi="Times New Roman"/>
          <w:bCs/>
          <w:color w:val="000000"/>
          <w:spacing w:val="-4"/>
          <w:sz w:val="32"/>
          <w:shd w:val="clear" w:color="auto" w:fill="auto"/>
        </w:rPr>
        <w:t>提高政府信息公开工作规范水平。</w:t>
      </w:r>
    </w:p>
    <w:p>
      <w:pPr>
        <w:pStyle w:val="71"/>
        <w:shd w:val="clear" w:color="auto" w:fill="auto"/>
        <w:adjustRightInd w:val="0"/>
        <w:snapToGrid w:val="0"/>
        <w:spacing w:line="560" w:lineRule="exact"/>
        <w:ind w:firstLineChars="200" w:firstLine="640"/>
        <w:jc w:val="both"/>
        <w:rPr>
          <w:rFonts w:ascii="Times New Roman" w:eastAsia="方正楷体_GBK" w:hAnsi="Times New Roman"/>
          <w:b/>
          <w:bCs/>
          <w:color w:val="000000"/>
          <w:sz w:val="32"/>
          <w:szCs w:val="32"/>
          <w:shd w:val="clear" w:color="auto" w:fill="auto"/>
        </w:rPr>
      </w:pPr>
      <w:r>
        <w:rPr>
          <w:rFonts w:ascii="Times New Roman" w:eastAsia="方正楷体_GBK" w:hAnsi="Times New Roman"/>
          <w:b/>
          <w:bCs/>
          <w:color w:val="000000"/>
          <w:sz w:val="32"/>
          <w:szCs w:val="32"/>
          <w:shd w:val="clear" w:color="auto" w:fill="auto"/>
        </w:rPr>
        <w:t>（四）优化政务公开平台建设方面。</w:t>
      </w:r>
    </w:p>
    <w:p>
      <w:pPr>
        <w:pStyle w:val="71"/>
        <w:shd w:val="clear" w:color="auto" w:fill="auto"/>
        <w:adjustRightInd w:val="0"/>
        <w:snapToGrid w:val="0"/>
        <w:spacing w:line="560" w:lineRule="exact"/>
        <w:ind w:firstLineChars="200" w:firstLine="624"/>
        <w:jc w:val="both"/>
        <w:rPr>
          <w:rFonts w:ascii="Times New Roman" w:eastAsia="方正仿宋_GBK" w:hAnsi="Times New Roman"/>
          <w:bCs/>
          <w:color w:val="000000"/>
          <w:spacing w:val="-4"/>
          <w:sz w:val="32"/>
          <w:shd w:val="clear" w:color="auto" w:fill="auto"/>
        </w:rPr>
      </w:pPr>
      <w:r>
        <w:rPr>
          <w:rFonts w:ascii="Times New Roman" w:eastAsia="方正仿宋_GBK" w:hAnsi="Times New Roman"/>
          <w:b/>
          <w:bCs/>
          <w:color w:val="000000"/>
          <w:spacing w:val="-4"/>
          <w:sz w:val="32"/>
          <w:shd w:val="clear" w:color="auto" w:fill="auto"/>
        </w:rPr>
        <w:t>一是</w:t>
      </w:r>
      <w:r>
        <w:rPr>
          <w:rFonts w:ascii="Times New Roman" w:eastAsia="方正仿宋_GBK" w:hAnsi="Times New Roman" w:hint="eastAsia"/>
          <w:bCs/>
          <w:color w:val="000000"/>
          <w:spacing w:val="-4"/>
          <w:sz w:val="32"/>
          <w:shd w:val="clear" w:color="auto" w:fill="auto"/>
        </w:rPr>
        <w:t>开展“我陪群众走流程”政务服务提升行动，邀请企业作为“海关政策体验官”</w:t>
      </w:r>
      <w:r>
        <w:rPr>
          <w:rFonts w:ascii="Times New Roman" w:eastAsia="方正仿宋_GBK" w:hAnsi="Times New Roman"/>
          <w:bCs/>
          <w:color w:val="000000"/>
          <w:spacing w:val="-4"/>
          <w:sz w:val="32"/>
          <w:shd w:val="clear" w:color="auto" w:fill="auto"/>
        </w:rPr>
        <w:t>全流程</w:t>
      </w:r>
      <w:r>
        <w:rPr>
          <w:rFonts w:ascii="Times New Roman" w:eastAsia="方正仿宋_GBK" w:hAnsi="Times New Roman" w:hint="eastAsia"/>
          <w:bCs/>
          <w:color w:val="000000"/>
          <w:spacing w:val="-4"/>
          <w:sz w:val="32"/>
          <w:shd w:val="clear" w:color="auto" w:fill="auto"/>
        </w:rPr>
        <w:t>体验海关业务办理，及时收集办事企业</w:t>
      </w:r>
      <w:r>
        <w:rPr>
          <w:rFonts w:ascii="Times New Roman" w:eastAsia="方正仿宋_GBK" w:hAnsi="Times New Roman"/>
          <w:bCs/>
          <w:color w:val="000000"/>
          <w:spacing w:val="-4"/>
          <w:sz w:val="32"/>
          <w:shd w:val="clear" w:color="auto" w:fill="auto"/>
        </w:rPr>
        <w:t>群众意见建议</w:t>
      </w:r>
      <w:r>
        <w:rPr>
          <w:rFonts w:ascii="Times New Roman" w:eastAsia="方正仿宋_GBK" w:hAnsi="Times New Roman" w:hint="eastAsia"/>
          <w:bCs/>
          <w:color w:val="000000"/>
          <w:spacing w:val="-4"/>
          <w:sz w:val="32"/>
          <w:shd w:val="clear" w:color="auto" w:fill="auto"/>
        </w:rPr>
        <w:t>并优化调整办理流程，</w:t>
      </w:r>
      <w:r>
        <w:rPr>
          <w:rFonts w:ascii="Times New Roman" w:eastAsia="方正仿宋_GBK" w:hAnsi="Times New Roman"/>
          <w:bCs/>
          <w:color w:val="000000"/>
          <w:spacing w:val="-4"/>
          <w:sz w:val="32"/>
          <w:shd w:val="clear" w:color="auto" w:fill="auto"/>
        </w:rPr>
        <w:t>提升</w:t>
      </w:r>
      <w:r>
        <w:rPr>
          <w:rFonts w:ascii="Times New Roman" w:eastAsia="方正仿宋_GBK" w:hAnsi="Times New Roman" w:hint="eastAsia"/>
          <w:bCs/>
          <w:color w:val="000000"/>
          <w:spacing w:val="-4"/>
          <w:sz w:val="32"/>
          <w:shd w:val="clear" w:color="auto" w:fill="auto"/>
        </w:rPr>
        <w:t>办事体验</w:t>
      </w:r>
      <w:r>
        <w:rPr>
          <w:rFonts w:ascii="Times New Roman" w:eastAsia="方正仿宋_GBK" w:hAnsi="Times New Roman"/>
          <w:bCs/>
          <w:color w:val="000000"/>
          <w:spacing w:val="-4"/>
          <w:sz w:val="32"/>
          <w:shd w:val="clear" w:color="auto" w:fill="auto"/>
        </w:rPr>
        <w:t>。</w:t>
      </w:r>
      <w:r>
        <w:rPr>
          <w:rFonts w:ascii="Times New Roman" w:eastAsia="方正仿宋_GBK" w:hAnsi="Times New Roman"/>
          <w:b/>
          <w:bCs/>
          <w:color w:val="000000"/>
          <w:spacing w:val="-4"/>
          <w:sz w:val="32"/>
          <w:shd w:val="clear" w:color="auto" w:fill="auto"/>
          <w:lang w:val="en-US"/>
        </w:rPr>
        <w:t>二</w:t>
      </w:r>
      <w:r>
        <w:rPr>
          <w:rFonts w:ascii="Times New Roman" w:eastAsia="方正仿宋_GBK" w:hAnsi="Times New Roman" w:hint="eastAsia"/>
          <w:b/>
          <w:bCs/>
          <w:color w:val="000000"/>
          <w:spacing w:val="-4"/>
          <w:sz w:val="32"/>
          <w:shd w:val="clear" w:color="auto" w:fill="auto"/>
        </w:rPr>
        <w:t>是</w:t>
      </w:r>
      <w:r>
        <w:rPr>
          <w:rFonts w:ascii="Times New Roman" w:eastAsia="方正仿宋_GBK" w:hAnsi="Times New Roman" w:hint="eastAsia"/>
          <w:bCs/>
          <w:color w:val="000000"/>
          <w:spacing w:val="-4"/>
          <w:sz w:val="32"/>
          <w:shd w:val="clear" w:color="auto" w:fill="auto"/>
          <w:lang w:val="en-US"/>
        </w:rPr>
        <w:t>持续提升各</w:t>
      </w:r>
      <w:r>
        <w:rPr>
          <w:rFonts w:ascii="Times New Roman" w:eastAsia="方正仿宋_GBK" w:hAnsi="Times New Roman" w:hint="eastAsia"/>
          <w:bCs/>
          <w:color w:val="000000"/>
          <w:spacing w:val="-4"/>
          <w:sz w:val="32"/>
          <w:shd w:val="clear" w:color="auto" w:fill="auto"/>
        </w:rPr>
        <w:t>对外窗口</w:t>
      </w:r>
      <w:r>
        <w:rPr>
          <w:rFonts w:ascii="Times New Roman" w:eastAsia="方正仿宋_GBK" w:hAnsi="Times New Roman" w:hint="eastAsia"/>
          <w:bCs/>
          <w:color w:val="000000"/>
          <w:spacing w:val="-4"/>
          <w:sz w:val="32"/>
          <w:shd w:val="clear" w:color="auto" w:fill="auto"/>
          <w:lang w:val="en-US"/>
        </w:rPr>
        <w:t>服务水平</w:t>
      </w:r>
      <w:r>
        <w:rPr>
          <w:rFonts w:ascii="Times New Roman" w:eastAsia="方正仿宋_GBK" w:hAnsi="Times New Roman" w:hint="eastAsia"/>
          <w:bCs/>
          <w:color w:val="000000"/>
          <w:spacing w:val="-4"/>
          <w:sz w:val="32"/>
          <w:shd w:val="clear" w:color="auto" w:fill="auto"/>
        </w:rPr>
        <w:t>，强化窗口应对突发情况和化解矛盾纠纷的能力，</w:t>
      </w:r>
      <w:r>
        <w:rPr>
          <w:rFonts w:ascii="Times New Roman" w:eastAsia="方正仿宋_GBK" w:hAnsi="Times New Roman"/>
          <w:bCs/>
          <w:color w:val="000000"/>
          <w:spacing w:val="-4"/>
          <w:sz w:val="32"/>
          <w:shd w:val="clear" w:color="auto" w:fill="auto"/>
        </w:rPr>
        <w:t>深化</w:t>
      </w:r>
      <w:r>
        <w:rPr>
          <w:rFonts w:ascii="Times New Roman" w:eastAsia="方正仿宋_GBK" w:hAnsi="Times New Roman" w:hint="eastAsia"/>
          <w:bCs/>
          <w:color w:val="000000"/>
          <w:spacing w:val="-4"/>
          <w:sz w:val="32"/>
          <w:shd w:val="clear" w:color="auto" w:fill="auto"/>
        </w:rPr>
        <w:t>窗口作风建设。</w:t>
      </w:r>
      <w:r>
        <w:rPr>
          <w:rFonts w:ascii="Times New Roman" w:eastAsia="方正仿宋_GBK" w:hAnsi="Times New Roman"/>
          <w:b/>
          <w:bCs/>
          <w:color w:val="000000"/>
          <w:spacing w:val="-4"/>
          <w:sz w:val="32"/>
          <w:shd w:val="clear" w:color="auto" w:fill="auto"/>
        </w:rPr>
        <w:t>三</w:t>
      </w:r>
      <w:r>
        <w:rPr>
          <w:rFonts w:ascii="Times New Roman" w:eastAsia="方正仿宋_GBK" w:hAnsi="Times New Roman" w:hint="eastAsia"/>
          <w:b/>
          <w:bCs/>
          <w:color w:val="000000"/>
          <w:spacing w:val="-4"/>
          <w:sz w:val="32"/>
          <w:shd w:val="clear" w:color="auto" w:fill="auto"/>
        </w:rPr>
        <w:t>是</w:t>
      </w:r>
      <w:r>
        <w:rPr>
          <w:rFonts w:ascii="Times New Roman" w:eastAsia="方正仿宋_GBK" w:hAnsi="Times New Roman" w:hint="eastAsia"/>
          <w:bCs/>
          <w:color w:val="000000"/>
          <w:spacing w:val="-4"/>
          <w:sz w:val="32"/>
          <w:shd w:val="clear" w:color="auto" w:fill="auto"/>
        </w:rPr>
        <w:t>以“利企便民”为目标，</w:t>
      </w:r>
      <w:r>
        <w:rPr>
          <w:rFonts w:ascii="Times New Roman" w:eastAsia="方正仿宋_GBK" w:hAnsi="Times New Roman"/>
          <w:bCs/>
          <w:color w:val="000000"/>
          <w:spacing w:val="-4"/>
          <w:sz w:val="32"/>
          <w:shd w:val="clear" w:color="auto" w:fill="auto"/>
        </w:rPr>
        <w:t>不断优化</w:t>
      </w:r>
      <w:r>
        <w:rPr>
          <w:rFonts w:ascii="Times New Roman" w:eastAsia="方正仿宋_GBK" w:hAnsi="Times New Roman" w:hint="eastAsia"/>
          <w:bCs/>
          <w:color w:val="000000"/>
          <w:spacing w:val="-4"/>
          <w:sz w:val="32"/>
          <w:shd w:val="clear" w:color="auto" w:fill="auto"/>
        </w:rPr>
        <w:t>海关政务服务，针对性开展“海关进企业</w:t>
      </w:r>
      <w:r>
        <w:rPr>
          <w:rFonts w:ascii="Times New Roman" w:eastAsia="方正仿宋_GBK" w:hAnsi="Times New Roman" w:hint="eastAsia"/>
          <w:bCs/>
          <w:color w:val="000000"/>
          <w:spacing w:val="-4"/>
          <w:sz w:val="32"/>
          <w:shd w:val="clear" w:color="auto" w:fill="auto"/>
          <w:lang w:val="en-US"/>
        </w:rPr>
        <w:t>、</w:t>
      </w:r>
      <w:r>
        <w:rPr>
          <w:rFonts w:ascii="Times New Roman" w:eastAsia="方正仿宋_GBK" w:hAnsi="Times New Roman" w:hint="eastAsia"/>
          <w:bCs/>
          <w:color w:val="000000"/>
          <w:spacing w:val="-4"/>
          <w:sz w:val="32"/>
          <w:shd w:val="clear" w:color="auto" w:fill="auto"/>
        </w:rPr>
        <w:t>海关进社区</w:t>
      </w:r>
      <w:r>
        <w:rPr>
          <w:rFonts w:ascii="Times New Roman" w:eastAsia="方正仿宋_GBK" w:hAnsi="Times New Roman" w:hint="eastAsia"/>
          <w:bCs/>
          <w:color w:val="000000"/>
          <w:spacing w:val="-4"/>
          <w:sz w:val="32"/>
          <w:shd w:val="clear" w:color="auto" w:fill="auto"/>
          <w:lang w:val="en-US"/>
        </w:rPr>
        <w:t>、</w:t>
      </w:r>
      <w:r>
        <w:rPr>
          <w:rFonts w:ascii="Times New Roman" w:eastAsia="方正仿宋_GBK" w:hAnsi="Times New Roman" w:hint="eastAsia"/>
          <w:bCs/>
          <w:color w:val="000000"/>
          <w:spacing w:val="-4"/>
          <w:sz w:val="32"/>
          <w:shd w:val="clear" w:color="auto" w:fill="auto"/>
        </w:rPr>
        <w:t>海关进校园”</w:t>
      </w:r>
      <w:r>
        <w:rPr>
          <w:rFonts w:ascii="Times New Roman" w:eastAsia="方正仿宋_GBK" w:hAnsi="Times New Roman" w:hint="eastAsia"/>
          <w:bCs/>
          <w:color w:val="000000"/>
          <w:spacing w:val="-4"/>
          <w:sz w:val="32"/>
          <w:shd w:val="clear" w:color="auto" w:fill="auto"/>
          <w:lang w:val="en-US"/>
        </w:rPr>
        <w:t>——“三进”</w:t>
      </w:r>
      <w:r>
        <w:rPr>
          <w:rFonts w:ascii="Times New Roman" w:eastAsia="方正仿宋_GBK" w:hAnsi="Times New Roman" w:hint="eastAsia"/>
          <w:bCs/>
          <w:color w:val="000000"/>
          <w:spacing w:val="-4"/>
          <w:sz w:val="32"/>
          <w:shd w:val="clear" w:color="auto" w:fill="auto"/>
        </w:rPr>
        <w:t>品牌活动70余次，为辖区企业</w:t>
      </w:r>
      <w:r>
        <w:rPr>
          <w:rFonts w:ascii="Times New Roman" w:eastAsia="方正仿宋_GBK" w:hAnsi="Times New Roman"/>
          <w:bCs/>
          <w:color w:val="000000"/>
          <w:spacing w:val="-4"/>
          <w:sz w:val="32"/>
          <w:shd w:val="clear" w:color="auto" w:fill="auto"/>
        </w:rPr>
        <w:t>群众</w:t>
      </w:r>
      <w:r>
        <w:rPr>
          <w:rFonts w:ascii="Times New Roman" w:eastAsia="方正仿宋_GBK" w:hAnsi="Times New Roman" w:hint="eastAsia"/>
          <w:bCs/>
          <w:color w:val="000000"/>
          <w:spacing w:val="-4"/>
          <w:sz w:val="32"/>
          <w:shd w:val="clear" w:color="auto" w:fill="auto"/>
        </w:rPr>
        <w:t>提供商品准入、规范申报、货物通关、食品安全、AEO培育等相关政策宣讲服务</w:t>
      </w:r>
      <w:r>
        <w:rPr>
          <w:rFonts w:ascii="Times New Roman" w:eastAsia="方正仿宋_GBK" w:hAnsi="Times New Roman"/>
          <w:bCs/>
          <w:color w:val="000000"/>
          <w:spacing w:val="-4"/>
          <w:sz w:val="32"/>
          <w:shd w:val="clear" w:color="auto" w:fill="auto"/>
        </w:rPr>
        <w:t>。年内</w:t>
      </w:r>
      <w:r>
        <w:rPr>
          <w:rFonts w:ascii="Times New Roman" w:eastAsia="方正仿宋_GBK" w:hAnsi="Times New Roman" w:hint="eastAsia"/>
          <w:bCs/>
          <w:color w:val="000000"/>
          <w:spacing w:val="-4"/>
          <w:sz w:val="32"/>
          <w:shd w:val="clear" w:color="auto" w:fill="auto"/>
        </w:rPr>
        <w:t>共收到企业群众赠送锦旗26面、牌匾13块、感谢信6封。</w:t>
      </w:r>
    </w:p>
    <w:p>
      <w:pPr>
        <w:pStyle w:val="71"/>
        <w:shd w:val="clear" w:color="auto" w:fill="auto"/>
        <w:adjustRightInd w:val="0"/>
        <w:snapToGrid w:val="0"/>
        <w:spacing w:line="560" w:lineRule="exact"/>
        <w:ind w:firstLineChars="200" w:firstLine="640"/>
        <w:jc w:val="both"/>
        <w:rPr>
          <w:rFonts w:ascii="Times New Roman" w:eastAsia="方正楷体_GBK" w:hAnsi="Times New Roman"/>
          <w:b/>
          <w:bCs/>
          <w:color w:val="000000"/>
          <w:sz w:val="32"/>
          <w:szCs w:val="32"/>
          <w:shd w:val="clear" w:color="auto" w:fill="auto"/>
        </w:rPr>
      </w:pPr>
      <w:r>
        <w:rPr>
          <w:rFonts w:ascii="Times New Roman" w:eastAsia="方正楷体_GBK" w:hAnsi="Times New Roman"/>
          <w:b/>
          <w:bCs/>
          <w:color w:val="000000"/>
          <w:sz w:val="32"/>
          <w:szCs w:val="32"/>
          <w:shd w:val="clear" w:color="auto" w:fill="auto"/>
        </w:rPr>
        <w:t>（五）加强监督保障方面。</w:t>
      </w:r>
    </w:p>
    <w:p>
      <w:pPr>
        <w:pStyle w:val="71"/>
        <w:shd w:val="clear" w:color="auto" w:fill="auto"/>
        <w:adjustRightInd w:val="0"/>
        <w:snapToGrid w:val="0"/>
        <w:spacing w:line="560" w:lineRule="exact"/>
        <w:ind w:firstLineChars="200" w:firstLine="624"/>
        <w:jc w:val="both"/>
        <w:rPr>
          <w:rFonts w:ascii="Times New Roman" w:eastAsia="方正仿宋_GBK" w:hAnsi="Times New Roman" w:hint="eastAsia"/>
          <w:bCs/>
          <w:color w:val="000000"/>
          <w:spacing w:val="-4"/>
          <w:sz w:val="32"/>
          <w:shd w:val="clear" w:color="auto" w:fill="auto"/>
        </w:rPr>
      </w:pPr>
      <w:r>
        <w:rPr>
          <w:rFonts w:ascii="Times New Roman" w:eastAsia="方正仿宋_GBK" w:hAnsi="Times New Roman" w:hint="eastAsia"/>
          <w:bCs/>
          <w:color w:val="000000"/>
          <w:spacing w:val="-4"/>
          <w:sz w:val="32"/>
          <w:shd w:val="clear" w:color="auto" w:fill="auto"/>
        </w:rPr>
        <w:t>每月开展“关长接待日”活动，</w:t>
      </w:r>
      <w:r>
        <w:rPr>
          <w:rFonts w:ascii="Times New Roman" w:eastAsia="方正仿宋_GBK" w:hAnsi="Times New Roman" w:hint="eastAsia"/>
          <w:bCs/>
          <w:color w:val="000000"/>
          <w:spacing w:val="-4"/>
          <w:sz w:val="32"/>
          <w:shd w:val="clear" w:color="auto" w:fill="auto"/>
          <w:lang w:val="en-US"/>
        </w:rPr>
        <w:t>定期</w:t>
      </w:r>
      <w:r>
        <w:rPr>
          <w:rFonts w:ascii="Times New Roman" w:eastAsia="方正仿宋_GBK" w:hAnsi="Times New Roman" w:hint="eastAsia"/>
          <w:bCs/>
          <w:color w:val="000000"/>
          <w:spacing w:val="-4"/>
          <w:sz w:val="32"/>
          <w:shd w:val="clear" w:color="auto" w:fill="auto"/>
        </w:rPr>
        <w:t>公布活动信息，接待企业群众来访。畅通通关疑难</w:t>
      </w:r>
      <w:r>
        <w:rPr>
          <w:rFonts w:ascii="Times New Roman" w:eastAsia="方正仿宋_GBK" w:hAnsi="Times New Roman" w:hint="eastAsia"/>
          <w:bCs/>
          <w:color w:val="000000"/>
          <w:spacing w:val="-4"/>
          <w:sz w:val="32"/>
          <w:shd w:val="clear" w:color="auto" w:fill="auto"/>
          <w:lang w:val="en-US"/>
        </w:rPr>
        <w:t>问</w:t>
      </w:r>
      <w:r>
        <w:rPr>
          <w:rFonts w:ascii="Times New Roman" w:eastAsia="方正仿宋_GBK" w:hAnsi="Times New Roman" w:hint="eastAsia"/>
          <w:bCs/>
          <w:color w:val="000000"/>
          <w:spacing w:val="-4"/>
          <w:sz w:val="32"/>
          <w:shd w:val="clear" w:color="auto" w:fill="auto"/>
        </w:rPr>
        <w:t>题解决专窗、通关需求收集邮箱、对外咨询电话等疑难问题</w:t>
      </w:r>
      <w:r>
        <w:rPr>
          <w:rFonts w:ascii="Times New Roman" w:eastAsia="方正仿宋_GBK" w:hAnsi="Times New Roman"/>
          <w:bCs/>
          <w:color w:val="000000"/>
          <w:spacing w:val="-4"/>
          <w:sz w:val="32"/>
          <w:shd w:val="clear" w:color="auto" w:fill="auto"/>
        </w:rPr>
        <w:t>反映</w:t>
      </w:r>
      <w:r>
        <w:rPr>
          <w:rFonts w:ascii="Times New Roman" w:eastAsia="方正仿宋_GBK" w:hAnsi="Times New Roman" w:hint="eastAsia"/>
          <w:bCs/>
          <w:color w:val="000000"/>
          <w:spacing w:val="-4"/>
          <w:sz w:val="32"/>
          <w:shd w:val="clear" w:color="auto" w:fill="auto"/>
        </w:rPr>
        <w:t>解决渠道，接收企业群众监督，着力提升</w:t>
      </w:r>
      <w:r>
        <w:rPr>
          <w:rFonts w:ascii="Times New Roman" w:eastAsia="方正仿宋_GBK" w:hAnsi="Times New Roman"/>
          <w:bCs/>
          <w:color w:val="000000"/>
          <w:spacing w:val="-4"/>
          <w:sz w:val="32"/>
          <w:shd w:val="clear" w:color="auto" w:fill="auto"/>
        </w:rPr>
        <w:t>政务公开及政务</w:t>
      </w:r>
      <w:r>
        <w:rPr>
          <w:rFonts w:ascii="Times New Roman" w:eastAsia="方正仿宋_GBK" w:hAnsi="Times New Roman" w:hint="eastAsia"/>
          <w:bCs/>
          <w:color w:val="000000"/>
          <w:spacing w:val="-4"/>
          <w:sz w:val="32"/>
          <w:shd w:val="clear" w:color="auto" w:fill="auto"/>
        </w:rPr>
        <w:t>服务质量。</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本年</w:t>
            </w:r>
            <w:r>
              <w:rPr>
                <w:color w:val="000000"/>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本年废止件</w:t>
            </w:r>
            <w:r>
              <w:rPr>
                <w:color w:val="000000"/>
                <w:kern w:val="0"/>
                <w:sz w:val="24"/>
                <w:szCs w:val="24"/>
                <w:shd w:val="clear" w:color="auto" w:fill="auto"/>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2156"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2156"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s="宋体" w:hint="eastAsia"/>
                <w:color w:val="000000"/>
                <w:sz w:val="24"/>
                <w:szCs w:val="24"/>
                <w:shd w:val="clear" w:color="auto" w:fill="auto"/>
              </w:rPr>
            </w:pPr>
            <w:r>
              <w:rPr>
                <w:rFonts w:eastAsia="方正仿宋_GBK" w:cs="宋体"/>
                <w:color w:val="000000"/>
                <w:sz w:val="24"/>
                <w:szCs w:val="24"/>
                <w:shd w:val="clear" w:color="auto" w:fill="auto"/>
              </w:rPr>
              <w:t>31</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本年处理决定数量</w:t>
            </w:r>
          </w:p>
        </w:tc>
      </w:tr>
      <w:tr>
        <w:trPr>
          <w:trHeight w:val="452"/>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s="宋体" w:hint="eastAsia"/>
                <w:color w:val="000000"/>
                <w:sz w:val="24"/>
                <w:szCs w:val="24"/>
                <w:shd w:val="clear" w:color="auto" w:fill="auto"/>
              </w:rPr>
            </w:pPr>
            <w:r>
              <w:rPr>
                <w:rFonts w:eastAsia="方正仿宋_GBK" w:cs="宋体"/>
                <w:color w:val="000000"/>
                <w:sz w:val="24"/>
                <w:szCs w:val="24"/>
                <w:shd w:val="clear" w:color="auto" w:fill="auto"/>
              </w:rPr>
              <w:t>3999</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s="宋体" w:hint="eastAsia"/>
                <w:color w:val="000000"/>
                <w:sz w:val="24"/>
                <w:szCs w:val="24"/>
                <w:shd w:val="clear" w:color="auto" w:fill="auto"/>
              </w:rPr>
            </w:pPr>
            <w:r>
              <w:rPr>
                <w:rFonts w:eastAsia="方正仿宋_GBK" w:cs="宋体"/>
                <w:color w:val="000000"/>
                <w:sz w:val="24"/>
                <w:szCs w:val="24"/>
                <w:shd w:val="clear" w:color="auto" w:fill="auto"/>
              </w:rPr>
              <w:t>549</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shd w:val="clear" w:color="auto" w:fill="auto"/>
              <w:adjustRightInd w:val="0"/>
              <w:snapToGrid w:val="0"/>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adjustRightInd w:val="0"/>
              <w:snapToGrid w:val="0"/>
              <w:spacing w:line="560" w:lineRule="exact"/>
              <w:jc w:val="center"/>
              <w:rPr>
                <w:color w:val="000000"/>
                <w:shd w:val="clear" w:color="auto" w:fill="auto"/>
              </w:rPr>
            </w:pPr>
            <w:r>
              <w:rPr>
                <w:rFonts w:ascii="宋体" w:cs="宋体" w:hint="eastAsia"/>
                <w:color w:val="000000"/>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shd w:val="clear" w:color="auto" w:fill="auto"/>
              <w:spacing w:line="560" w:lineRule="exact"/>
              <w:jc w:val="center"/>
              <w:rPr>
                <w:rFonts w:eastAsia="方正仿宋_GBK" w:cs="宋体"/>
                <w:color w:val="000000"/>
                <w:sz w:val="24"/>
                <w:szCs w:val="24"/>
                <w:shd w:val="clear" w:color="auto" w:fill="auto"/>
              </w:rPr>
            </w:pPr>
            <w:r>
              <w:rPr>
                <w:rFonts w:eastAsia="方正仿宋_GBK" w:cs="宋体" w:hint="eastAsia"/>
                <w:color w:val="000000"/>
                <w:sz w:val="24"/>
                <w:szCs w:val="24"/>
                <w:shd w:val="clear" w:color="auto" w:fill="auto"/>
              </w:rPr>
              <w:t>0</w:t>
            </w:r>
          </w:p>
        </w:tc>
      </w:tr>
    </w:tbl>
    <w:p>
      <w:pPr>
        <w:pStyle w:val="232"/>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w:t>
      </w:r>
      <w:bookmarkStart w:id="3" w:name="_GoBack"/>
      <w:bookmarkEnd w:id="3"/>
      <w:r>
        <w:rPr>
          <w:rFonts w:eastAsia="方正仿宋_GBK" w:cs="方正黑体_GBK" w:hint="eastAsia"/>
          <w:kern w:val="2"/>
          <w:sz w:val="32"/>
          <w:szCs w:val="32"/>
          <w:shd w:val="clear" w:color="auto" w:fill="auto"/>
        </w:rPr>
        <w:t>不予许可决定、变更许可决定、延期（延续）许可决定、撤销许可决定、撤回许可决定等。</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hd w:val="clear" w:color="auto" w:fill="auto"/>
              </w:rPr>
            </w:pPr>
            <w:r>
              <w:rPr>
                <w:rFonts w:ascii="宋体" w:cs="宋体" w:hint="eastAsia"/>
                <w:color w:val="000000"/>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hd w:val="clear" w:color="auto" w:fill="auto"/>
              <w:spacing w:line="560" w:lineRule="exact"/>
              <w:jc w:val="left"/>
              <w:rPr>
                <w:color w:val="000000"/>
                <w:sz w:val="24"/>
                <w:szCs w:val="24"/>
                <w:shd w:val="clear" w:color="auto" w:fill="auto"/>
              </w:rPr>
            </w:pPr>
            <w:r>
              <w:rPr>
                <w:rFonts w:ascii="宋体" w:cs="宋体" w:hint="eastAsia"/>
                <w:color w:val="000000"/>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7</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hd w:val="clear" w:color="auto" w:fill="auto"/>
              <w:spacing w:line="560" w:lineRule="exact"/>
              <w:jc w:val="left"/>
              <w:rPr>
                <w:color w:val="000000"/>
                <w:sz w:val="24"/>
                <w:szCs w:val="24"/>
                <w:shd w:val="clear" w:color="auto" w:fill="auto"/>
              </w:rPr>
            </w:pPr>
            <w:r>
              <w:rPr>
                <w:rFonts w:ascii="宋体" w:cs="宋体" w:hint="eastAsia"/>
                <w:color w:val="000000"/>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left"/>
              <w:rPr>
                <w:color w:val="000000"/>
                <w:sz w:val="24"/>
                <w:szCs w:val="24"/>
                <w:shd w:val="clear" w:color="auto" w:fill="auto"/>
              </w:rPr>
            </w:pPr>
            <w:r>
              <w:rPr>
                <w:rFonts w:ascii="楷体" w:eastAsia="楷体" w:cs="楷体" w:hint="eastAsia"/>
                <w:color w:val="000000"/>
                <w:kern w:val="0"/>
                <w:sz w:val="24"/>
                <w:szCs w:val="24"/>
                <w:shd w:val="clear" w:color="auto" w:fill="auto"/>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5</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left"/>
              <w:rPr>
                <w:color w:val="000000"/>
                <w:sz w:val="24"/>
                <w:szCs w:val="24"/>
                <w:shd w:val="clear" w:color="auto" w:fill="auto"/>
              </w:rPr>
            </w:pPr>
            <w:r>
              <w:rPr>
                <w:rFonts w:ascii="楷体" w:eastAsia="楷体" w:cs="楷体" w:hint="eastAsia"/>
                <w:color w:val="000000"/>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9</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5</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5</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hd w:val="clear" w:color="auto" w:fill="auto"/>
              <w:spacing w:line="560" w:lineRule="exact"/>
              <w:rPr>
                <w:rFonts w:ascii="楷体" w:eastAsia="楷体" w:cs="楷体"/>
                <w:color w:val="000000"/>
                <w:kern w:val="0"/>
                <w:sz w:val="24"/>
                <w:szCs w:val="24"/>
                <w:shd w:val="clear" w:color="auto" w:fill="auto"/>
              </w:rPr>
            </w:pPr>
            <w:r>
              <w:rPr>
                <w:rFonts w:ascii="楷体" w:eastAsia="楷体" w:cs="楷体" w:hint="eastAsia"/>
                <w:color w:val="000000"/>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lang w:val="en-US"/>
              </w:rPr>
              <w:t>3</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hd w:val="clear" w:color="auto" w:fill="auto"/>
              <w:spacing w:line="560" w:lineRule="exact"/>
              <w:rPr>
                <w:rFonts w:ascii="楷体" w:eastAsia="楷体" w:cs="楷体"/>
                <w:color w:val="000000"/>
                <w:kern w:val="0"/>
                <w:sz w:val="24"/>
                <w:szCs w:val="24"/>
                <w:shd w:val="clear" w:color="auto" w:fill="auto"/>
              </w:rPr>
            </w:pPr>
            <w:r>
              <w:rPr>
                <w:rFonts w:ascii="楷体" w:eastAsia="楷体" w:cs="楷体" w:hint="eastAsia"/>
                <w:color w:val="000000"/>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hd w:val="clear" w:color="auto" w:fill="auto"/>
              <w:spacing w:line="560" w:lineRule="exact"/>
              <w:rPr>
                <w:rFonts w:ascii="楷体" w:eastAsia="楷体" w:cs="楷体"/>
                <w:color w:val="000000"/>
                <w:kern w:val="0"/>
                <w:sz w:val="24"/>
                <w:szCs w:val="24"/>
                <w:shd w:val="clear" w:color="auto" w:fill="auto"/>
              </w:rPr>
            </w:pPr>
            <w:r>
              <w:rPr>
                <w:rFonts w:ascii="楷体" w:eastAsia="楷体" w:cs="楷体" w:hint="eastAsia"/>
                <w:color w:val="000000"/>
                <w:kern w:val="0"/>
                <w:sz w:val="24"/>
                <w:szCs w:val="24"/>
                <w:shd w:val="clear" w:color="auto" w:fill="auto"/>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7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hd w:val="clear" w:color="auto" w:fill="auto"/>
              <w:spacing w:line="560" w:lineRule="exact"/>
              <w:rPr>
                <w:rFonts w:ascii="楷体" w:eastAsia="楷体" w:cs="楷体"/>
                <w:color w:val="000000"/>
                <w:kern w:val="0"/>
                <w:sz w:val="24"/>
                <w:szCs w:val="24"/>
                <w:shd w:val="clear" w:color="auto" w:fill="auto"/>
              </w:rPr>
            </w:pPr>
            <w:r>
              <w:rPr>
                <w:rFonts w:ascii="楷体" w:eastAsia="楷体" w:cs="楷体" w:hint="eastAsia"/>
                <w:color w:val="000000"/>
                <w:kern w:val="0"/>
                <w:sz w:val="24"/>
                <w:szCs w:val="24"/>
                <w:shd w:val="clear" w:color="auto" w:fill="auto"/>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4</w:t>
            </w:r>
          </w:p>
        </w:tc>
        <w:tc>
          <w:tcPr>
            <w:tcW w:w="67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750"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5</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rPr>
                <w:color w:val="000000"/>
                <w:sz w:val="24"/>
                <w:szCs w:val="24"/>
                <w:shd w:val="clear" w:color="auto" w:fill="auto"/>
              </w:rPr>
            </w:pPr>
            <w:r>
              <w:rPr>
                <w:rFonts w:ascii="楷体" w:eastAsia="楷体" w:cs="楷体" w:hint="eastAsia"/>
                <w:color w:val="000000"/>
                <w:kern w:val="0"/>
                <w:sz w:val="24"/>
                <w:szCs w:val="24"/>
                <w:shd w:val="clear" w:color="auto" w:fill="auto"/>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7</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28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left"/>
              <w:rPr>
                <w:color w:val="000000"/>
                <w:shd w:val="clear" w:color="auto" w:fill="auto"/>
              </w:rPr>
            </w:pPr>
            <w:r>
              <w:rPr>
                <w:rFonts w:ascii="宋体" w:cs="宋体" w:hint="eastAsia"/>
                <w:color w:val="000000"/>
                <w:kern w:val="0"/>
                <w:sz w:val="24"/>
                <w:szCs w:val="24"/>
                <w:shd w:val="clear" w:color="auto" w:fill="auto"/>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hint="eastAsia"/>
                <w:color w:val="000000"/>
                <w:sz w:val="24"/>
                <w:szCs w:val="24"/>
                <w:shd w:val="clear" w:color="auto" w:fill="auto"/>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hd w:val="clear" w:color="auto" w:fill="auto"/>
              <w:spacing w:line="560" w:lineRule="exact"/>
              <w:jc w:val="center"/>
              <w:rPr>
                <w:rFonts w:eastAsia="方正仿宋_GBK"/>
                <w:color w:val="000000"/>
                <w:sz w:val="24"/>
                <w:szCs w:val="24"/>
                <w:shd w:val="clear" w:color="auto" w:fill="auto"/>
              </w:rPr>
            </w:pPr>
            <w:r>
              <w:rPr>
                <w:rFonts w:eastAsia="方正仿宋_GBK"/>
                <w:color w:val="000000"/>
                <w:sz w:val="24"/>
                <w:szCs w:val="24"/>
                <w:shd w:val="clear" w:color="auto" w:fill="auto"/>
              </w:rPr>
              <w:t>1</w:t>
            </w:r>
          </w:p>
        </w:tc>
      </w:tr>
    </w:tbl>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4"/>
                <w:szCs w:val="24"/>
                <w:shd w:val="clear" w:color="auto" w:fill="auto"/>
              </w:rPr>
            </w:pPr>
            <w:r>
              <w:rPr>
                <w:rFonts w:ascii="宋体" w:cs="宋体" w:hint="eastAsia"/>
                <w:color w:val="000000"/>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color w:val="000000"/>
                <w:sz w:val="28"/>
                <w:szCs w:val="28"/>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color w:val="000000"/>
                <w:sz w:val="28"/>
                <w:szCs w:val="28"/>
                <w:shd w:val="clear" w:color="auto" w:fill="auto"/>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sz w:val="28"/>
                <w:szCs w:val="28"/>
                <w:shd w:val="clear" w:color="auto" w:fill="auto"/>
              </w:rPr>
            </w:pPr>
            <w:r>
              <w:rPr>
                <w:rFonts w:hint="eastAsia"/>
                <w:color w:val="000000"/>
                <w:sz w:val="28"/>
                <w:szCs w:val="28"/>
                <w:shd w:val="clear" w:color="auto" w:fill="auto"/>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kern w:val="0"/>
                <w:sz w:val="28"/>
                <w:szCs w:val="28"/>
                <w:shd w:val="clear" w:color="auto" w:fill="auto"/>
              </w:rPr>
            </w:pPr>
            <w:r>
              <w:rPr>
                <w:rFonts w:hint="eastAsia"/>
                <w:color w:val="000000"/>
                <w:kern w:val="0"/>
                <w:sz w:val="28"/>
                <w:szCs w:val="28"/>
                <w:shd w:val="clear" w:color="auto" w:fill="auto"/>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hd w:val="clear" w:color="auto" w:fill="auto"/>
              <w:spacing w:line="560" w:lineRule="exact"/>
              <w:jc w:val="center"/>
              <w:rPr>
                <w:color w:val="000000"/>
                <w:kern w:val="0"/>
                <w:sz w:val="28"/>
                <w:szCs w:val="28"/>
                <w:shd w:val="clear" w:color="auto" w:fill="auto"/>
              </w:rPr>
            </w:pPr>
            <w:r>
              <w:rPr>
                <w:rFonts w:hint="eastAsia"/>
                <w:color w:val="000000"/>
                <w:kern w:val="0"/>
                <w:sz w:val="28"/>
                <w:szCs w:val="28"/>
                <w:shd w:val="clear" w:color="auto" w:fill="auto"/>
              </w:rPr>
              <w:t>0</w:t>
            </w:r>
          </w:p>
        </w:tc>
      </w:tr>
    </w:tbl>
    <w:p>
      <w:pPr>
        <w:pStyle w:val="25"/>
        <w:widowControl/>
        <w:shd w:val="clear" w:color="auto" w:fill="auto"/>
        <w:spacing w:beforeAutospacing="0" w:afterAutospacing="0" w:line="560" w:lineRule="exact"/>
        <w:ind w:firstLineChars="200" w:firstLine="640"/>
        <w:jc w:val="both"/>
        <w:rPr>
          <w:rFonts w:ascii="方正黑体_GBK" w:eastAsia="方正黑体_GBK" w:cs="楷体_GB2312"/>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五、存在的主要问题及改进情况</w:t>
      </w:r>
    </w:p>
    <w:p>
      <w:pPr>
        <w:pStyle w:val="94"/>
        <w:shd w:val="clear" w:color="auto" w:fill="auto"/>
        <w:adjustRightInd w:val="0"/>
        <w:snapToGrid w:val="0"/>
        <w:ind w:firstLineChars="200" w:firstLine="624"/>
        <w:rPr>
          <w:rFonts w:ascii="方正楷体_GBK" w:eastAsia="方正楷体_GBK" w:hint="eastAsia"/>
          <w:b/>
          <w:bCs/>
          <w:color w:val="000000"/>
          <w:spacing w:val="-4"/>
          <w:sz w:val="32"/>
          <w:szCs w:val="20"/>
          <w:shd w:val="clear" w:color="auto" w:fill="auto"/>
        </w:rPr>
      </w:pPr>
      <w:r>
        <w:rPr>
          <w:rFonts w:ascii="方正楷体_GBK" w:eastAsia="方正楷体_GBK" w:hint="eastAsia"/>
          <w:b/>
          <w:bCs/>
          <w:color w:val="000000"/>
          <w:spacing w:val="-4"/>
          <w:sz w:val="32"/>
          <w:szCs w:val="20"/>
          <w:shd w:val="clear" w:color="auto" w:fill="auto"/>
        </w:rPr>
        <w:t>（一）</w:t>
      </w:r>
      <w:r>
        <w:rPr>
          <w:rFonts w:ascii="方正楷体_GBK" w:eastAsia="方正楷体_GBK"/>
          <w:b/>
          <w:bCs/>
          <w:color w:val="000000"/>
          <w:spacing w:val="-4"/>
          <w:sz w:val="32"/>
          <w:szCs w:val="20"/>
          <w:shd w:val="clear" w:color="auto" w:fill="auto"/>
        </w:rPr>
        <w:t>2023</w:t>
      </w:r>
      <w:r>
        <w:rPr>
          <w:rFonts w:ascii="方正楷体_GBK" w:eastAsia="方正楷体_GBK" w:hint="eastAsia"/>
          <w:b/>
          <w:bCs/>
          <w:color w:val="000000"/>
          <w:spacing w:val="-4"/>
          <w:sz w:val="32"/>
          <w:szCs w:val="20"/>
          <w:shd w:val="clear" w:color="auto" w:fill="auto"/>
        </w:rPr>
        <w:t>年年报中所提问题整改情况。</w:t>
      </w:r>
    </w:p>
    <w:p>
      <w:pPr>
        <w:pStyle w:val="94"/>
        <w:shd w:val="clear" w:color="auto" w:fill="auto"/>
        <w:adjustRightInd w:val="0"/>
        <w:snapToGrid w:val="0"/>
        <w:ind w:firstLineChars="200" w:firstLine="624"/>
        <w:rPr>
          <w:color w:val="000000"/>
          <w:shd w:val="clear" w:color="auto" w:fill="auto"/>
        </w:rPr>
      </w:pPr>
      <w:r>
        <w:rPr>
          <w:color w:val="000000"/>
          <w:shd w:val="clear" w:color="auto" w:fill="auto"/>
          <w:lang w:val="en-US"/>
        </w:rPr>
        <w:t>南沙海关2023年年报中提出以下问题：</w:t>
      </w:r>
      <w:r>
        <w:rPr>
          <w:b/>
          <w:bCs/>
          <w:color w:val="000000"/>
          <w:shd w:val="clear" w:color="auto" w:fill="auto"/>
        </w:rPr>
        <w:t>一是</w:t>
      </w:r>
      <w:r>
        <w:rPr>
          <w:color w:val="000000"/>
          <w:shd w:val="clear" w:color="auto" w:fill="auto"/>
        </w:rPr>
        <w:t>随着关区业务量快速增长，2023年</w:t>
      </w:r>
      <w:r>
        <w:rPr>
          <w:rFonts w:hint="eastAsia"/>
          <w:color w:val="000000"/>
          <w:shd w:val="clear" w:color="auto" w:fill="auto"/>
        </w:rPr>
        <w:t>政府信息</w:t>
      </w:r>
      <w:r>
        <w:rPr>
          <w:color w:val="000000"/>
          <w:shd w:val="clear" w:color="auto" w:fill="auto"/>
        </w:rPr>
        <w:t>公开</w:t>
      </w:r>
      <w:r>
        <w:rPr>
          <w:rFonts w:hint="eastAsia"/>
          <w:color w:val="000000"/>
          <w:shd w:val="clear" w:color="auto" w:fill="auto"/>
        </w:rPr>
        <w:t>申请</w:t>
      </w:r>
      <w:r>
        <w:rPr>
          <w:color w:val="000000"/>
          <w:shd w:val="clear" w:color="auto" w:fill="auto"/>
        </w:rPr>
        <w:t>数量大幅增长，需全面提升依申请公开</w:t>
      </w:r>
      <w:r>
        <w:rPr>
          <w:rFonts w:hint="eastAsia"/>
          <w:color w:val="000000"/>
          <w:shd w:val="clear" w:color="auto" w:fill="auto"/>
        </w:rPr>
        <w:t>办理</w:t>
      </w:r>
      <w:r>
        <w:rPr>
          <w:color w:val="000000"/>
          <w:shd w:val="clear" w:color="auto" w:fill="auto"/>
        </w:rPr>
        <w:t>规范性</w:t>
      </w:r>
      <w:r>
        <w:rPr>
          <w:rFonts w:hint="eastAsia"/>
          <w:color w:val="000000"/>
          <w:shd w:val="clear" w:color="auto" w:fill="auto"/>
        </w:rPr>
        <w:t>，依法依规满足群众需求</w:t>
      </w:r>
      <w:r>
        <w:rPr>
          <w:color w:val="000000"/>
          <w:shd w:val="clear" w:color="auto" w:fill="auto"/>
        </w:rPr>
        <w:t>。</w:t>
      </w:r>
      <w:r>
        <w:rPr>
          <w:b/>
          <w:bCs/>
          <w:color w:val="000000"/>
          <w:shd w:val="clear" w:color="auto" w:fill="auto"/>
        </w:rPr>
        <w:t>二是</w:t>
      </w:r>
      <w:r>
        <w:rPr>
          <w:color w:val="000000"/>
          <w:shd w:val="clear" w:color="auto" w:fill="auto"/>
        </w:rPr>
        <w:t>随着基层政务公开标准化规范化工作深入开展，需加强对政务公开人员的专业能力培养，提升队伍的综合素质。</w:t>
      </w:r>
    </w:p>
    <w:p>
      <w:pPr>
        <w:pStyle w:val="16"/>
        <w:shd w:val="clear" w:color="auto" w:fill="auto"/>
        <w:tabs>
          <w:tab w:val="center" w:pos="4153"/>
          <w:tab w:val="right" w:pos="8306"/>
        </w:tabs>
        <w:spacing w:line="560" w:lineRule="exact"/>
        <w:ind w:firstLineChars="200" w:firstLine="624"/>
        <w:jc w:val="both"/>
        <w:rPr>
          <w:bCs/>
          <w:color w:val="000000"/>
          <w:spacing w:val="-4"/>
          <w:sz w:val="32"/>
          <w:szCs w:val="20"/>
          <w:shd w:val="clear" w:color="auto" w:fill="auto"/>
        </w:rPr>
      </w:pPr>
      <w:r>
        <w:rPr>
          <w:bCs/>
          <w:color w:val="000000"/>
          <w:spacing w:val="-4"/>
          <w:sz w:val="32"/>
          <w:szCs w:val="20"/>
          <w:shd w:val="clear" w:color="auto" w:fill="auto"/>
          <w:lang w:val="en-US"/>
        </w:rPr>
        <w:t>上述问题在2024年均已采取措施完成整改：</w:t>
      </w:r>
      <w:r>
        <w:rPr>
          <w:b/>
          <w:bCs/>
          <w:color w:val="000000"/>
          <w:spacing w:val="-4"/>
          <w:sz w:val="32"/>
          <w:szCs w:val="20"/>
          <w:shd w:val="clear" w:color="auto" w:fill="auto"/>
          <w:lang w:val="en-US"/>
        </w:rPr>
        <w:t>一是</w:t>
      </w:r>
      <w:r>
        <w:rPr>
          <w:bCs/>
          <w:color w:val="000000"/>
          <w:spacing w:val="-4"/>
          <w:sz w:val="32"/>
          <w:szCs w:val="20"/>
          <w:shd w:val="clear" w:color="auto" w:fill="auto"/>
        </w:rPr>
        <w:t>进一步强化政府信息公开工作，加强对岗位人员培训教育，提升依申请公开办理专业性和规范性，依法依规满足申请人合理需求</w:t>
      </w:r>
      <w:r>
        <w:rPr>
          <w:rFonts w:hint="eastAsia"/>
          <w:bCs/>
          <w:color w:val="000000"/>
          <w:spacing w:val="-4"/>
          <w:sz w:val="32"/>
          <w:szCs w:val="20"/>
          <w:shd w:val="clear" w:color="auto" w:fill="auto"/>
        </w:rPr>
        <w:t>。</w:t>
      </w:r>
      <w:r>
        <w:rPr>
          <w:rFonts w:hint="eastAsia"/>
          <w:b/>
          <w:bCs/>
          <w:color w:val="000000"/>
          <w:spacing w:val="-4"/>
          <w:sz w:val="32"/>
          <w:szCs w:val="20"/>
          <w:shd w:val="clear" w:color="auto" w:fill="auto"/>
        </w:rPr>
        <w:t>二是</w:t>
      </w:r>
      <w:r>
        <w:rPr>
          <w:bCs/>
          <w:color w:val="000000"/>
          <w:spacing w:val="-4"/>
          <w:sz w:val="32"/>
          <w:szCs w:val="20"/>
          <w:shd w:val="clear" w:color="auto" w:fill="auto"/>
        </w:rPr>
        <w:t>着力培养年轻</w:t>
      </w:r>
      <w:r>
        <w:rPr>
          <w:rFonts w:hint="eastAsia"/>
          <w:bCs/>
          <w:color w:val="000000"/>
          <w:spacing w:val="-4"/>
          <w:sz w:val="32"/>
          <w:szCs w:val="20"/>
          <w:shd w:val="clear" w:color="auto" w:fill="auto"/>
        </w:rPr>
        <w:t>政务公开</w:t>
      </w:r>
      <w:r>
        <w:rPr>
          <w:bCs/>
          <w:color w:val="000000"/>
          <w:spacing w:val="-4"/>
          <w:sz w:val="32"/>
          <w:szCs w:val="20"/>
          <w:shd w:val="clear" w:color="auto" w:fill="auto"/>
        </w:rPr>
        <w:t>干部</w:t>
      </w:r>
      <w:r>
        <w:rPr>
          <w:rFonts w:hint="eastAsia"/>
          <w:bCs/>
          <w:color w:val="000000"/>
          <w:spacing w:val="-4"/>
          <w:sz w:val="32"/>
          <w:szCs w:val="20"/>
          <w:shd w:val="clear" w:color="auto" w:fill="auto"/>
        </w:rPr>
        <w:t>，</w:t>
      </w:r>
      <w:r>
        <w:rPr>
          <w:bCs/>
          <w:color w:val="000000"/>
          <w:spacing w:val="-4"/>
          <w:sz w:val="32"/>
          <w:szCs w:val="20"/>
          <w:shd w:val="clear" w:color="auto" w:fill="auto"/>
        </w:rPr>
        <w:t>做好岗位人员交接及</w:t>
      </w:r>
      <w:r>
        <w:rPr>
          <w:rFonts w:hint="eastAsia"/>
          <w:bCs/>
          <w:color w:val="000000"/>
          <w:spacing w:val="-4"/>
          <w:sz w:val="32"/>
          <w:szCs w:val="20"/>
          <w:shd w:val="clear" w:color="auto" w:fill="auto"/>
        </w:rPr>
        <w:t>“</w:t>
      </w:r>
      <w:r>
        <w:rPr>
          <w:bCs/>
          <w:color w:val="000000"/>
          <w:spacing w:val="-4"/>
          <w:sz w:val="32"/>
          <w:szCs w:val="20"/>
          <w:shd w:val="clear" w:color="auto" w:fill="auto"/>
        </w:rPr>
        <w:t>传帮带</w:t>
      </w:r>
      <w:r>
        <w:rPr>
          <w:rFonts w:hint="eastAsia"/>
          <w:bCs/>
          <w:color w:val="000000"/>
          <w:spacing w:val="-4"/>
          <w:sz w:val="32"/>
          <w:szCs w:val="20"/>
          <w:shd w:val="clear" w:color="auto" w:fill="auto"/>
        </w:rPr>
        <w:t>”</w:t>
      </w:r>
      <w:r>
        <w:rPr>
          <w:bCs/>
          <w:color w:val="000000"/>
          <w:spacing w:val="-4"/>
          <w:sz w:val="32"/>
          <w:szCs w:val="20"/>
          <w:shd w:val="clear" w:color="auto" w:fill="auto"/>
        </w:rPr>
        <w:t>，进一步强化人</w:t>
      </w:r>
      <w:r>
        <w:rPr>
          <w:rFonts w:hint="eastAsia"/>
          <w:bCs/>
          <w:color w:val="000000"/>
          <w:spacing w:val="-4"/>
          <w:sz w:val="32"/>
          <w:szCs w:val="20"/>
          <w:shd w:val="clear" w:color="auto" w:fill="auto"/>
        </w:rPr>
        <w:t>才梯队建设。</w:t>
      </w:r>
    </w:p>
    <w:p>
      <w:pPr>
        <w:pStyle w:val="34"/>
        <w:shd w:val="clear" w:color="auto" w:fill="auto"/>
        <w:adjustRightInd w:val="0"/>
        <w:snapToGrid w:val="0"/>
        <w:ind w:left="640" w:firstLine="0"/>
        <w:rPr>
          <w:color w:val="000000"/>
          <w:shd w:val="clear" w:color="auto" w:fill="auto"/>
        </w:rPr>
      </w:pPr>
      <w:r>
        <w:rPr>
          <w:rFonts w:ascii="方正楷体_GBK" w:eastAsia="方正楷体_GBK"/>
          <w:b/>
          <w:bCs/>
          <w:color w:val="000000"/>
          <w:shd w:val="clear" w:color="auto" w:fill="auto"/>
        </w:rPr>
        <w:t>（二）</w:t>
      </w:r>
      <w:r>
        <w:rPr>
          <w:rFonts w:ascii="方正楷体_GBK" w:eastAsia="方正楷体_GBK" w:hint="eastAsia"/>
          <w:b/>
          <w:bCs/>
          <w:color w:val="000000"/>
          <w:shd w:val="clear" w:color="auto" w:fill="auto"/>
        </w:rPr>
        <w:t>目前存在问题。</w:t>
      </w:r>
    </w:p>
    <w:p>
      <w:pPr>
        <w:pStyle w:val="34"/>
        <w:shd w:val="clear" w:color="auto" w:fill="auto"/>
        <w:adjustRightInd w:val="0"/>
        <w:snapToGrid w:val="0"/>
        <w:ind w:firstLineChars="200" w:firstLine="624"/>
        <w:rPr>
          <w:color w:val="000000"/>
          <w:shd w:val="clear" w:color="auto" w:fill="auto"/>
        </w:rPr>
      </w:pPr>
      <w:r>
        <w:rPr>
          <w:color w:val="000000"/>
          <w:shd w:val="clear" w:color="auto" w:fill="auto"/>
          <w:lang w:val="en-US"/>
        </w:rPr>
        <w:t>窗口服务质量高低直接关系企业群众办事体验，</w:t>
      </w:r>
      <w:r>
        <w:rPr>
          <w:color w:val="000000"/>
          <w:shd w:val="clear" w:color="auto" w:fill="auto"/>
        </w:rPr>
        <w:t>随着关区业务体量</w:t>
      </w:r>
      <w:r>
        <w:rPr>
          <w:color w:val="000000"/>
          <w:shd w:val="clear" w:color="auto" w:fill="auto"/>
          <w:lang w:val="en-US"/>
        </w:rPr>
        <w:t>不断</w:t>
      </w:r>
      <w:r>
        <w:rPr>
          <w:color w:val="000000"/>
          <w:shd w:val="clear" w:color="auto" w:fill="auto"/>
        </w:rPr>
        <w:t>增大，各业务现场窗口咨询和电话咨询量相应增多，关区整体咨询服务质效仍存在进一步优化空间。</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color w:val="000000"/>
          <w:sz w:val="32"/>
          <w:szCs w:val="32"/>
          <w:shd w:val="clear" w:color="auto" w:fill="auto"/>
        </w:rPr>
      </w:pPr>
      <w:r>
        <w:rPr>
          <w:rFonts w:ascii="方正黑体_GBK" w:eastAsia="方正黑体_GBK" w:cs="楷体_GB2312" w:hint="eastAsia"/>
          <w:bCs/>
          <w:color w:val="000000"/>
          <w:sz w:val="32"/>
          <w:szCs w:val="32"/>
          <w:shd w:val="clear" w:color="auto" w:fill="auto"/>
        </w:rPr>
        <w:t>六、其他需要报告的事项</w:t>
      </w:r>
      <w:bookmarkEnd w:id="1"/>
    </w:p>
    <w:p>
      <w:pPr>
        <w:pStyle w:val="77"/>
        <w:shd w:val="clear" w:color="auto" w:fill="auto"/>
        <w:tabs>
          <w:tab w:val="center" w:pos="4153"/>
          <w:tab w:val="right" w:pos="8306"/>
        </w:tabs>
        <w:spacing w:line="560" w:lineRule="exact"/>
        <w:ind w:firstLineChars="200" w:firstLine="624"/>
        <w:jc w:val="both"/>
        <w:rPr>
          <w:bCs/>
          <w:color w:val="000000"/>
          <w:spacing w:val="-4"/>
          <w:sz w:val="32"/>
          <w:szCs w:val="20"/>
          <w:shd w:val="clear" w:color="auto" w:fill="auto"/>
        </w:rPr>
      </w:pPr>
      <w:r>
        <w:rPr>
          <w:rFonts w:hint="eastAsia"/>
          <w:bCs/>
          <w:color w:val="000000"/>
          <w:spacing w:val="-4"/>
          <w:sz w:val="32"/>
          <w:szCs w:val="20"/>
          <w:shd w:val="clear" w:color="auto" w:fill="auto"/>
        </w:rPr>
        <w:t>南沙海关</w:t>
      </w:r>
      <w:r>
        <w:rPr>
          <w:bCs/>
          <w:color w:val="000000"/>
          <w:spacing w:val="-4"/>
          <w:sz w:val="32"/>
          <w:szCs w:val="20"/>
          <w:shd w:val="clear" w:color="auto" w:fill="auto"/>
        </w:rPr>
        <w:t>严格按</w:t>
      </w:r>
      <w:r>
        <w:rPr>
          <w:rFonts w:hint="eastAsia"/>
          <w:bCs/>
          <w:color w:val="000000"/>
          <w:spacing w:val="-4"/>
          <w:sz w:val="32"/>
          <w:szCs w:val="20"/>
          <w:shd w:val="clear" w:color="auto" w:fill="auto"/>
        </w:rPr>
        <w:t>照《国务院办公厅关于印发〈政府信息公开信息处理费管理办法〉的通知》，</w:t>
      </w:r>
      <w:r>
        <w:rPr>
          <w:bCs/>
          <w:color w:val="000000"/>
          <w:spacing w:val="-4"/>
          <w:sz w:val="32"/>
          <w:szCs w:val="20"/>
          <w:shd w:val="clear" w:color="auto" w:fill="auto"/>
        </w:rPr>
        <w:t>规范政府信息公开</w:t>
      </w:r>
      <w:r>
        <w:rPr>
          <w:rFonts w:hint="eastAsia"/>
          <w:bCs/>
          <w:color w:val="000000"/>
          <w:spacing w:val="-4"/>
          <w:sz w:val="32"/>
          <w:szCs w:val="20"/>
          <w:shd w:val="clear" w:color="auto" w:fill="auto"/>
        </w:rPr>
        <w:t>信息处理费</w:t>
      </w:r>
      <w:r>
        <w:rPr>
          <w:bCs/>
          <w:color w:val="000000"/>
          <w:spacing w:val="-4"/>
          <w:sz w:val="32"/>
          <w:szCs w:val="20"/>
          <w:shd w:val="clear" w:color="auto" w:fill="auto"/>
        </w:rPr>
        <w:t>收取工作，2024</w:t>
      </w:r>
      <w:r>
        <w:rPr>
          <w:rFonts w:hint="eastAsia"/>
          <w:bCs/>
          <w:color w:val="000000"/>
          <w:spacing w:val="-4"/>
          <w:sz w:val="32"/>
          <w:szCs w:val="20"/>
          <w:shd w:val="clear" w:color="auto" w:fill="auto"/>
        </w:rPr>
        <w:t>年</w:t>
      </w:r>
      <w:r>
        <w:rPr>
          <w:bCs/>
          <w:color w:val="000000"/>
          <w:spacing w:val="-4"/>
          <w:sz w:val="32"/>
          <w:szCs w:val="20"/>
          <w:shd w:val="clear" w:color="auto" w:fill="auto"/>
        </w:rPr>
        <w:t>未收取</w:t>
      </w:r>
      <w:r>
        <w:rPr>
          <w:rFonts w:hint="eastAsia"/>
          <w:bCs/>
          <w:color w:val="000000"/>
          <w:spacing w:val="-4"/>
          <w:sz w:val="32"/>
          <w:szCs w:val="20"/>
          <w:shd w:val="clear" w:color="auto" w:fill="auto"/>
        </w:rPr>
        <w:t>政府信息公开</w:t>
      </w:r>
      <w:r>
        <w:rPr>
          <w:bCs/>
          <w:color w:val="000000"/>
          <w:spacing w:val="-4"/>
          <w:sz w:val="32"/>
          <w:szCs w:val="20"/>
          <w:shd w:val="clear" w:color="auto" w:fill="auto"/>
        </w:rPr>
        <w:t>信息处理费。</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script"/>
    <w:pitch w:val="variable"/>
    <w:sig w:usb0="00000001" w:usb1="080E0000" w:usb2="00000010" w:usb3="00000000" w:csb0="00040000" w:csb1="00000000"/>
  </w:font>
  <w:font w:name="方正黑体_GBK">
    <w:altName w:val="微软雅黑"/>
    <w:panose1 w:val="00000000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000020304"/>
    <w:charset w:val="00"/>
    <w:family w:val="roman"/>
    <w:pitch w:val="variable"/>
    <w:sig w:usb0="E0002EFF" w:usb1="C000785B" w:usb2="00000009" w:usb3="00000000" w:csb0="000001FF" w:csb1="00000000"/>
  </w:font>
  <w:font w:name="方正仿宋_GBK">
    <w:altName w:val="微软雅黑"/>
    <w:panose1 w:val="00000000000000000000"/>
    <w:charset w:val="86"/>
    <w:family w:val="script"/>
    <w:pitch w:val="variable"/>
    <w:sig w:usb0="00000001" w:usb1="080E0000" w:usb2="00000010" w:usb3="00000000" w:csb0="00040000" w:csb1="00000000"/>
  </w:font>
  <w:font w:name="Arial">
    <w:panose1 w:val="020B0604020000020204"/>
    <w:charset w:val="00"/>
    <w:family w:val="swiss"/>
    <w:pitch w:val="variable"/>
    <w:sig w:usb0="E0002EFF" w:usb1="C000785B" w:usb2="00000009" w:usb3="00000000" w:csb0="000001FF" w:csb1="00000000"/>
  </w:font>
  <w:font w:name="方正楷体_GBK">
    <w:altName w:val="微软雅黑"/>
    <w:panose1 w:val="00000000000000000000"/>
    <w:charset w:val="86"/>
    <w:family w:val="script"/>
    <w:pitch w:val="variable"/>
    <w:sig w:usb0="00000001" w:usb1="080E0000" w:usb2="00000010" w:usb3="00000000" w:csb0="00040000" w:csb1="00000000"/>
  </w:font>
  <w:font w:name="宋体">
    <w:altName w:val="SimSun"/>
    <w:panose1 w:val="02010600030000010101"/>
    <w:charset w:val="86"/>
    <w:family w:val="auto"/>
    <w:pitch w:val="variable"/>
    <w:sig w:usb0="00000003" w:usb1="288F0000" w:usb2="00000016" w:usb3="00000000" w:csb0="00040001" w:csb1="00000000"/>
  </w:font>
  <w:font w:name="楷体">
    <w:panose1 w:val="02010609060000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next w:val="0"/>
    <w:pPr>
      <w:ind w:left="1680"/>
    </w:pPr>
  </w:style>
  <w:style w:type="paragraph" w:styleId="20">
    <w:name w:val="index 6"/>
    <w:basedOn w:val="0"/>
    <w:next w:val="0"/>
    <w:pPr>
      <w:ind w:left="2100"/>
    </w:pPr>
  </w:style>
  <w:style w:type="paragraph" w:styleId="21">
    <w:name w:val="index 7"/>
    <w:basedOn w:val="0"/>
    <w:next w:val="0"/>
    <w:pPr>
      <w:ind w:left="2520"/>
    </w:pPr>
  </w:style>
  <w:style w:type="paragraph" w:styleId="22">
    <w:name w:val="index 8"/>
    <w:basedOn w:val="0"/>
    <w:next w:val="0"/>
    <w:pPr>
      <w:ind w:left="2940"/>
    </w:pPr>
  </w:style>
  <w:style w:type="paragraph" w:styleId="23">
    <w:name w:val="toc 1"/>
    <w:basedOn w:val="0"/>
    <w:next w:val="0"/>
  </w:style>
  <w:style w:type="paragraph" w:styleId="24">
    <w:name w:val="toc 2"/>
    <w:basedOn w:val="0"/>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annotation text"/>
    <w:pPr>
      <w:widowControl w:val="0"/>
    </w:pPr>
    <w:rPr>
      <w:rFonts w:ascii="Times New Roman" w:eastAsia="方正仿宋_GBK" w:cs="Times New Roman" w:hAnsi="Times New Roman"/>
      <w:kern w:val="2"/>
      <w:sz w:val="32"/>
      <w:szCs w:val="22"/>
      <w:lang w:val="en-US" w:eastAsia="zh-CN" w:bidi="ar-SA"/>
    </w:rPr>
  </w:style>
  <w:style w:type="character" w:styleId="69">
    <w:name w:val="footnote reference"/>
    <w:basedOn w:val="10"/>
    <w:rPr>
      <w:vertAlign w:val="superscript"/>
    </w:rPr>
  </w:style>
  <w:style w:type="paragraph" w:styleId="70">
    <w:name w:val="Balloon Text"/>
    <w:basedOn w:val="0"/>
    <w:rPr>
      <w:sz w:val="18"/>
      <w:szCs w:val="18"/>
    </w:rPr>
  </w:style>
  <w:style w:type="paragraph" w:customStyle="1" w:styleId="71">
    <w:name w:val="样式 4 小四"/>
    <w:pPr>
      <w:widowControl w:val="0"/>
    </w:pPr>
    <w:rPr>
      <w:rFonts w:ascii="宋体" w:eastAsia="宋体" w:cs="Times New Roman"/>
      <w:kern w:val="2"/>
      <w:sz w:val="24"/>
      <w:lang w:val="en-US" w:eastAsia="zh-CN" w:bidi="ar-SA"/>
    </w:rPr>
  </w:style>
  <w:style w:type="paragraph" w:customStyle="1" w:styleId="72">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3">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74">
    <w:name w:val="footnote text"/>
    <w:basedOn w:val="0"/>
    <w:pPr>
      <w:snapToGrid w:val="0"/>
      <w:jc w:val="left"/>
    </w:pPr>
    <w:rPr>
      <w:sz w:val="18"/>
    </w:rPr>
  </w:style>
  <w:style w:type="paragraph" w:customStyle="1" w:styleId="75">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6">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7">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78">
    <w:name w:val="annotation subject"/>
    <w:basedOn w:val="68"/>
    <w:next w:val="68"/>
    <w:rPr>
      <w:b/>
    </w:rPr>
  </w:style>
  <w:style w:type="paragraph" w:customStyle="1" w:styleId="79">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0">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1">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2">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3">
    <w:name w:val="样式 5 小四"/>
    <w:pPr>
      <w:widowControl w:val="0"/>
    </w:pPr>
    <w:rPr>
      <w:rFonts w:ascii="宋体" w:eastAsia="宋体" w:cs="Times New Roman"/>
      <w:kern w:val="2"/>
      <w:sz w:val="24"/>
      <w:lang w:val="en-US" w:eastAsia="zh-CN" w:bidi="ar-SA"/>
    </w:rPr>
  </w:style>
  <w:style w:type="paragraph" w:customStyle="1" w:styleId="84">
    <w:name w:val="样式 2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5">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6">
    <w:name w:val="Revision_f979340a-23dc-44aa-b90a-aeef613af535"/>
    <w:rPr>
      <w:rFonts w:ascii="Times New Roman" w:eastAsia="方正仿宋_GBK" w:cs="Times New Roman" w:hAnsi="Times New Roman"/>
      <w:kern w:val="2"/>
      <w:sz w:val="32"/>
      <w:lang w:val="en-US" w:eastAsia="zh-CN" w:bidi="ar-SA"/>
    </w:rPr>
  </w:style>
  <w:style w:type="paragraph" w:customStyle="1" w:styleId="87">
    <w:name w:val="样式 7 小四"/>
    <w:pPr>
      <w:widowControl w:val="0"/>
    </w:pPr>
    <w:rPr>
      <w:rFonts w:ascii="宋体" w:eastAsia="宋体" w:cs="Times New Roman"/>
      <w:kern w:val="2"/>
      <w:sz w:val="24"/>
      <w:lang w:val="en-US" w:eastAsia="zh-CN" w:bidi="ar-SA"/>
    </w:rPr>
  </w:style>
  <w:style w:type="paragraph" w:customStyle="1" w:styleId="88">
    <w:name w:val="样式 8 小四"/>
    <w:pPr>
      <w:widowControl w:val="0"/>
    </w:pPr>
    <w:rPr>
      <w:rFonts w:ascii="宋体" w:eastAsia="宋体" w:cs="Times New Roman"/>
      <w:kern w:val="2"/>
      <w:sz w:val="24"/>
      <w:lang w:val="en-US" w:eastAsia="zh-CN" w:bidi="ar-SA"/>
    </w:rPr>
  </w:style>
  <w:style w:type="paragraph" w:customStyle="1" w:styleId="89">
    <w:name w:val="样式 9 小四"/>
    <w:pPr>
      <w:widowControl w:val="0"/>
    </w:pPr>
    <w:rPr>
      <w:rFonts w:ascii="宋体" w:eastAsia="宋体" w:cs="Times New Roman"/>
      <w:kern w:val="2"/>
      <w:sz w:val="24"/>
      <w:lang w:val="en-US" w:eastAsia="zh-CN" w:bidi="ar-SA"/>
    </w:rPr>
  </w:style>
  <w:style w:type="paragraph" w:customStyle="1" w:styleId="90">
    <w:name w:val="样式 10 小四"/>
    <w:pPr>
      <w:widowControl w:val="0"/>
    </w:pPr>
    <w:rPr>
      <w:rFonts w:ascii="宋体" w:eastAsia="宋体" w:cs="Times New Roman"/>
      <w:kern w:val="2"/>
      <w:sz w:val="24"/>
      <w:lang w:val="en-US" w:eastAsia="zh-CN" w:bidi="ar-SA"/>
    </w:rPr>
  </w:style>
  <w:style w:type="paragraph" w:customStyle="1" w:styleId="91">
    <w:name w:val="样式 11 小四"/>
    <w:pPr>
      <w:widowControl w:val="0"/>
    </w:pPr>
    <w:rPr>
      <w:rFonts w:ascii="宋体" w:eastAsia="宋体" w:cs="Times New Roman"/>
      <w:kern w:val="2"/>
      <w:sz w:val="24"/>
      <w:lang w:val="en-US" w:eastAsia="zh-CN" w:bidi="ar-SA"/>
    </w:rPr>
  </w:style>
  <w:style w:type="paragraph" w:customStyle="1" w:styleId="92">
    <w:name w:val="样式 12 小四"/>
    <w:pPr>
      <w:widowControl w:val="0"/>
    </w:pPr>
    <w:rPr>
      <w:rFonts w:ascii="宋体" w:eastAsia="宋体" w:cs="Times New Roman"/>
      <w:kern w:val="2"/>
      <w:sz w:val="24"/>
      <w:lang w:val="en-US" w:eastAsia="zh-CN" w:bidi="ar-SA"/>
    </w:rPr>
  </w:style>
  <w:style w:type="paragraph" w:customStyle="1" w:styleId="93">
    <w:name w:val="样式 1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4">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5">
    <w:name w:val="样式 3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6">
    <w:name w:val="样式 4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7">
    <w:name w:val="样式 5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8">
    <w:name w:val="样式 6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9">
    <w:name w:val="样式 7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100">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1">
    <w:name w:val="样式 2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2">
    <w:name w:val="样式 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3">
    <w:name w:val="样式 2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4">
    <w:name w:val="样式 13 小四"/>
    <w:pPr>
      <w:widowControl w:val="0"/>
    </w:pPr>
    <w:rPr>
      <w:rFonts w:ascii="宋体" w:eastAsia="宋体" w:cs="Times New Roman"/>
      <w:kern w:val="2"/>
      <w:sz w:val="24"/>
      <w:lang w:val="en-US" w:eastAsia="zh-CN" w:bidi="ar-SA"/>
    </w:rPr>
  </w:style>
  <w:style w:type="paragraph" w:customStyle="1" w:styleId="105">
    <w:name w:val="样式 14 小四"/>
    <w:pPr>
      <w:widowControl w:val="0"/>
    </w:pPr>
    <w:rPr>
      <w:rFonts w:ascii="宋体" w:eastAsia="宋体" w:cs="Times New Roman"/>
      <w:kern w:val="2"/>
      <w:sz w:val="24"/>
      <w:lang w:val="en-US" w:eastAsia="zh-CN" w:bidi="ar-SA"/>
    </w:rPr>
  </w:style>
  <w:style w:type="paragraph" w:customStyle="1" w:styleId="106">
    <w:name w:val="样式 15 小四"/>
    <w:pPr>
      <w:widowControl w:val="0"/>
    </w:pPr>
    <w:rPr>
      <w:rFonts w:ascii="宋体" w:eastAsia="宋体" w:cs="Times New Roman"/>
      <w:kern w:val="2"/>
      <w:sz w:val="24"/>
      <w:lang w:val="en-US" w:eastAsia="zh-CN" w:bidi="ar-SA"/>
    </w:rPr>
  </w:style>
  <w:style w:type="paragraph" w:customStyle="1" w:styleId="107">
    <w:name w:val="样式 16 小四"/>
    <w:pPr>
      <w:widowControl w:val="0"/>
    </w:pPr>
    <w:rPr>
      <w:rFonts w:ascii="宋体" w:eastAsia="宋体" w:cs="Times New Roman"/>
      <w:kern w:val="2"/>
      <w:sz w:val="24"/>
      <w:lang w:val="en-US" w:eastAsia="zh-CN" w:bidi="ar-SA"/>
    </w:rPr>
  </w:style>
  <w:style w:type="paragraph" w:customStyle="1" w:styleId="108">
    <w:name w:val="样式 17 小四"/>
    <w:pPr>
      <w:widowControl w:val="0"/>
    </w:pPr>
    <w:rPr>
      <w:rFonts w:ascii="宋体" w:eastAsia="宋体" w:cs="Times New Roman"/>
      <w:kern w:val="2"/>
      <w:sz w:val="24"/>
      <w:lang w:val="en-US" w:eastAsia="zh-CN" w:bidi="ar-SA"/>
    </w:rPr>
  </w:style>
  <w:style w:type="paragraph" w:customStyle="1" w:styleId="109">
    <w:name w:val="样式 2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0">
    <w:name w:val="样式 18 小四"/>
    <w:pPr>
      <w:widowControl w:val="0"/>
    </w:pPr>
    <w:rPr>
      <w:rFonts w:ascii="宋体" w:eastAsia="宋体" w:cs="Times New Roman"/>
      <w:kern w:val="2"/>
      <w:sz w:val="24"/>
      <w:lang w:val="en-US" w:eastAsia="zh-CN" w:bidi="ar-SA"/>
    </w:rPr>
  </w:style>
  <w:style w:type="paragraph" w:customStyle="1" w:styleId="111">
    <w:name w:val="样式 19 小四"/>
    <w:pPr>
      <w:widowControl w:val="0"/>
    </w:pPr>
    <w:rPr>
      <w:rFonts w:ascii="宋体" w:eastAsia="宋体" w:cs="Times New Roman"/>
      <w:kern w:val="2"/>
      <w:sz w:val="24"/>
      <w:lang w:val="en-US" w:eastAsia="zh-CN" w:bidi="ar-SA"/>
    </w:rPr>
  </w:style>
  <w:style w:type="paragraph" w:customStyle="1" w:styleId="112">
    <w:name w:val="样式 21 小四"/>
    <w:pPr>
      <w:widowControl w:val="0"/>
    </w:pPr>
    <w:rPr>
      <w:rFonts w:ascii="宋体" w:eastAsia="宋体" w:cs="Times New Roman"/>
      <w:kern w:val="2"/>
      <w:sz w:val="24"/>
      <w:lang w:val="en-US" w:eastAsia="zh-CN" w:bidi="ar-SA"/>
    </w:rPr>
  </w:style>
  <w:style w:type="paragraph" w:customStyle="1" w:styleId="113">
    <w:name w:val="样式 22 小四"/>
    <w:pPr>
      <w:widowControl w:val="0"/>
    </w:pPr>
    <w:rPr>
      <w:rFonts w:ascii="宋体" w:eastAsia="宋体" w:cs="Times New Roman"/>
      <w:kern w:val="2"/>
      <w:sz w:val="24"/>
      <w:lang w:val="en-US" w:eastAsia="zh-CN" w:bidi="ar-SA"/>
    </w:rPr>
  </w:style>
  <w:style w:type="paragraph" w:customStyle="1" w:styleId="114">
    <w:name w:val="样式 23 小四"/>
    <w:pPr>
      <w:widowControl w:val="0"/>
    </w:pPr>
    <w:rPr>
      <w:rFonts w:ascii="宋体" w:eastAsia="宋体" w:cs="Times New Roman"/>
      <w:kern w:val="2"/>
      <w:sz w:val="24"/>
      <w:lang w:val="en-US" w:eastAsia="zh-CN" w:bidi="ar-SA"/>
    </w:rPr>
  </w:style>
  <w:style w:type="paragraph" w:customStyle="1" w:styleId="115">
    <w:name w:val="样式 24 小四"/>
    <w:pPr>
      <w:widowControl w:val="0"/>
    </w:pPr>
    <w:rPr>
      <w:rFonts w:ascii="宋体" w:eastAsia="宋体" w:cs="Times New Roman"/>
      <w:kern w:val="2"/>
      <w:sz w:val="24"/>
      <w:lang w:val="en-US" w:eastAsia="zh-CN" w:bidi="ar-SA"/>
    </w:rPr>
  </w:style>
  <w:style w:type="paragraph" w:customStyle="1" w:styleId="116">
    <w:name w:val="样式 25 小四"/>
    <w:pPr>
      <w:widowControl w:val="0"/>
    </w:pPr>
    <w:rPr>
      <w:rFonts w:ascii="宋体" w:eastAsia="宋体" w:cs="Times New Roman"/>
      <w:kern w:val="2"/>
      <w:sz w:val="24"/>
      <w:lang w:val="en-US" w:eastAsia="zh-CN" w:bidi="ar-SA"/>
    </w:rPr>
  </w:style>
  <w:style w:type="paragraph" w:customStyle="1" w:styleId="117">
    <w:name w:val="样式 26 小四"/>
    <w:pPr>
      <w:widowControl w:val="0"/>
    </w:pPr>
    <w:rPr>
      <w:rFonts w:ascii="宋体" w:eastAsia="宋体" w:cs="Times New Roman"/>
      <w:kern w:val="2"/>
      <w:sz w:val="24"/>
      <w:lang w:val="en-US" w:eastAsia="zh-CN" w:bidi="ar-SA"/>
    </w:rPr>
  </w:style>
  <w:style w:type="paragraph" w:customStyle="1" w:styleId="118">
    <w:name w:val="样式 27 小四"/>
    <w:pPr>
      <w:widowControl w:val="0"/>
    </w:pPr>
    <w:rPr>
      <w:rFonts w:ascii="宋体" w:eastAsia="宋体" w:cs="Times New Roman"/>
      <w:kern w:val="2"/>
      <w:sz w:val="24"/>
      <w:lang w:val="en-US" w:eastAsia="zh-CN" w:bidi="ar-SA"/>
    </w:rPr>
  </w:style>
  <w:style w:type="paragraph" w:customStyle="1" w:styleId="119">
    <w:name w:val="样式 28 小四"/>
    <w:pPr>
      <w:widowControl w:val="0"/>
    </w:pPr>
    <w:rPr>
      <w:rFonts w:ascii="宋体" w:eastAsia="宋体" w:cs="Times New Roman"/>
      <w:kern w:val="2"/>
      <w:sz w:val="24"/>
      <w:lang w:val="en-US" w:eastAsia="zh-CN" w:bidi="ar-SA"/>
    </w:rPr>
  </w:style>
  <w:style w:type="paragraph" w:customStyle="1" w:styleId="120">
    <w:name w:val="样式 29 小四"/>
    <w:pPr>
      <w:widowControl w:val="0"/>
    </w:pPr>
    <w:rPr>
      <w:rFonts w:ascii="宋体" w:eastAsia="宋体" w:cs="Times New Roman"/>
      <w:kern w:val="2"/>
      <w:sz w:val="24"/>
      <w:lang w:val="en-US" w:eastAsia="zh-CN" w:bidi="ar-SA"/>
    </w:rPr>
  </w:style>
  <w:style w:type="paragraph" w:customStyle="1" w:styleId="121">
    <w:name w:val="样式 30 小四"/>
    <w:pPr>
      <w:widowControl w:val="0"/>
    </w:pPr>
    <w:rPr>
      <w:rFonts w:ascii="宋体" w:eastAsia="宋体" w:cs="Times New Roman"/>
      <w:kern w:val="2"/>
      <w:sz w:val="24"/>
      <w:lang w:val="en-US" w:eastAsia="zh-CN" w:bidi="ar-SA"/>
    </w:rPr>
  </w:style>
  <w:style w:type="paragraph" w:customStyle="1" w:styleId="122">
    <w:name w:val="样式 31 小四"/>
    <w:pPr>
      <w:widowControl w:val="0"/>
    </w:pPr>
    <w:rPr>
      <w:rFonts w:ascii="宋体" w:eastAsia="宋体" w:cs="Times New Roman"/>
      <w:kern w:val="2"/>
      <w:sz w:val="24"/>
      <w:lang w:val="en-US" w:eastAsia="zh-CN" w:bidi="ar-SA"/>
    </w:rPr>
  </w:style>
  <w:style w:type="paragraph" w:customStyle="1" w:styleId="123">
    <w:name w:val="样式 32 小四"/>
    <w:pPr>
      <w:widowControl w:val="0"/>
    </w:pPr>
    <w:rPr>
      <w:rFonts w:ascii="宋体" w:eastAsia="宋体" w:cs="Times New Roman"/>
      <w:kern w:val="2"/>
      <w:sz w:val="24"/>
      <w:lang w:val="en-US" w:eastAsia="zh-CN" w:bidi="ar-SA"/>
    </w:rPr>
  </w:style>
  <w:style w:type="paragraph" w:customStyle="1" w:styleId="124">
    <w:name w:val="样式 33 小四"/>
    <w:pPr>
      <w:widowControl w:val="0"/>
    </w:pPr>
    <w:rPr>
      <w:rFonts w:ascii="宋体" w:eastAsia="宋体" w:cs="Times New Roman"/>
      <w:kern w:val="2"/>
      <w:sz w:val="24"/>
      <w:lang w:val="en-US" w:eastAsia="zh-CN" w:bidi="ar-SA"/>
    </w:rPr>
  </w:style>
  <w:style w:type="paragraph" w:customStyle="1" w:styleId="125">
    <w:name w:val="样式 34 小四"/>
    <w:pPr>
      <w:widowControl w:val="0"/>
    </w:pPr>
    <w:rPr>
      <w:rFonts w:ascii="宋体" w:eastAsia="宋体" w:cs="Times New Roman"/>
      <w:kern w:val="2"/>
      <w:sz w:val="24"/>
      <w:lang w:val="en-US" w:eastAsia="zh-CN" w:bidi="ar-SA"/>
    </w:rPr>
  </w:style>
  <w:style w:type="paragraph" w:customStyle="1" w:styleId="126">
    <w:name w:val="List Paragraph"/>
    <w:basedOn w:val="0"/>
    <w:pPr>
      <w:ind w:firstLineChars="200" w:firstLine="200"/>
    </w:pPr>
  </w:style>
  <w:style w:type="paragraph" w:customStyle="1" w:styleId="127">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2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0">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1">
    <w:name w:val="样式 35 小四"/>
    <w:pPr>
      <w:widowControl w:val="0"/>
    </w:pPr>
    <w:rPr>
      <w:rFonts w:ascii="宋体" w:eastAsia="宋体" w:cs="Times New Roman"/>
      <w:kern w:val="2"/>
      <w:sz w:val="24"/>
      <w:lang w:val="en-US" w:eastAsia="zh-CN" w:bidi="ar-SA"/>
    </w:rPr>
  </w:style>
  <w:style w:type="paragraph" w:customStyle="1" w:styleId="132">
    <w:name w:val="样式 36 小四"/>
    <w:pPr>
      <w:widowControl w:val="0"/>
    </w:pPr>
    <w:rPr>
      <w:rFonts w:ascii="宋体" w:eastAsia="宋体" w:cs="Times New Roman"/>
      <w:kern w:val="2"/>
      <w:sz w:val="24"/>
      <w:lang w:val="en-US" w:eastAsia="zh-CN" w:bidi="ar-SA"/>
    </w:rPr>
  </w:style>
  <w:style w:type="paragraph" w:customStyle="1" w:styleId="133">
    <w:name w:val="样式 37 小四"/>
    <w:pPr>
      <w:widowControl w:val="0"/>
    </w:pPr>
    <w:rPr>
      <w:rFonts w:ascii="宋体" w:eastAsia="宋体" w:cs="Times New Roman"/>
      <w:kern w:val="2"/>
      <w:sz w:val="24"/>
      <w:lang w:val="en-US" w:eastAsia="zh-CN" w:bidi="ar-SA"/>
    </w:rPr>
  </w:style>
  <w:style w:type="paragraph" w:customStyle="1" w:styleId="134">
    <w:name w:val="样式 38 小四"/>
    <w:pPr>
      <w:widowControl w:val="0"/>
    </w:pPr>
    <w:rPr>
      <w:rFonts w:ascii="宋体" w:eastAsia="宋体" w:cs="Times New Roman"/>
      <w:kern w:val="2"/>
      <w:sz w:val="24"/>
      <w:lang w:val="en-US" w:eastAsia="zh-CN" w:bidi="ar-SA"/>
    </w:rPr>
  </w:style>
  <w:style w:type="paragraph" w:customStyle="1" w:styleId="135">
    <w:name w:val="样式 39 小四"/>
    <w:pPr>
      <w:widowControl w:val="0"/>
    </w:pPr>
    <w:rPr>
      <w:rFonts w:ascii="宋体" w:eastAsia="宋体" w:cs="Times New Roman"/>
      <w:kern w:val="2"/>
      <w:sz w:val="24"/>
      <w:lang w:val="en-US" w:eastAsia="zh-CN" w:bidi="ar-SA"/>
    </w:rPr>
  </w:style>
  <w:style w:type="paragraph" w:customStyle="1" w:styleId="136">
    <w:name w:val="样式 40 小四"/>
    <w:pPr>
      <w:widowControl w:val="0"/>
    </w:pPr>
    <w:rPr>
      <w:rFonts w:ascii="宋体" w:eastAsia="宋体" w:cs="Times New Roman"/>
      <w:kern w:val="2"/>
      <w:sz w:val="24"/>
      <w:lang w:val="en-US" w:eastAsia="zh-CN" w:bidi="ar-SA"/>
    </w:rPr>
  </w:style>
  <w:style w:type="paragraph" w:customStyle="1" w:styleId="137">
    <w:name w:val="样式 41 小四"/>
    <w:pPr>
      <w:widowControl w:val="0"/>
    </w:pPr>
    <w:rPr>
      <w:rFonts w:ascii="宋体" w:eastAsia="宋体" w:cs="Times New Roman"/>
      <w:kern w:val="2"/>
      <w:sz w:val="24"/>
      <w:lang w:val="en-US" w:eastAsia="zh-CN" w:bidi="ar-SA"/>
    </w:rPr>
  </w:style>
  <w:style w:type="paragraph" w:customStyle="1" w:styleId="138">
    <w:name w:val="样式 42 小四"/>
    <w:pPr>
      <w:widowControl w:val="0"/>
    </w:pPr>
    <w:rPr>
      <w:rFonts w:ascii="宋体" w:eastAsia="宋体" w:cs="Times New Roman"/>
      <w:kern w:val="2"/>
      <w:sz w:val="24"/>
      <w:lang w:val="en-US" w:eastAsia="zh-CN" w:bidi="ar-SA"/>
    </w:rPr>
  </w:style>
  <w:style w:type="paragraph" w:customStyle="1" w:styleId="139">
    <w:name w:val="样式 43 小四"/>
    <w:pPr>
      <w:widowControl w:val="0"/>
    </w:pPr>
    <w:rPr>
      <w:rFonts w:ascii="宋体" w:eastAsia="宋体" w:cs="Times New Roman"/>
      <w:kern w:val="2"/>
      <w:sz w:val="24"/>
      <w:lang w:val="en-US" w:eastAsia="zh-CN" w:bidi="ar-SA"/>
    </w:rPr>
  </w:style>
  <w:style w:type="paragraph" w:customStyle="1" w:styleId="232">
    <w:name w:val="样式 44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583</TotalTime>
  <Application>Yozo_Office</Application>
  <Pages>7</Pages>
  <Words>2687</Words>
  <Characters>2793</Characters>
  <Lines>442</Lines>
  <Paragraphs>313</Paragraphs>
  <CharactersWithSpaces>2793</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191</cp:revision>
  <cp:lastPrinted>2024-01-15T07:31:00Z</cp:lastPrinted>
  <dcterms:created xsi:type="dcterms:W3CDTF">2025-01-06T05:55:41Z</dcterms:created>
  <dcterms:modified xsi:type="dcterms:W3CDTF">2025-01-26T08:00:55Z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ICV">
    <vt:lpwstr>e35db86ce0b347fe9f107f27b202f727_23</vt:lpwstr>
  </property>
</Properties>
</file>