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9"/>
        <w:shd w:val="clear" w:color="auto" w:fill="auto"/>
        <w:jc w:val="center"/>
        <w:rPr>
          <w:rFonts w:ascii="方正小标宋_GBK" w:eastAsia="方正小标宋_GBK" w:hint="eastAsia"/>
          <w:sz w:val="44"/>
          <w:szCs w:val="44"/>
          <w:shd w:val="clear" w:color="auto" w:fill="auto"/>
        </w:rPr>
      </w:pPr>
      <w:bookmarkStart w:id="0" w:name="_Hlk25540369"/>
      <w:bookmarkStart w:id="1" w:name="cogw__正文__file"/>
      <w:r>
        <w:rPr>
          <w:rFonts w:ascii="方正小标宋_GBK" w:eastAsia="方正小标宋_GBK" w:hint="eastAsia"/>
          <w:sz w:val="44"/>
          <w:szCs w:val="44"/>
          <w:shd w:val="clear" w:color="auto" w:fill="auto"/>
        </w:rPr>
        <w:t>番禺海关2024年政府信息公开工作年度报告</w:t>
      </w:r>
      <w:bookmarkEnd w:id="0"/>
    </w:p>
    <w:p>
      <w:pPr>
        <w:pStyle w:val="25"/>
        <w:widowControl/>
        <w:shd w:val="clear" w:color="auto" w:fill="auto"/>
        <w:adjustRightInd w:val="0"/>
        <w:snapToGrid w:val="0"/>
        <w:spacing w:line="560" w:lineRule="exact"/>
        <w:jc w:val="both"/>
        <w:rPr>
          <w:rFonts w:eastAsia="楷体_GB2312" w:hint="eastAsia"/>
          <w:bCs/>
          <w:sz w:val="32"/>
          <w:szCs w:val="32"/>
          <w:shd w:val="clear" w:color="auto" w:fill="auto"/>
        </w:rPr>
      </w:pPr>
    </w:p>
    <w:p>
      <w:pPr>
        <w:pStyle w:val="20"/>
        <w:shd w:val="clear" w:color="auto" w:fill="auto"/>
        <w:tabs>
          <w:tab w:val="center" w:pos="4153"/>
          <w:tab w:val="right" w:pos="8306"/>
        </w:tabs>
        <w:spacing w:line="560" w:lineRule="exact"/>
        <w:ind w:firstLine="630"/>
        <w:jc w:val="both"/>
        <w:rPr>
          <w:sz w:val="32"/>
          <w:szCs w:val="32"/>
          <w:shd w:val="clear" w:color="auto" w:fill="auto"/>
        </w:rPr>
      </w:pPr>
      <w:r>
        <w:rPr>
          <w:color w:val="000000"/>
          <w:sz w:val="32"/>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番禺海关2024年政府信息公开工作年报。年报中所列数据的统计期限，自2024年1月1日起至2024年12月31日止。如对本年报有疑问或有任何意见、建议，请联系番禺海关办公室。地址：广东省广州市番禺区清河东路口岸大街8号，邮编：511400；电话：020-84623601；电子邮箱：</w:t>
      </w:r>
      <w:r>
        <w:rPr>
          <w:sz w:val="32"/>
          <w:szCs w:val="32"/>
          <w:shd w:val="clear" w:color="auto" w:fill="auto"/>
        </w:rPr>
        <w:t>pyhgbgs@customs.gov.cn</w:t>
      </w:r>
      <w:r>
        <w:rPr>
          <w:color w:val="000000"/>
          <w:sz w:val="32"/>
          <w:szCs w:val="32"/>
          <w:shd w:val="clear" w:color="auto" w:fill="auto"/>
        </w:rPr>
        <w:t>。</w:t>
      </w:r>
    </w:p>
    <w:p>
      <w:pPr>
        <w:pStyle w:val="36"/>
        <w:shd w:val="clear" w:color="auto" w:fill="auto"/>
        <w:spacing w:line="560" w:lineRule="exact"/>
        <w:ind w:firstLineChars="200" w:firstLine="640"/>
        <w:rPr>
          <w:rFonts w:ascii="方正黑体_GBK" w:eastAsia="方正黑体_GBK" w:hint="eastAsia"/>
          <w:color w:val="000000"/>
          <w:szCs w:val="32"/>
          <w:shd w:val="clear" w:color="auto" w:fill="auto"/>
        </w:rPr>
      </w:pPr>
      <w:r>
        <w:rPr>
          <w:rFonts w:ascii="方正黑体_GBK" w:eastAsia="方正黑体_GBK" w:hint="eastAsia"/>
          <w:bCs/>
          <w:kern w:val="0"/>
          <w:szCs w:val="32"/>
          <w:shd w:val="clear" w:color="auto" w:fill="auto"/>
        </w:rPr>
        <w:t>一、总体情况</w:t>
      </w:r>
    </w:p>
    <w:p>
      <w:pPr>
        <w:pStyle w:val="36"/>
        <w:shd w:val="clear" w:color="auto" w:fill="auto"/>
        <w:spacing w:line="560" w:lineRule="exact"/>
        <w:ind w:firstLineChars="200" w:firstLine="640"/>
        <w:rPr>
          <w:color w:val="000000"/>
          <w:szCs w:val="32"/>
          <w:shd w:val="clear" w:color="auto" w:fill="auto"/>
        </w:rPr>
      </w:pPr>
      <w:r>
        <w:rPr>
          <w:color w:val="000000"/>
          <w:szCs w:val="32"/>
          <w:shd w:val="clear" w:color="auto" w:fill="auto"/>
        </w:rPr>
        <w:t>2024年，番禺海关坚持以习近平新时代中国特色社会主义思想为指导，全面贯彻落实党的二十大和二十届二中、三中全会精神，深入学习贯彻习近平总书记重要指示批示和给红其拉甫海关全体关员重要回信精神，着力在完善工作机制、创新公开载体、丰富内容要素上下功夫，持续推进基层政务公开标准化规范化建设，充分发挥政府信息公开促落实、促规范、促服务作用，全过程推进新时代政务公开，不断提升企业群众满意度、获得感。现将工作情况报告如下：</w:t>
      </w:r>
    </w:p>
    <w:p>
      <w:pPr>
        <w:pStyle w:val="36"/>
        <w:shd w:val="clear" w:color="auto" w:fill="auto"/>
        <w:spacing w:line="560" w:lineRule="exact"/>
        <w:ind w:firstLineChars="200" w:firstLine="640"/>
        <w:rPr>
          <w:rFonts w:eastAsia="方正楷体_GBK"/>
          <w:b/>
          <w:bCs/>
          <w:shd w:val="clear" w:color="auto" w:fill="auto"/>
        </w:rPr>
      </w:pPr>
      <w:r>
        <w:rPr>
          <w:rFonts w:eastAsia="方正楷体_GBK"/>
          <w:b/>
          <w:bCs/>
          <w:shd w:val="clear" w:color="auto" w:fill="auto"/>
        </w:rPr>
        <w:t>（一）主动公开情况。</w:t>
      </w:r>
    </w:p>
    <w:p>
      <w:pPr>
        <w:pStyle w:val="36"/>
        <w:shd w:val="clear" w:color="auto" w:fill="auto"/>
        <w:spacing w:line="560" w:lineRule="exact"/>
        <w:ind w:firstLineChars="200" w:firstLine="640"/>
        <w:rPr>
          <w:bCs/>
          <w:color w:val="000000"/>
          <w:szCs w:val="32"/>
          <w:shd w:val="clear" w:color="auto" w:fill="auto"/>
        </w:rPr>
      </w:pPr>
      <w:r>
        <w:rPr>
          <w:bCs/>
          <w:color w:val="000000"/>
          <w:szCs w:val="32"/>
          <w:shd w:val="clear" w:color="auto" w:fill="auto"/>
        </w:rPr>
        <w:t>结合工作实际，更新完善《番禺海关政务公开标准事项目录》，通过广州海关门户网站、</w:t>
      </w:r>
      <w:r>
        <w:rPr>
          <w:rFonts w:hint="eastAsia"/>
          <w:bCs/>
          <w:color w:val="000000"/>
          <w:szCs w:val="32"/>
          <w:shd w:val="clear" w:color="auto" w:fill="auto"/>
        </w:rPr>
        <w:t>“</w:t>
      </w:r>
      <w:r>
        <w:rPr>
          <w:bCs/>
          <w:color w:val="000000"/>
          <w:szCs w:val="32"/>
          <w:shd w:val="clear" w:color="auto" w:fill="auto"/>
        </w:rPr>
        <w:t>广州海关12360</w:t>
      </w:r>
      <w:r>
        <w:rPr>
          <w:rFonts w:hint="eastAsia"/>
          <w:bCs/>
          <w:color w:val="000000"/>
          <w:szCs w:val="32"/>
          <w:shd w:val="clear" w:color="auto" w:fill="auto"/>
        </w:rPr>
        <w:t>”</w:t>
      </w:r>
      <w:r>
        <w:rPr>
          <w:bCs/>
          <w:color w:val="000000"/>
          <w:szCs w:val="32"/>
          <w:shd w:val="clear" w:color="auto" w:fill="auto"/>
        </w:rPr>
        <w:t>微信公众号、宣传专栏等载体依法公开并动态更新机构职能、办公时间、办事指南、社会监督等信息，保障群众知情权，提升政府公信力。年内组织政务公开相关问卷调查和意见征集4次，主动公开行政执法公示、涉案财物拍卖等各类海关政府信息。</w:t>
      </w:r>
    </w:p>
    <w:p>
      <w:pPr>
        <w:pStyle w:val="36"/>
        <w:shd w:val="clear" w:color="auto" w:fill="auto"/>
        <w:spacing w:line="560" w:lineRule="exact"/>
        <w:ind w:firstLineChars="200" w:firstLine="640"/>
        <w:rPr>
          <w:rFonts w:eastAsia="方正楷体_GBK"/>
          <w:b/>
          <w:bCs/>
          <w:shd w:val="clear" w:color="auto" w:fill="auto"/>
        </w:rPr>
      </w:pPr>
      <w:r>
        <w:rPr>
          <w:rFonts w:eastAsia="方正楷体_GBK"/>
          <w:b/>
          <w:bCs/>
          <w:shd w:val="clear" w:color="auto" w:fill="auto"/>
        </w:rPr>
        <w:t>（二）依申请公开情况。</w:t>
      </w:r>
    </w:p>
    <w:p>
      <w:pPr>
        <w:pStyle w:val="36"/>
        <w:shd w:val="clear" w:color="auto" w:fill="auto"/>
        <w:spacing w:line="560" w:lineRule="exact"/>
        <w:ind w:firstLineChars="200" w:firstLine="640"/>
        <w:rPr>
          <w:bCs/>
          <w:color w:val="000000"/>
          <w:szCs w:val="32"/>
          <w:shd w:val="clear" w:color="auto" w:fill="auto"/>
        </w:rPr>
      </w:pPr>
      <w:r>
        <w:rPr>
          <w:bCs/>
          <w:color w:val="000000"/>
          <w:szCs w:val="32"/>
          <w:shd w:val="clear" w:color="auto" w:fill="auto"/>
        </w:rPr>
        <w:t>认真落实《中华人民共和国政府信息公开条例》《中华人民共和国行政复议法》规定要求，遵循公正、公平、合法、便民原则，优化工作机制、办理流程，畅通信函、电子邮箱、电话、传真等受理渠道，规范依申请公开工作程序，提升办理质效。年内共收到政府信息公开申请5件，除申请人撤销申请1件外，其余4件均已按期办结，未收到因政府信息公开申请引发的行政复议、诉讼。</w:t>
      </w:r>
    </w:p>
    <w:p>
      <w:pPr>
        <w:pStyle w:val="36"/>
        <w:shd w:val="clear" w:color="auto" w:fill="auto"/>
        <w:spacing w:line="560" w:lineRule="exact"/>
        <w:ind w:firstLineChars="200" w:firstLine="640"/>
        <w:rPr>
          <w:rFonts w:eastAsia="方正楷体_GBK"/>
          <w:b/>
          <w:bCs/>
          <w:shd w:val="clear" w:color="auto" w:fill="auto"/>
        </w:rPr>
      </w:pPr>
      <w:r>
        <w:rPr>
          <w:rFonts w:eastAsia="方正楷体_GBK"/>
          <w:b/>
          <w:bCs/>
          <w:shd w:val="clear" w:color="auto" w:fill="auto"/>
        </w:rPr>
        <w:t>（三）政府信息管理情况。</w:t>
      </w:r>
    </w:p>
    <w:p>
      <w:pPr>
        <w:pStyle w:val="36"/>
        <w:shd w:val="clear" w:color="auto" w:fill="auto"/>
        <w:spacing w:line="560" w:lineRule="exact"/>
        <w:ind w:firstLineChars="200" w:firstLine="640"/>
        <w:rPr>
          <w:rFonts w:eastAsia="仿宋_GB2312"/>
          <w:color w:val="000000"/>
          <w:szCs w:val="32"/>
          <w:shd w:val="clear" w:color="auto" w:fill="auto"/>
        </w:rPr>
      </w:pPr>
      <w:r>
        <w:rPr>
          <w:bCs/>
          <w:color w:val="000000"/>
          <w:szCs w:val="32"/>
          <w:shd w:val="clear" w:color="auto" w:fill="auto"/>
        </w:rPr>
        <w:t>持续完善政府信息管理工作机制，明确公示事项、时限、渠道等内容，坚持</w:t>
      </w:r>
      <w:r>
        <w:rPr>
          <w:rFonts w:hint="eastAsia"/>
          <w:bCs/>
          <w:color w:val="000000"/>
          <w:szCs w:val="32"/>
          <w:shd w:val="clear" w:color="auto" w:fill="auto"/>
        </w:rPr>
        <w:t>“</w:t>
      </w:r>
      <w:r>
        <w:rPr>
          <w:bCs/>
          <w:color w:val="000000"/>
          <w:szCs w:val="32"/>
          <w:shd w:val="clear" w:color="auto" w:fill="auto"/>
        </w:rPr>
        <w:t>分级审核</w:t>
      </w:r>
      <w:r>
        <w:rPr>
          <w:rFonts w:hint="eastAsia"/>
          <w:bCs/>
          <w:color w:val="000000"/>
          <w:szCs w:val="32"/>
          <w:shd w:val="clear" w:color="auto" w:fill="auto"/>
        </w:rPr>
        <w:t>”“</w:t>
      </w:r>
      <w:r>
        <w:rPr>
          <w:bCs/>
          <w:color w:val="000000"/>
          <w:szCs w:val="32"/>
          <w:shd w:val="clear" w:color="auto" w:fill="auto"/>
        </w:rPr>
        <w:t>先审后发</w:t>
      </w:r>
      <w:r>
        <w:rPr>
          <w:rFonts w:hint="eastAsia"/>
          <w:bCs/>
          <w:color w:val="000000"/>
          <w:szCs w:val="32"/>
          <w:shd w:val="clear" w:color="auto" w:fill="auto"/>
        </w:rPr>
        <w:t>”</w:t>
      </w:r>
      <w:r>
        <w:rPr>
          <w:bCs/>
          <w:color w:val="000000"/>
          <w:szCs w:val="32"/>
          <w:shd w:val="clear" w:color="auto" w:fill="auto"/>
        </w:rPr>
        <w:t>原则，定期组织检查已公开信息，确保信息发布的合法性、权威性、规范性，对同类共性问题</w:t>
      </w:r>
      <w:r>
        <w:rPr>
          <w:rFonts w:hint="eastAsia"/>
          <w:bCs/>
          <w:color w:val="000000"/>
          <w:szCs w:val="32"/>
          <w:shd w:val="clear" w:color="auto" w:fill="auto"/>
        </w:rPr>
        <w:t>“</w:t>
      </w:r>
      <w:r>
        <w:rPr>
          <w:bCs/>
          <w:color w:val="000000"/>
          <w:szCs w:val="32"/>
          <w:shd w:val="clear" w:color="auto" w:fill="auto"/>
        </w:rPr>
        <w:t>举一反三</w:t>
      </w:r>
      <w:r>
        <w:rPr>
          <w:rFonts w:hint="eastAsia"/>
          <w:bCs/>
          <w:color w:val="000000"/>
          <w:szCs w:val="32"/>
          <w:shd w:val="clear" w:color="auto" w:fill="auto"/>
        </w:rPr>
        <w:t>”</w:t>
      </w:r>
      <w:r>
        <w:rPr>
          <w:bCs/>
          <w:color w:val="000000"/>
          <w:szCs w:val="32"/>
          <w:shd w:val="clear" w:color="auto" w:fill="auto"/>
        </w:rPr>
        <w:t>，对标问题做好整体自查整改，全链条加强政府信息管理。</w:t>
      </w:r>
    </w:p>
    <w:p>
      <w:pPr>
        <w:pStyle w:val="36"/>
        <w:shd w:val="clear" w:color="auto" w:fill="auto"/>
        <w:spacing w:line="560" w:lineRule="exact"/>
        <w:ind w:firstLineChars="200" w:firstLine="640"/>
        <w:rPr>
          <w:rFonts w:eastAsia="方正楷体_GBK"/>
          <w:b/>
          <w:bCs/>
          <w:shd w:val="clear" w:color="auto" w:fill="auto"/>
        </w:rPr>
      </w:pPr>
      <w:r>
        <w:rPr>
          <w:rFonts w:eastAsia="方正楷体_GBK"/>
          <w:b/>
          <w:bCs/>
          <w:shd w:val="clear" w:color="auto" w:fill="auto"/>
        </w:rPr>
        <w:t>（四）政府信息公开平台建设情况。</w:t>
      </w:r>
    </w:p>
    <w:p>
      <w:pPr>
        <w:pStyle w:val="36"/>
        <w:shd w:val="clear" w:color="auto" w:fill="auto"/>
        <w:spacing w:line="560" w:lineRule="exact"/>
        <w:ind w:firstLineChars="200" w:firstLine="640"/>
        <w:rPr>
          <w:bCs/>
          <w:color w:val="000000"/>
          <w:szCs w:val="32"/>
          <w:shd w:val="clear" w:color="auto" w:fill="auto"/>
        </w:rPr>
      </w:pPr>
      <w:r>
        <w:rPr>
          <w:b/>
          <w:bCs/>
          <w:color w:val="000000"/>
          <w:szCs w:val="32"/>
          <w:shd w:val="clear" w:color="auto" w:fill="auto"/>
        </w:rPr>
        <w:t>一是</w:t>
      </w:r>
      <w:r>
        <w:rPr>
          <w:bCs/>
          <w:color w:val="000000"/>
          <w:szCs w:val="32"/>
          <w:shd w:val="clear" w:color="auto" w:fill="auto"/>
        </w:rPr>
        <w:t>认真贯彻落实基层政务公开标准化规范化建设要求，以企业群众需求为导向，依托</w:t>
      </w:r>
      <w:r>
        <w:rPr>
          <w:rFonts w:hint="eastAsia"/>
          <w:bCs/>
          <w:color w:val="000000"/>
          <w:szCs w:val="32"/>
          <w:shd w:val="clear" w:color="auto" w:fill="auto"/>
        </w:rPr>
        <w:t>“</w:t>
      </w:r>
      <w:r>
        <w:rPr>
          <w:bCs/>
          <w:color w:val="000000"/>
          <w:szCs w:val="32"/>
          <w:shd w:val="clear" w:color="auto" w:fill="auto"/>
        </w:rPr>
        <w:t>AEO企业优先办理</w:t>
      </w:r>
      <w:r>
        <w:rPr>
          <w:rFonts w:hint="eastAsia"/>
          <w:bCs/>
          <w:color w:val="000000"/>
          <w:szCs w:val="32"/>
          <w:shd w:val="clear" w:color="auto" w:fill="auto"/>
        </w:rPr>
        <w:t>”“</w:t>
      </w:r>
      <w:r>
        <w:rPr>
          <w:rFonts w:ascii="方正仿宋_GBK" w:hint="eastAsia"/>
          <w:bCs/>
          <w:color w:val="000000"/>
          <w:szCs w:val="32"/>
          <w:shd w:val="clear" w:color="auto" w:fill="auto"/>
        </w:rPr>
        <w:t>‘</w:t>
      </w:r>
      <w:r>
        <w:rPr>
          <w:bCs/>
          <w:color w:val="000000"/>
          <w:szCs w:val="32"/>
          <w:shd w:val="clear" w:color="auto" w:fill="auto"/>
        </w:rPr>
        <w:t>办不成事</w:t>
      </w:r>
      <w:r>
        <w:rPr>
          <w:rFonts w:ascii="方正仿宋_GBK" w:hint="eastAsia"/>
          <w:bCs/>
          <w:color w:val="000000"/>
          <w:szCs w:val="32"/>
          <w:shd w:val="clear" w:color="auto" w:fill="auto"/>
        </w:rPr>
        <w:t>’兜底窗口”</w:t>
      </w:r>
      <w:r>
        <w:rPr>
          <w:bCs/>
          <w:color w:val="000000"/>
          <w:szCs w:val="32"/>
          <w:shd w:val="clear" w:color="auto" w:fill="auto"/>
        </w:rPr>
        <w:t>等工作专窗，持续</w:t>
      </w:r>
      <w:r>
        <w:rPr>
          <w:rFonts w:ascii="方正仿宋_GBK" w:hint="eastAsia"/>
          <w:bCs/>
          <w:color w:val="000000"/>
          <w:szCs w:val="32"/>
          <w:shd w:val="clear" w:color="auto" w:fill="auto"/>
        </w:rPr>
        <w:t>优化“一站式”咨</w:t>
      </w:r>
      <w:r>
        <w:rPr>
          <w:bCs/>
          <w:color w:val="000000"/>
          <w:szCs w:val="32"/>
          <w:shd w:val="clear" w:color="auto" w:fill="auto"/>
        </w:rPr>
        <w:t>询引导服务。</w:t>
      </w:r>
      <w:r>
        <w:rPr>
          <w:rFonts w:ascii="方正仿宋_GBK"/>
          <w:b/>
          <w:bCs/>
          <w:color w:val="000000"/>
          <w:szCs w:val="32"/>
          <w:shd w:val="clear" w:color="auto" w:fill="auto"/>
        </w:rPr>
        <w:t>二是</w:t>
      </w:r>
      <w:r>
        <w:rPr>
          <w:rFonts w:ascii="方正仿宋_GBK" w:hint="eastAsia"/>
          <w:bCs/>
          <w:color w:val="000000"/>
          <w:szCs w:val="32"/>
          <w:shd w:val="clear" w:color="auto" w:fill="auto"/>
        </w:rPr>
        <w:t>组织开展“我陪群众走流程”政务服</w:t>
      </w:r>
      <w:r>
        <w:rPr>
          <w:bCs/>
          <w:color w:val="000000"/>
          <w:szCs w:val="32"/>
          <w:shd w:val="clear" w:color="auto" w:fill="auto"/>
        </w:rPr>
        <w:t>务提升行动2次，解决企业群众办事难点堵点问题2个。</w:t>
      </w:r>
      <w:r>
        <w:rPr>
          <w:b/>
          <w:bCs/>
          <w:color w:val="000000"/>
          <w:szCs w:val="32"/>
          <w:shd w:val="clear" w:color="auto" w:fill="auto"/>
        </w:rPr>
        <w:t>三是</w:t>
      </w:r>
      <w:r>
        <w:rPr>
          <w:bCs/>
          <w:color w:val="000000"/>
          <w:szCs w:val="32"/>
          <w:shd w:val="clear" w:color="auto" w:fill="auto"/>
        </w:rPr>
        <w:t>充分发挥</w:t>
      </w:r>
      <w:r>
        <w:rPr>
          <w:rFonts w:hint="eastAsia"/>
          <w:bCs/>
          <w:color w:val="000000"/>
          <w:szCs w:val="32"/>
          <w:shd w:val="clear" w:color="auto" w:fill="auto"/>
        </w:rPr>
        <w:t>“</w:t>
      </w:r>
      <w:r>
        <w:rPr>
          <w:bCs/>
          <w:color w:val="000000"/>
          <w:szCs w:val="32"/>
          <w:shd w:val="clear" w:color="auto" w:fill="auto"/>
        </w:rPr>
        <w:t>新时代文明实践特色基地</w:t>
      </w:r>
      <w:r>
        <w:rPr>
          <w:rFonts w:hint="eastAsia"/>
          <w:bCs/>
          <w:color w:val="000000"/>
          <w:szCs w:val="32"/>
          <w:shd w:val="clear" w:color="auto" w:fill="auto"/>
        </w:rPr>
        <w:t>”</w:t>
      </w:r>
      <w:r>
        <w:rPr>
          <w:bCs/>
          <w:color w:val="000000"/>
          <w:szCs w:val="32"/>
          <w:shd w:val="clear" w:color="auto" w:fill="auto"/>
        </w:rPr>
        <w:t>引领作用，与番禺区新时代文明实践中心、乡村少年宫示范点结对共建，擦亮广州海</w:t>
      </w:r>
      <w:r>
        <w:rPr>
          <w:rFonts w:ascii="方正仿宋_GBK" w:hint="eastAsia"/>
          <w:bCs/>
          <w:color w:val="000000"/>
          <w:szCs w:val="32"/>
          <w:shd w:val="clear" w:color="auto" w:fill="auto"/>
        </w:rPr>
        <w:t>关“海</w:t>
      </w:r>
      <w:r>
        <w:rPr>
          <w:bCs/>
          <w:color w:val="000000"/>
          <w:szCs w:val="32"/>
          <w:shd w:val="clear" w:color="auto" w:fill="auto"/>
        </w:rPr>
        <w:t>关进企业、海关进社区、海关进校园</w:t>
      </w:r>
      <w:r>
        <w:rPr>
          <w:rFonts w:ascii="方正仿宋_GBK" w:hint="eastAsia"/>
          <w:bCs/>
          <w:color w:val="000000"/>
          <w:szCs w:val="32"/>
          <w:shd w:val="clear" w:color="auto" w:fill="auto"/>
        </w:rPr>
        <w:t>”——“三进”</w:t>
      </w:r>
      <w:r>
        <w:rPr>
          <w:bCs/>
          <w:color w:val="000000"/>
          <w:szCs w:val="32"/>
          <w:shd w:val="clear" w:color="auto" w:fill="auto"/>
        </w:rPr>
        <w:t>品牌，综合运</w:t>
      </w:r>
      <w:r>
        <w:rPr>
          <w:rFonts w:ascii="方正仿宋_GBK" w:hint="eastAsia"/>
          <w:bCs/>
          <w:color w:val="000000"/>
          <w:szCs w:val="32"/>
          <w:shd w:val="clear" w:color="auto" w:fill="auto"/>
        </w:rPr>
        <w:t>用“关长联系企业”“关长接待日”</w:t>
      </w:r>
      <w:r>
        <w:rPr>
          <w:bCs/>
          <w:color w:val="000000"/>
          <w:szCs w:val="32"/>
          <w:shd w:val="clear" w:color="auto" w:fill="auto"/>
        </w:rPr>
        <w:t>等工作机制，年内深入企业调研走访150余家次，收集解决企业诉求、问题82个，开展海关课堂进校园、关爱特殊儿童、探访孤寡老人等活动21次，服务群众超1万人次，收到锦旗、感谢信等5次。</w:t>
      </w:r>
      <w:r>
        <w:rPr>
          <w:b/>
          <w:bCs/>
          <w:color w:val="000000"/>
          <w:szCs w:val="32"/>
          <w:shd w:val="clear" w:color="auto" w:fill="auto"/>
        </w:rPr>
        <w:t>四是</w:t>
      </w:r>
      <w:r>
        <w:rPr>
          <w:bCs/>
          <w:color w:val="000000"/>
          <w:szCs w:val="32"/>
          <w:shd w:val="clear" w:color="auto" w:fill="auto"/>
        </w:rPr>
        <w:t>发挥番禺</w:t>
      </w:r>
      <w:r>
        <w:rPr>
          <w:rFonts w:ascii="方正仿宋_GBK" w:hint="eastAsia"/>
          <w:bCs/>
          <w:color w:val="000000"/>
          <w:szCs w:val="32"/>
          <w:shd w:val="clear" w:color="auto" w:fill="auto"/>
        </w:rPr>
        <w:t>海关“小番茄”新媒体工作室作用，</w:t>
      </w:r>
      <w:r>
        <w:rPr>
          <w:rFonts w:ascii="方正仿宋_GBK"/>
          <w:bCs/>
          <w:color w:val="000000"/>
          <w:szCs w:val="32"/>
          <w:shd w:val="clear" w:color="auto" w:fill="auto"/>
        </w:rPr>
        <w:t>进一步提升</w:t>
      </w:r>
      <w:r>
        <w:rPr>
          <w:rFonts w:ascii="方正仿宋_GBK" w:hint="eastAsia"/>
          <w:bCs/>
          <w:color w:val="000000"/>
          <w:szCs w:val="32"/>
          <w:shd w:val="clear" w:color="auto" w:fill="auto"/>
        </w:rPr>
        <w:t>海关业务改革、促外贸稳增长、国门生物安全、政策细化解读等内容</w:t>
      </w:r>
      <w:r>
        <w:rPr>
          <w:rFonts w:ascii="方正仿宋_GBK"/>
          <w:bCs/>
          <w:color w:val="000000"/>
          <w:szCs w:val="32"/>
          <w:shd w:val="clear" w:color="auto" w:fill="auto"/>
        </w:rPr>
        <w:t>质效。</w:t>
      </w:r>
      <w:r>
        <w:rPr>
          <w:bCs/>
          <w:color w:val="000000"/>
          <w:szCs w:val="32"/>
          <w:shd w:val="clear" w:color="auto" w:fill="auto"/>
        </w:rPr>
        <w:t>年内番禺海关相关工作成果多次被人民日报、南方日报、国门时报、海关发布等媒体转载报道。</w:t>
      </w:r>
    </w:p>
    <w:p>
      <w:pPr>
        <w:pStyle w:val="36"/>
        <w:shd w:val="clear" w:color="auto" w:fill="auto"/>
        <w:spacing w:line="560" w:lineRule="exact"/>
        <w:ind w:firstLineChars="200" w:firstLine="640"/>
        <w:rPr>
          <w:rFonts w:eastAsia="方正楷体_GBK"/>
          <w:b/>
          <w:bCs/>
          <w:shd w:val="clear" w:color="auto" w:fill="auto"/>
        </w:rPr>
      </w:pPr>
      <w:r>
        <w:rPr>
          <w:rFonts w:eastAsia="方正楷体_GBK"/>
          <w:b/>
          <w:bCs/>
          <w:shd w:val="clear" w:color="auto" w:fill="auto"/>
        </w:rPr>
        <w:t>（五）监督保障情况。</w:t>
      </w:r>
    </w:p>
    <w:p>
      <w:pPr>
        <w:pStyle w:val="36"/>
        <w:shd w:val="clear" w:color="auto" w:fill="auto"/>
        <w:spacing w:line="560" w:lineRule="exact"/>
        <w:ind w:firstLineChars="200" w:firstLine="640"/>
        <w:rPr>
          <w:bCs/>
          <w:color w:val="000000"/>
          <w:szCs w:val="32"/>
          <w:shd w:val="clear" w:color="auto" w:fill="auto"/>
        </w:rPr>
      </w:pPr>
      <w:r>
        <w:rPr>
          <w:bCs/>
          <w:color w:val="000000"/>
          <w:szCs w:val="32"/>
          <w:shd w:val="clear" w:color="auto" w:fill="auto"/>
        </w:rPr>
        <w:t>强化政府信息公开管理，通过召开关企座谈会、公示行政执法信息、邀请特约监督员等方式，主动接受社会监督。加强队伍建设和人才培养，通过加大培训、学习、交流力度，不断提升岗位人员业务水平。定期组织网站栏目信息发布情况自查自纠，年内开展关区对外办事大厅实地指导检查、窗口作风督查等5次。</w:t>
      </w:r>
    </w:p>
    <w:p>
      <w:pPr>
        <w:pStyle w:val="36"/>
        <w:shd w:val="clear" w:color="auto" w:fill="auto"/>
        <w:spacing w:line="560" w:lineRule="exact"/>
        <w:ind w:firstLineChars="200" w:firstLine="640"/>
        <w:rPr>
          <w:rFonts w:ascii="方正黑体_GBK" w:eastAsia="方正黑体_GBK" w:hint="eastAsia"/>
          <w:bCs/>
          <w:kern w:val="0"/>
          <w:szCs w:val="32"/>
          <w:shd w:val="clear" w:color="auto" w:fill="auto"/>
        </w:rPr>
      </w:pPr>
      <w:r>
        <w:rPr>
          <w:rFonts w:ascii="方正黑体_GBK" w:eastAsia="方正黑体_GBK" w:hint="eastAsia"/>
          <w:bCs/>
          <w:kern w:val="0"/>
          <w:szCs w:val="32"/>
          <w:shd w:val="clear" w:color="auto" w:fill="auto"/>
        </w:rPr>
        <w:t>二、主动公开政府信息情况</w:t>
      </w:r>
    </w:p>
    <w:tbl>
      <w:tblPr>
        <w:jc w:val="center"/>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hd w:val="clear" w:color="auto" w:fill="auto"/>
              <w:spacing w:line="560" w:lineRule="exact"/>
              <w:jc w:val="center"/>
              <w:rPr>
                <w:rFonts w:eastAsia="方正仿宋_GBK"/>
                <w:bCs/>
                <w:color w:val="000000"/>
                <w:sz w:val="32"/>
                <w:szCs w:val="32"/>
                <w:shd w:val="clear" w:color="auto" w:fill="auto"/>
              </w:rPr>
            </w:pPr>
            <w:r>
              <w:rPr>
                <w:rFonts w:ascii="宋体" w:hint="eastAsia"/>
                <w:bCs/>
                <w:color w:val="00000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本年制发件数</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本年废止件数</w:t>
            </w:r>
          </w:p>
        </w:tc>
        <w:tc>
          <w:tcPr>
            <w:tcW w:w="2156" w:type="dxa"/>
            <w:tcBorders>
              <w:top w:val="nil"/>
              <w:left w:val="nil"/>
              <w:bottom w:val="single" w:sz="8" w:space="0" w:color="auto"/>
              <w:right w:val="single" w:sz="8" w:space="0" w:color="auto"/>
              <w:tl2br w:val="nil"/>
              <w:tr2bl w:val="nil"/>
            </w:tcBorders>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7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行政规范性文件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7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52"/>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行政许可</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56"/>
              <w:shd w:val="clear" w:color="auto" w:fill="auto"/>
              <w:spacing w:line="560" w:lineRule="exact"/>
              <w:jc w:val="center"/>
              <w:rPr>
                <w:rFonts w:ascii="宋体" w:hint="eastAsia"/>
                <w:bCs/>
                <w:color w:val="000000"/>
                <w:sz w:val="24"/>
                <w:szCs w:val="24"/>
                <w:shd w:val="clear" w:color="auto" w:fill="auto"/>
              </w:rPr>
            </w:pPr>
            <w:r>
              <w:rPr>
                <w:bCs/>
                <w:color w:val="000000"/>
                <w:sz w:val="24"/>
                <w:szCs w:val="24"/>
                <w:shd w:val="clear" w:color="auto" w:fill="auto"/>
              </w:rPr>
              <w:t>5</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65"/>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行政处罚</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94"/>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301</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行政强制</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30"/>
              <w:shd w:val="clear" w:color="auto" w:fill="auto"/>
              <w:spacing w:line="560" w:lineRule="exact"/>
              <w:jc w:val="center"/>
              <w:rPr>
                <w:bCs/>
                <w:color w:val="000000"/>
                <w:sz w:val="24"/>
                <w:szCs w:val="24"/>
                <w:shd w:val="clear" w:color="auto" w:fill="auto"/>
              </w:rPr>
            </w:pPr>
            <w:r>
              <w:rPr>
                <w:bCs/>
                <w:color w:val="000000"/>
                <w:sz w:val="24"/>
                <w:szCs w:val="24"/>
                <w:shd w:val="clear" w:color="auto" w:fill="auto"/>
              </w:rPr>
              <w:t>78</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hd w:val="clear" w:color="auto" w:fill="auto"/>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信息内容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80"/>
              <w:widowControl/>
              <w:shd w:val="clear" w:color="auto" w:fill="auto"/>
              <w:adjustRightInd w:val="0"/>
              <w:snapToGrid w:val="0"/>
              <w:spacing w:line="560" w:lineRule="exact"/>
              <w:jc w:val="center"/>
              <w:rPr>
                <w:rFonts w:ascii="宋体" w:hint="eastAsia"/>
                <w:bCs/>
                <w:color w:val="000000"/>
                <w:sz w:val="24"/>
                <w:szCs w:val="24"/>
                <w:shd w:val="clear" w:color="auto" w:fill="auto"/>
              </w:rPr>
            </w:pPr>
            <w:r>
              <w:rPr>
                <w:rFonts w:ascii="宋体" w:hint="eastAsia"/>
                <w:bCs/>
                <w:color w:val="00000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adjustRightInd w:val="0"/>
              <w:snapToGrid w:val="0"/>
              <w:spacing w:line="560" w:lineRule="exact"/>
              <w:jc w:val="center"/>
              <w:rPr>
                <w:rFonts w:ascii="宋体" w:hint="eastAsia"/>
                <w:sz w:val="24"/>
                <w:szCs w:val="24"/>
                <w:shd w:val="clear" w:color="auto" w:fill="auto"/>
              </w:rPr>
            </w:pPr>
            <w:r>
              <w:rPr>
                <w:rFonts w:ascii="宋体" w:hint="eastAsia"/>
                <w:bCs/>
                <w:color w:val="000000"/>
                <w:sz w:val="24"/>
                <w:szCs w:val="24"/>
                <w:shd w:val="clear" w:color="auto" w:fill="auto"/>
              </w:rPr>
              <w:t>行</w:t>
            </w:r>
            <w:r>
              <w:rPr>
                <w:rFonts w:ascii="宋体" w:hint="eastAsia"/>
                <w:kern w:val="0"/>
                <w:sz w:val="24"/>
                <w:szCs w:val="24"/>
                <w:shd w:val="clear" w:color="auto" w:fill="auto"/>
              </w:rPr>
              <w:t>政事业性收费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43"/>
              <w:shd w:val="clear" w:color="auto" w:fill="auto"/>
              <w:spacing w:line="560" w:lineRule="exact"/>
              <w:jc w:val="center"/>
              <w:rPr>
                <w:sz w:val="24"/>
                <w:szCs w:val="24"/>
                <w:shd w:val="clear" w:color="auto" w:fill="auto"/>
              </w:rPr>
            </w:pPr>
            <w:r>
              <w:rPr>
                <w:sz w:val="24"/>
                <w:szCs w:val="24"/>
                <w:shd w:val="clear" w:color="auto" w:fill="auto"/>
              </w:rPr>
              <w:t>0</w:t>
            </w:r>
          </w:p>
        </w:tc>
      </w:tr>
    </w:tbl>
    <w:p>
      <w:pPr>
        <w:pStyle w:val="211"/>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w:t>
      </w:r>
      <w:bookmarkStart w:id="2" w:name="_GoBack"/>
      <w:bookmarkEnd w:id="2"/>
      <w:r>
        <w:rPr>
          <w:rFonts w:eastAsia="方正仿宋_GBK" w:cs="方正黑体_GBK" w:hint="eastAsia"/>
          <w:kern w:val="2"/>
          <w:sz w:val="32"/>
          <w:szCs w:val="32"/>
          <w:shd w:val="clear" w:color="auto" w:fill="auto"/>
        </w:rPr>
        <w:t>政许可的处理决定数量，包括本机关在本年度内作出的准予许可决定、不予许可决定、变更许可决定、延期（延续）许可决定、撤销许可决定、撤回许可决定等。</w:t>
      </w:r>
    </w:p>
    <w:p>
      <w:pPr>
        <w:pStyle w:val="36"/>
        <w:shd w:val="clear" w:color="auto" w:fill="auto"/>
        <w:spacing w:line="560" w:lineRule="exact"/>
        <w:ind w:firstLineChars="200" w:firstLine="640"/>
        <w:rPr>
          <w:rFonts w:ascii="方正黑体_GBK" w:eastAsia="方正黑体_GBK" w:hint="eastAsia"/>
          <w:bCs/>
          <w:kern w:val="0"/>
          <w:szCs w:val="32"/>
          <w:shd w:val="clear" w:color="auto" w:fill="auto"/>
        </w:rPr>
      </w:pPr>
      <w:r>
        <w:rPr>
          <w:rFonts w:ascii="方正黑体_GBK" w:eastAsia="方正黑体_GBK" w:hint="eastAsia"/>
          <w:bCs/>
          <w:kern w:val="0"/>
          <w:szCs w:val="32"/>
          <w:shd w:val="clear" w:color="auto" w:fill="auto"/>
        </w:rPr>
        <w:t>三、收到和处理政府信息公开申请情况</w:t>
      </w:r>
    </w:p>
    <w:tbl>
      <w:tblPr>
        <w:jc w:val="center"/>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hd w:val="clear" w:color="auto" w:fill="auto"/>
              </w:rPr>
            </w:pPr>
            <w:r>
              <w:rPr>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3"/>
              <w:widowControl/>
              <w:shd w:val="clear" w:color="auto" w:fill="auto"/>
              <w:spacing w:line="560" w:lineRule="exact"/>
              <w:jc w:val="left"/>
              <w:rPr>
                <w:rFonts w:ascii="宋体" w:hint="eastAsia"/>
                <w:sz w:val="24"/>
                <w:szCs w:val="24"/>
                <w:shd w:val="clear" w:color="auto" w:fill="auto"/>
              </w:rPr>
            </w:pPr>
            <w:r>
              <w:rPr>
                <w:rFonts w:ascii="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5</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5</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3"/>
              <w:widowControl/>
              <w:shd w:val="clear" w:color="auto" w:fill="auto"/>
              <w:spacing w:line="560" w:lineRule="exact"/>
              <w:jc w:val="left"/>
              <w:rPr>
                <w:rFonts w:ascii="宋体" w:hint="eastAsia"/>
                <w:sz w:val="24"/>
                <w:szCs w:val="24"/>
                <w:shd w:val="clear" w:color="auto" w:fill="auto"/>
              </w:rPr>
            </w:pPr>
            <w:r>
              <w:rPr>
                <w:rFonts w:ascii="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left"/>
              <w:rPr>
                <w:sz w:val="24"/>
                <w:szCs w:val="24"/>
                <w:shd w:val="clear" w:color="auto" w:fill="auto"/>
              </w:rPr>
            </w:pPr>
            <w:r>
              <w:rPr>
                <w:rFonts w:eastAsia="楷体"/>
                <w:kern w:val="0"/>
                <w:sz w:val="24"/>
                <w:szCs w:val="24"/>
                <w:shd w:val="clear" w:color="auto" w:fill="auto"/>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left"/>
              <w:rPr>
                <w:sz w:val="24"/>
                <w:szCs w:val="24"/>
                <w:shd w:val="clear" w:color="auto" w:fill="auto"/>
              </w:rPr>
            </w:pPr>
            <w:r>
              <w:rPr>
                <w:rFonts w:eastAsia="楷体"/>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2</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2</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1.属于国家秘密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3.危及“三安全一稳定”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4.保护第三方合法权益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5.属于三类内部事务信息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6.属于四类过程性信息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7.属于行政执法案卷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8.属于行政查询事项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1.信访举报投诉类申请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2.重复申请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3.要求提供公开出版物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tcPr>
          <w:p>
            <w:pPr>
              <w:pStyle w:val="43"/>
              <w:widowControl/>
              <w:shd w:val="clear" w:color="auto" w:fill="auto"/>
              <w:spacing w:line="560" w:lineRule="exact"/>
              <w:rPr>
                <w:rFonts w:eastAsia="楷体"/>
                <w:kern w:val="0"/>
                <w:sz w:val="24"/>
                <w:szCs w:val="24"/>
                <w:shd w:val="clear" w:color="auto" w:fill="auto"/>
              </w:rPr>
            </w:pPr>
            <w:r>
              <w:rPr>
                <w:rFonts w:eastAsia="楷体"/>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3"/>
              <w:widowControl/>
              <w:shd w:val="clear" w:color="auto" w:fill="auto"/>
              <w:spacing w:line="560" w:lineRule="exact"/>
              <w:rPr>
                <w:rFonts w:eastAsia="楷体"/>
                <w:kern w:val="0"/>
                <w:sz w:val="24"/>
                <w:szCs w:val="24"/>
                <w:shd w:val="clear" w:color="auto" w:fill="auto"/>
              </w:rPr>
            </w:pPr>
            <w:r>
              <w:rPr>
                <w:rFonts w:eastAsia="楷体"/>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3"/>
              <w:widowControl/>
              <w:shd w:val="clear" w:color="auto" w:fill="auto"/>
              <w:spacing w:line="560" w:lineRule="exact"/>
              <w:rPr>
                <w:rFonts w:eastAsia="楷体"/>
                <w:kern w:val="0"/>
                <w:sz w:val="24"/>
                <w:szCs w:val="24"/>
                <w:shd w:val="clear" w:color="auto" w:fill="auto"/>
              </w:rPr>
            </w:pPr>
            <w:r>
              <w:rPr>
                <w:rFonts w:eastAsia="楷体"/>
                <w:kern w:val="0"/>
                <w:sz w:val="24"/>
                <w:szCs w:val="24"/>
                <w:shd w:val="clear" w:color="auto" w:fill="auto"/>
              </w:rPr>
              <w:t>3.咨询事项，指引咨询渠道</w:t>
            </w:r>
          </w:p>
        </w:tc>
        <w:tc>
          <w:tcPr>
            <w:tcW w:w="63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3"/>
              <w:widowControl/>
              <w:shd w:val="clear" w:color="auto" w:fill="auto"/>
              <w:spacing w:line="560" w:lineRule="exact"/>
              <w:rPr>
                <w:rFonts w:eastAsia="楷体"/>
                <w:kern w:val="0"/>
                <w:sz w:val="24"/>
                <w:szCs w:val="24"/>
                <w:shd w:val="clear" w:color="auto" w:fill="auto"/>
              </w:rPr>
            </w:pPr>
            <w:r>
              <w:rPr>
                <w:rFonts w:eastAsia="楷体"/>
                <w:kern w:val="0"/>
                <w:sz w:val="24"/>
                <w:szCs w:val="24"/>
                <w:shd w:val="clear" w:color="auto" w:fill="auto"/>
              </w:rPr>
              <w:t>4.申请人撤销申请</w:t>
            </w:r>
          </w:p>
        </w:tc>
        <w:tc>
          <w:tcPr>
            <w:tcW w:w="63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1</w:t>
            </w:r>
          </w:p>
        </w:tc>
        <w:tc>
          <w:tcPr>
            <w:tcW w:w="67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rPr>
                <w:sz w:val="24"/>
                <w:szCs w:val="24"/>
                <w:shd w:val="clear" w:color="auto" w:fill="auto"/>
              </w:rPr>
            </w:pPr>
            <w:r>
              <w:rPr>
                <w:rFonts w:eastAsia="楷体"/>
                <w:kern w:val="0"/>
                <w:sz w:val="24"/>
                <w:szCs w:val="24"/>
                <w:shd w:val="clear" w:color="auto" w:fill="auto"/>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5</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5</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left"/>
              <w:rPr>
                <w:shd w:val="clear" w:color="auto" w:fill="auto"/>
              </w:rPr>
            </w:pPr>
            <w:r>
              <w:rPr>
                <w:kern w:val="0"/>
                <w:sz w:val="24"/>
                <w:szCs w:val="24"/>
                <w:shd w:val="clear" w:color="auto" w:fill="auto"/>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bl>
    <w:p>
      <w:pPr>
        <w:pStyle w:val="36"/>
        <w:shd w:val="clear" w:color="auto" w:fill="auto"/>
        <w:spacing w:line="560" w:lineRule="exact"/>
        <w:ind w:firstLineChars="200" w:firstLine="640"/>
        <w:rPr>
          <w:rFonts w:ascii="方正黑体_GBK" w:eastAsia="方正黑体_GBK" w:hint="eastAsia"/>
          <w:bCs/>
          <w:kern w:val="0"/>
          <w:szCs w:val="32"/>
          <w:shd w:val="clear" w:color="auto" w:fill="auto"/>
        </w:rPr>
      </w:pPr>
      <w:r>
        <w:rPr>
          <w:rFonts w:ascii="方正黑体_GBK" w:eastAsia="方正黑体_GBK" w:hint="eastAsia"/>
          <w:bCs/>
          <w:kern w:val="0"/>
          <w:szCs w:val="32"/>
          <w:shd w:val="clear" w:color="auto" w:fill="auto"/>
        </w:rPr>
        <w:t>四、政府信息公开行政复议、行政诉讼情况</w:t>
      </w:r>
    </w:p>
    <w:tbl>
      <w:tblPr>
        <w:jc w:val="center"/>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hd w:val="clear" w:color="auto" w:fill="auto"/>
              <w:spacing w:line="560" w:lineRule="exact"/>
              <w:jc w:val="center"/>
              <w:rPr>
                <w:sz w:val="24"/>
                <w:szCs w:val="24"/>
                <w:shd w:val="clear" w:color="auto" w:fill="auto"/>
              </w:rPr>
            </w:pPr>
            <w:r>
              <w:rPr>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sz w:val="28"/>
                <w:szCs w:val="28"/>
                <w:shd w:val="clear" w:color="auto" w:fill="auto"/>
              </w:rPr>
            </w:pPr>
            <w:r>
              <w:rPr>
                <w:sz w:val="28"/>
                <w:szCs w:val="28"/>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kern w:val="0"/>
                <w:sz w:val="28"/>
                <w:szCs w:val="28"/>
                <w:shd w:val="clear" w:color="auto" w:fill="auto"/>
              </w:rPr>
            </w:pPr>
            <w:r>
              <w:rPr>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hd w:val="clear" w:color="auto" w:fill="auto"/>
              <w:spacing w:line="560" w:lineRule="exact"/>
              <w:jc w:val="center"/>
              <w:rPr>
                <w:kern w:val="0"/>
                <w:sz w:val="28"/>
                <w:szCs w:val="28"/>
                <w:shd w:val="clear" w:color="auto" w:fill="auto"/>
              </w:rPr>
            </w:pPr>
            <w:r>
              <w:rPr>
                <w:kern w:val="0"/>
                <w:sz w:val="28"/>
                <w:szCs w:val="28"/>
                <w:shd w:val="clear" w:color="auto" w:fill="auto"/>
              </w:rPr>
              <w:t>0</w:t>
            </w:r>
          </w:p>
        </w:tc>
      </w:tr>
    </w:tbl>
    <w:p>
      <w:pPr>
        <w:pStyle w:val="36"/>
        <w:shd w:val="clear" w:color="auto" w:fill="auto"/>
        <w:spacing w:line="560" w:lineRule="exact"/>
        <w:ind w:firstLineChars="200" w:firstLine="640"/>
        <w:rPr>
          <w:rFonts w:ascii="方正黑体_GBK" w:eastAsia="方正黑体_GBK" w:hint="eastAsia"/>
          <w:bCs/>
          <w:kern w:val="0"/>
          <w:szCs w:val="32"/>
          <w:shd w:val="clear" w:color="auto" w:fill="auto"/>
        </w:rPr>
      </w:pPr>
      <w:r>
        <w:rPr>
          <w:rFonts w:ascii="方正黑体_GBK" w:eastAsia="方正黑体_GBK" w:hint="eastAsia"/>
          <w:bCs/>
          <w:kern w:val="0"/>
          <w:szCs w:val="32"/>
          <w:shd w:val="clear" w:color="auto" w:fill="auto"/>
        </w:rPr>
        <w:t>五、存在的主要问题及改进情况</w:t>
      </w:r>
    </w:p>
    <w:p>
      <w:pPr>
        <w:pStyle w:val="35"/>
        <w:shd w:val="clear" w:color="auto" w:fill="auto"/>
        <w:adjustRightInd w:val="0"/>
        <w:snapToGrid w:val="0"/>
        <w:ind w:firstLineChars="200" w:firstLine="640"/>
        <w:rPr>
          <w:rFonts w:eastAsia="方正楷体_GBK"/>
          <w:b/>
          <w:bCs/>
          <w:spacing w:val="0"/>
          <w:shd w:val="clear" w:color="auto" w:fill="auto"/>
        </w:rPr>
      </w:pPr>
      <w:bookmarkEnd w:id="1"/>
      <w:r>
        <w:rPr>
          <w:rFonts w:eastAsia="方正楷体_GBK"/>
          <w:b/>
          <w:bCs/>
          <w:spacing w:val="0"/>
          <w:shd w:val="clear" w:color="auto" w:fill="auto"/>
        </w:rPr>
        <w:t>（一）2023年年报中所提问题整改情况。</w:t>
      </w:r>
    </w:p>
    <w:p>
      <w:pPr>
        <w:pStyle w:val="35"/>
        <w:shd w:val="clear" w:color="auto" w:fill="auto"/>
        <w:adjustRightInd w:val="0"/>
        <w:snapToGrid w:val="0"/>
        <w:ind w:firstLineChars="200" w:firstLine="640"/>
        <w:rPr>
          <w:bCs/>
          <w:color w:val="000000"/>
          <w:spacing w:val="0"/>
          <w:szCs w:val="32"/>
          <w:shd w:val="clear" w:color="auto" w:fill="auto"/>
        </w:rPr>
      </w:pPr>
      <w:r>
        <w:rPr>
          <w:bCs/>
          <w:color w:val="000000"/>
          <w:spacing w:val="0"/>
          <w:szCs w:val="32"/>
          <w:shd w:val="clear" w:color="auto" w:fill="auto"/>
        </w:rPr>
        <w:t>番禺海关2023年年报中提出以下问题：政府信息依申请公开工作整体水平需进一步提升，相关人才培养力度有待进一步加强。</w:t>
      </w:r>
    </w:p>
    <w:p>
      <w:pPr>
        <w:pStyle w:val="35"/>
        <w:shd w:val="clear" w:color="auto" w:fill="auto"/>
        <w:adjustRightInd w:val="0"/>
        <w:snapToGrid w:val="0"/>
        <w:ind w:firstLineChars="200" w:firstLine="640"/>
        <w:rPr>
          <w:bCs/>
          <w:color w:val="000000"/>
          <w:spacing w:val="0"/>
          <w:szCs w:val="32"/>
          <w:shd w:val="clear" w:color="auto" w:fill="auto"/>
        </w:rPr>
      </w:pPr>
      <w:r>
        <w:rPr>
          <w:bCs/>
          <w:color w:val="000000"/>
          <w:spacing w:val="0"/>
          <w:szCs w:val="32"/>
          <w:shd w:val="clear" w:color="auto" w:fill="auto"/>
        </w:rPr>
        <w:t>上述问题在2024年已采取措施完成整改：组织学习贯彻新修订《中华人民共和国行政复议法》对政府信息公开工作的新规范、新要求，按时按质完成政府信息依申请公开工作，强化年轻干部锻炼培养，年内开展政务公开岗位业务学习培训4次，持续提升政府信息公开工作质效。</w:t>
      </w:r>
    </w:p>
    <w:p>
      <w:pPr>
        <w:pStyle w:val="36"/>
        <w:shd w:val="clear" w:color="auto" w:fill="auto"/>
        <w:spacing w:line="560" w:lineRule="exact"/>
        <w:ind w:firstLineChars="200" w:firstLine="640"/>
        <w:rPr>
          <w:rFonts w:ascii="方正黑体_GBK" w:eastAsia="方正黑体_GBK" w:hint="eastAsia"/>
          <w:b/>
          <w:bCs/>
          <w:kern w:val="0"/>
          <w:szCs w:val="32"/>
          <w:shd w:val="clear" w:color="auto" w:fill="auto"/>
        </w:rPr>
      </w:pPr>
      <w:r>
        <w:rPr>
          <w:rFonts w:eastAsia="方正楷体_GBK"/>
          <w:b/>
          <w:bCs/>
          <w:spacing w:val="0"/>
          <w:shd w:val="clear" w:color="auto" w:fill="auto"/>
        </w:rPr>
        <w:t>（二）目前存在问题。</w:t>
      </w:r>
    </w:p>
    <w:p>
      <w:pPr>
        <w:pStyle w:val="35"/>
        <w:shd w:val="clear" w:color="auto" w:fill="auto"/>
        <w:adjustRightInd w:val="0"/>
        <w:snapToGrid w:val="0"/>
        <w:ind w:firstLineChars="200" w:firstLine="640"/>
        <w:rPr>
          <w:bCs/>
          <w:color w:val="000000"/>
          <w:spacing w:val="0"/>
          <w:szCs w:val="32"/>
          <w:shd w:val="clear" w:color="auto" w:fill="auto"/>
        </w:rPr>
      </w:pPr>
      <w:r>
        <w:rPr>
          <w:bCs/>
          <w:color w:val="000000"/>
          <w:spacing w:val="0"/>
          <w:szCs w:val="32"/>
          <w:shd w:val="clear" w:color="auto" w:fill="auto"/>
        </w:rPr>
        <w:t>政府信息主动公开工作规范性有待提高，需进一步强化岗位人员业务培训，加大内控建设力度，不断提高政府信息主动公开工作水平。</w:t>
      </w:r>
    </w:p>
    <w:p>
      <w:pPr>
        <w:pStyle w:val="36"/>
        <w:shd w:val="clear" w:color="auto" w:fill="auto"/>
        <w:spacing w:line="560" w:lineRule="exact"/>
        <w:ind w:firstLineChars="200" w:firstLine="640"/>
        <w:rPr>
          <w:rFonts w:ascii="方正黑体_GBK" w:eastAsia="方正黑体_GBK" w:hint="eastAsia"/>
          <w:bCs/>
          <w:kern w:val="0"/>
          <w:szCs w:val="32"/>
          <w:shd w:val="clear" w:color="auto" w:fill="auto"/>
        </w:rPr>
      </w:pPr>
      <w:r>
        <w:rPr>
          <w:rFonts w:ascii="方正黑体_GBK" w:eastAsia="方正黑体_GBK" w:hint="eastAsia"/>
          <w:bCs/>
          <w:kern w:val="0"/>
          <w:szCs w:val="32"/>
          <w:shd w:val="clear" w:color="auto" w:fill="auto"/>
        </w:rPr>
        <w:t>六、其他需要报告的事项</w:t>
      </w:r>
    </w:p>
    <w:p>
      <w:pPr>
        <w:pStyle w:val="110"/>
        <w:shd w:val="clear" w:color="auto" w:fill="auto"/>
        <w:adjustRightInd w:val="0"/>
        <w:snapToGrid w:val="0"/>
        <w:ind w:firstLineChars="200" w:firstLine="640"/>
        <w:rPr>
          <w:rFonts w:eastAsia="方正楷体_GBK"/>
          <w:b/>
          <w:bCs/>
          <w:spacing w:val="0"/>
          <w:shd w:val="clear" w:color="auto" w:fill="auto"/>
        </w:rPr>
      </w:pPr>
      <w:r>
        <w:rPr>
          <w:rFonts w:eastAsia="方正楷体_GBK"/>
          <w:b/>
          <w:bCs/>
          <w:spacing w:val="0"/>
          <w:shd w:val="clear" w:color="auto" w:fill="auto"/>
        </w:rPr>
        <w:t>（一）政府信息公开信息处理收取情况。</w:t>
      </w:r>
    </w:p>
    <w:p>
      <w:pPr>
        <w:pStyle w:val="111"/>
        <w:shd w:val="clear" w:color="auto" w:fill="auto"/>
        <w:adjustRightInd w:val="0"/>
        <w:snapToGrid w:val="0"/>
        <w:ind w:firstLineChars="200" w:firstLine="640"/>
        <w:rPr>
          <w:bCs/>
          <w:color w:val="000000"/>
          <w:spacing w:val="0"/>
          <w:szCs w:val="32"/>
          <w:shd w:val="clear" w:color="auto" w:fill="auto"/>
        </w:rPr>
      </w:pPr>
      <w:r>
        <w:rPr>
          <w:bCs/>
          <w:color w:val="000000"/>
          <w:spacing w:val="0"/>
          <w:szCs w:val="32"/>
          <w:shd w:val="clear" w:color="auto" w:fill="auto"/>
        </w:rPr>
        <w:t>番禺海关严格按照《国务院办公厅关于印发〈政府信息公开信息处理费管理办法〉的通知》，规范政府信息公开信息处理费收取工作，2024年未收取政府信息公开信息处理费。</w:t>
      </w:r>
    </w:p>
    <w:p>
      <w:pPr>
        <w:pStyle w:val="111"/>
        <w:shd w:val="clear" w:color="auto" w:fill="auto"/>
        <w:adjustRightInd w:val="0"/>
        <w:snapToGrid w:val="0"/>
        <w:ind w:firstLineChars="200" w:firstLine="640"/>
        <w:rPr>
          <w:rFonts w:eastAsia="方正楷体_GBK"/>
          <w:b/>
          <w:bCs/>
          <w:spacing w:val="0"/>
          <w:shd w:val="clear" w:color="auto" w:fill="auto"/>
        </w:rPr>
      </w:pPr>
      <w:r>
        <w:rPr>
          <w:rFonts w:eastAsia="方正楷体_GBK"/>
          <w:b/>
          <w:bCs/>
          <w:spacing w:val="0"/>
          <w:shd w:val="clear" w:color="auto" w:fill="auto"/>
        </w:rPr>
        <w:t>（二）获评荣誉情况。</w:t>
      </w:r>
    </w:p>
    <w:p>
      <w:pPr>
        <w:pStyle w:val="111"/>
        <w:shd w:val="clear" w:color="auto" w:fill="auto"/>
        <w:adjustRightInd w:val="0"/>
        <w:snapToGrid w:val="0"/>
        <w:ind w:firstLineChars="200" w:firstLine="640"/>
        <w:rPr>
          <w:bCs/>
          <w:color w:val="000000"/>
          <w:spacing w:val="0"/>
          <w:szCs w:val="32"/>
          <w:shd w:val="clear" w:color="auto" w:fill="auto"/>
        </w:rPr>
      </w:pPr>
      <w:r>
        <w:rPr>
          <w:bCs/>
          <w:color w:val="000000"/>
          <w:spacing w:val="0"/>
          <w:szCs w:val="32"/>
          <w:shd w:val="clear" w:color="auto" w:fill="auto"/>
        </w:rPr>
        <w:t>番禺海关注重党员干部先进典型选树培育，年内番禺海关珠宝园监管科获评</w:t>
      </w:r>
      <w:r>
        <w:rPr>
          <w:rFonts w:ascii="方正仿宋_GBK" w:hint="eastAsia"/>
          <w:bCs/>
          <w:color w:val="000000"/>
          <w:spacing w:val="0"/>
          <w:szCs w:val="32"/>
          <w:shd w:val="clear" w:color="auto" w:fill="auto"/>
        </w:rPr>
        <w:t>“</w:t>
      </w:r>
      <w:r>
        <w:rPr>
          <w:bCs/>
          <w:color w:val="000000"/>
          <w:spacing w:val="0"/>
          <w:szCs w:val="32"/>
          <w:shd w:val="clear" w:color="auto" w:fill="auto"/>
        </w:rPr>
        <w:t>广</w:t>
      </w:r>
      <w:r>
        <w:rPr>
          <w:rFonts w:ascii="方正仿宋_GBK" w:hint="eastAsia"/>
          <w:bCs/>
          <w:color w:val="000000"/>
          <w:spacing w:val="0"/>
          <w:szCs w:val="32"/>
          <w:shd w:val="clear" w:color="auto" w:fill="auto"/>
        </w:rPr>
        <w:t>州海关三八红旗集体”，团支部获评“广州海关先进基层团组织”，</w:t>
      </w:r>
      <w:r>
        <w:rPr>
          <w:bCs/>
          <w:color w:val="000000"/>
          <w:spacing w:val="0"/>
          <w:szCs w:val="32"/>
          <w:shd w:val="clear" w:color="auto" w:fill="auto"/>
        </w:rPr>
        <w:t>多人次获评</w:t>
      </w:r>
      <w:r>
        <w:rPr>
          <w:rFonts w:hint="eastAsia"/>
          <w:bCs/>
          <w:color w:val="000000"/>
          <w:spacing w:val="0"/>
          <w:szCs w:val="32"/>
          <w:shd w:val="clear" w:color="auto" w:fill="auto"/>
        </w:rPr>
        <w:t>“</w:t>
      </w:r>
      <w:r>
        <w:rPr>
          <w:bCs/>
          <w:color w:val="000000"/>
          <w:spacing w:val="0"/>
          <w:szCs w:val="32"/>
          <w:shd w:val="clear" w:color="auto" w:fill="auto"/>
        </w:rPr>
        <w:t>广州海关优秀共青团干部</w:t>
      </w:r>
      <w:r>
        <w:rPr>
          <w:rFonts w:hint="eastAsia"/>
          <w:bCs/>
          <w:color w:val="000000"/>
          <w:spacing w:val="0"/>
          <w:szCs w:val="32"/>
          <w:shd w:val="clear" w:color="auto" w:fill="auto"/>
        </w:rPr>
        <w:t>”“</w:t>
      </w:r>
      <w:r>
        <w:rPr>
          <w:bCs/>
          <w:color w:val="000000"/>
          <w:spacing w:val="0"/>
          <w:szCs w:val="32"/>
          <w:shd w:val="clear" w:color="auto" w:fill="auto"/>
        </w:rPr>
        <w:t>广州海关学雷锋志愿服务先进个人</w:t>
      </w:r>
      <w:r>
        <w:rPr>
          <w:rFonts w:hint="eastAsia"/>
          <w:bCs/>
          <w:color w:val="000000"/>
          <w:spacing w:val="0"/>
          <w:szCs w:val="32"/>
          <w:shd w:val="clear" w:color="auto" w:fill="auto"/>
        </w:rPr>
        <w:t>”</w:t>
      </w:r>
      <w:r>
        <w:rPr>
          <w:bCs/>
          <w:color w:val="000000"/>
          <w:spacing w:val="0"/>
          <w:szCs w:val="32"/>
          <w:shd w:val="clear" w:color="auto" w:fill="auto"/>
        </w:rPr>
        <w:t>等荣誉称号。</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40001" w:csb1="00000000"/>
  </w:font>
  <w:font w:name="方正黑体_GBK">
    <w:altName w:val="汉仪中黑KW"/>
    <w:panose1 w:val="00000000000000000000"/>
    <w:charset w:val="00"/>
    <w:family w:val="script"/>
    <w:pitch w:val="variable"/>
    <w:sig w:usb0="00000000" w:usb1="00000000" w:usb2="00000010" w:usb3="00000000" w:csb0="00040000" w:csb1="00000000"/>
  </w:font>
  <w:font w:name="方正楷体_GBK">
    <w:altName w:val="汉仪楷体简"/>
    <w:panose1 w:val="00000000000000000000"/>
    <w:charset w:val="00"/>
    <w:family w:val="script"/>
    <w:pitch w:val="variable"/>
    <w:sig w:usb0="00000000" w:usb1="0000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方正仿宋_GBK">
    <w:altName w:val="Arial Unicode MS"/>
    <w:panose1 w:val="02000000000000000000"/>
    <w:charset w:val="86"/>
    <w:family w:val="script"/>
    <w:pitch w:val="variable"/>
    <w:sig w:usb0="00000000" w:usb1="38CF7CFA" w:usb2="00082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tabs>
        <w:tab w:val="center" w:pos="4153"/>
        <w:tab w:val="right" w:pos="8306"/>
      </w:tabs>
    </w:pPr>
    <w:r>
      <w:rPr>
        <w:rStyle w:val="26"/>
      </w:rPr>
      <w:fldChar w:fldCharType="begin"/>
    </w:r>
    <w:r>
      <w:rPr>
        <w:rStyle w:val="26"/>
      </w:rPr>
      <w:instrText>Page</w:instrText>
    </w:r>
    <w:r>
      <w:fldChar w:fldCharType="separate"/>
    </w:r>
    <w:r>
      <w:rPr>
        <w:rStyle w:val="26"/>
        <w:lang w:val="en-US" w:eastAsia="zh-CN"/>
      </w:rPr>
      <w:t>- 3 -</w:t>
    </w:r>
    <w:r>
      <w:fldChar w:fldCharType="end"/>
    </w:r>
  </w:p>
  <w:p>
    <w:pPr>
      <w:pStyle w:val="20"/>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tabs>
        <w:tab w:val="center" w:pos="4153"/>
        <w:tab w:val="right" w:pos="8306"/>
      </w:tabs>
    </w:pPr>
    <w:r>
      <w:rPr>
        <w:rStyle w:val="26"/>
      </w:rPr>
      <w:fldChar w:fldCharType="begin"/>
    </w:r>
    <w:r>
      <w:rPr>
        <w:rStyle w:val="26"/>
      </w:rPr>
      <w:instrText>Page</w:instrText>
    </w:r>
    <w:r>
      <w:fldChar w:fldCharType="separate"/>
    </w:r>
    <w:r>
      <w:rPr>
        <w:rStyle w:val="26"/>
        <w:lang w:val="en-US" w:eastAsia="zh-CN"/>
      </w:rPr>
      <w:t>- 2 -</w:t>
    </w:r>
    <w:r>
      <w:fldChar w:fldCharType="end"/>
    </w:r>
  </w:p>
  <w:p>
    <w:pPr>
      <w:pStyle w:val="20"/>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8</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0"/>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docVar w:name="commondata" w:val="eyJoZGlkIjoiOGU5ZDVlNTA0ZGNjNTg3NjBhZTQ0ODVkMDhjNjNhZ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List Number 2"/>
    <w:basedOn w:val="0"/>
    <w:pPr>
      <w:tabs>
        <w:tab w:val="left" w:pos="780"/>
      </w:tabs>
      <w:ind w:left="780" w:hanging="360"/>
    </w:pPr>
  </w:style>
  <w:style w:type="paragraph" w:styleId="16">
    <w:name w:val="index 8"/>
    <w:basedOn w:val="0"/>
    <w:next w:val="0"/>
    <w:pPr>
      <w:ind w:left="2940"/>
    </w:pPr>
  </w:style>
  <w:style w:type="paragraph" w:styleId="17">
    <w:name w:val="index 5"/>
    <w:basedOn w:val="0"/>
    <w:next w:val="0"/>
    <w:pPr>
      <w:ind w:left="1680"/>
    </w:pPr>
  </w:style>
  <w:style w:type="paragraph" w:styleId="18">
    <w:name w:val="index 6"/>
    <w:basedOn w:val="0"/>
    <w:next w:val="0"/>
    <w:pPr>
      <w:ind w:left="21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sz w:val="18"/>
      <w:szCs w:val="18"/>
    </w:rPr>
  </w:style>
  <w:style w:type="paragraph" w:styleId="21">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22">
    <w:name w:val="toc 1"/>
    <w:basedOn w:val="0"/>
    <w:next w:val="0"/>
  </w:style>
  <w:style w:type="paragraph" w:styleId="23">
    <w:name w:val="index 7"/>
    <w:basedOn w:val="0"/>
    <w:next w:val="0"/>
    <w:pPr>
      <w:ind w:left="2520"/>
    </w:pPr>
  </w:style>
  <w:style w:type="paragraph" w:styleId="24">
    <w:name w:val="toc 2"/>
    <w:basedOn w:val="0"/>
    <w:next w:val="0"/>
    <w:pPr>
      <w:ind w:left="420"/>
    </w:pPr>
  </w:style>
  <w:style w:type="paragraph" w:styleId="25">
    <w:name w:val="Normal (Web)"/>
    <w:next w:val="20"/>
    <w:pPr>
      <w:widowControl w:val="0"/>
    </w:pPr>
    <w:rPr>
      <w:rFonts w:ascii="Times New Roman" w:eastAsia="宋体" w:cs="Times New Roman" w:hAnsi="Times New Roman"/>
      <w:sz w:val="24"/>
      <w:szCs w:val="30"/>
      <w:lang w:val="en-US" w:eastAsia="zh-CN" w:bidi="ar-SA"/>
    </w:rPr>
  </w:style>
  <w:style w:type="character" w:styleId="26">
    <w:name w:val="page number"/>
    <w:basedOn w:val="10"/>
  </w:style>
  <w:style w:type="character" w:styleId="27">
    <w:name w:val="FollowedHyperlink"/>
    <w:basedOn w:val="10"/>
    <w:rPr>
      <w:color w:val="800080"/>
      <w:u w:val="single"/>
    </w:rPr>
  </w:style>
  <w:style w:type="character" w:styleId="28">
    <w:name w:val="Hyperlink"/>
    <w:basedOn w:val="10"/>
    <w:rPr>
      <w:color w:val="0000FF"/>
      <w:u w:val="single"/>
    </w:rPr>
  </w:style>
  <w:style w:type="paragraph" w:customStyle="1" w:styleId="29">
    <w:name w:val="样式 1 三号"/>
    <w:next w:val="22"/>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0">
    <w:name w:val="样式 17 小三 New"/>
    <w:pPr>
      <w:widowControl w:val="0"/>
      <w:jc w:val="both"/>
    </w:pPr>
    <w:rPr>
      <w:rFonts w:ascii="Times New Roman" w:eastAsia="宋体" w:cs="Times New Roman" w:hAnsi="Times New Roman"/>
      <w:kern w:val="2"/>
      <w:sz w:val="30"/>
      <w:szCs w:val="30"/>
      <w:lang w:val="en-US" w:eastAsia="zh-CN" w:bidi="ar-SA"/>
    </w:rPr>
  </w:style>
  <w:style w:type="paragraph" w:customStyle="1" w:styleId="31">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32">
    <w:name w:val="样式 13 三号 New"/>
    <w:next w:val="2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3">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小三 New New New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6">
    <w:name w:val="正文5"/>
    <w:pPr>
      <w:widowControl w:val="0"/>
      <w:jc w:val="both"/>
    </w:pPr>
    <w:rPr>
      <w:rFonts w:ascii="Times New Roman" w:eastAsia="方正仿宋_GBK" w:cs="Times New Roman" w:hAnsi="Times New Roman"/>
      <w:kern w:val="2"/>
      <w:sz w:val="32"/>
      <w:lang w:val="en-US" w:eastAsia="zh-CN" w:bidi="ar-SA"/>
    </w:rPr>
  </w:style>
  <w:style w:type="paragraph" w:customStyle="1" w:styleId="37">
    <w:name w:val="正文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0">
    <w:name w:val="正文 New New New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41">
    <w:name w:val="样式 20 小四"/>
    <w:next w:val="17"/>
    <w:pPr>
      <w:widowControl w:val="0"/>
    </w:pPr>
    <w:rPr>
      <w:rFonts w:ascii="Times New Roman" w:eastAsia="宋体" w:cs="Times New Roman" w:hAnsi="Times New Roman"/>
      <w:sz w:val="24"/>
      <w:szCs w:val="30"/>
      <w:lang w:val="en-US" w:eastAsia="zh-CN" w:bidi="ar-SA"/>
    </w:rPr>
  </w:style>
  <w:style w:type="paragraph" w:customStyle="1" w:styleId="42">
    <w:name w:val="样式 三号 Char Char Char Char Char Char Char Char Char Char"/>
    <w:pPr>
      <w:widowControl w:val="0"/>
      <w:jc w:val="both"/>
    </w:pPr>
    <w:rPr>
      <w:rFonts w:ascii="Times New Roman" w:eastAsia="方正仿宋_GBK" w:cs="Times New Roman" w:hAnsi="Times New Roman"/>
      <w:kern w:val="2"/>
      <w:sz w:val="32"/>
      <w:lang w:val="en-US" w:eastAsia="zh-CN" w:bidi="ar-SA"/>
    </w:rPr>
  </w:style>
  <w:style w:type="paragraph" w:customStyle="1" w:styleId="43">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正文 New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46">
    <w:name w:val="正文 New New New New New New New New New New New"/>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7">
    <w:name w:val="页脚 New"/>
    <w:basedOn w:val="46"/>
    <w:pPr>
      <w:snapToGrid w:val="0"/>
      <w:spacing w:line="240" w:lineRule="auto"/>
      <w:jc w:val="center"/>
    </w:pPr>
    <w:rPr>
      <w:kern w:val="0"/>
      <w:sz w:val="28"/>
    </w:rPr>
  </w:style>
  <w:style w:type="paragraph" w:customStyle="1" w:styleId="48">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customStyle="1" w:styleId="51">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三号 Char Char Char Char Char Char Char Char"/>
    <w:pPr>
      <w:widowControl w:val="0"/>
      <w:jc w:val="both"/>
    </w:pPr>
    <w:rPr>
      <w:rFonts w:ascii="Times New Roman" w:eastAsia="方正仿宋_GBK" w:cs="Times New Roman" w:hAnsi="Times New Roman"/>
      <w:kern w:val="2"/>
      <w:sz w:val="32"/>
      <w:lang w:val="en-US" w:eastAsia="zh-CN" w:bidi="ar-SA"/>
    </w:rPr>
  </w:style>
  <w:style w:type="paragraph" w:customStyle="1" w:styleId="55">
    <w:name w:val="正文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56">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正文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58">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9">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1">
    <w:name w:val="样式 三号 Char Char Char Char Char Char"/>
    <w:pPr>
      <w:widowControl w:val="0"/>
      <w:jc w:val="both"/>
    </w:pPr>
    <w:rPr>
      <w:rFonts w:ascii="Times New Roman" w:eastAsia="方正仿宋_GBK" w:cs="Times New Roman" w:hAnsi="Times New Roman"/>
      <w:kern w:val="2"/>
      <w:sz w:val="32"/>
      <w:lang w:val="en-US" w:eastAsia="zh-CN" w:bidi="ar-SA"/>
    </w:rPr>
  </w:style>
  <w:style w:type="paragraph" w:customStyle="1" w:styleId="62">
    <w:name w:val="样式 50 三号"/>
    <w:next w:val="18"/>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3">
    <w:name w:val="正文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64">
    <w:name w:val="正文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6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7 三号 New"/>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67">
    <w:name w:val="样式 12 三号"/>
    <w:next w:val="16"/>
    <w:pPr>
      <w:widowControl w:val="0"/>
      <w:jc w:val="both"/>
    </w:pPr>
    <w:rPr>
      <w:rFonts w:ascii="Times New Roman" w:eastAsia="方正仿宋_GBK" w:cs="Times New Roman" w:hAnsi="Times New Roman"/>
      <w:kern w:val="2"/>
      <w:sz w:val="32"/>
      <w:lang w:val="en-US" w:eastAsia="zh-CN" w:bidi="ar-SA"/>
    </w:rPr>
  </w:style>
  <w:style w:type="paragraph" w:customStyle="1" w:styleId="68">
    <w:name w:val="样式 小三 New New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三号 Char Char Char Char Char Char Char Char Char Char Char Char"/>
    <w:pPr>
      <w:widowControl w:val="0"/>
      <w:jc w:val="both"/>
    </w:pPr>
    <w:rPr>
      <w:rFonts w:ascii="Times New Roman" w:eastAsia="方正仿宋_GBK" w:cs="Times New Roman" w:hAnsi="Times New Roman"/>
      <w:kern w:val="2"/>
      <w:sz w:val="32"/>
      <w:lang w:val="en-US" w:eastAsia="zh-CN" w:bidi="ar-SA"/>
    </w:rPr>
  </w:style>
  <w:style w:type="paragraph" w:customStyle="1" w:styleId="70">
    <w:name w:val="样式 小三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2">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5">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6 小四"/>
    <w:next w:val="69"/>
    <w:pPr>
      <w:widowControl w:val="0"/>
    </w:pPr>
    <w:rPr>
      <w:rFonts w:ascii="Times New Roman" w:eastAsia="宋体" w:cs="Times New Roman" w:hAnsi="Times New Roman"/>
      <w:sz w:val="24"/>
      <w:szCs w:val="30"/>
      <w:lang w:val="en-US" w:eastAsia="zh-CN" w:bidi="ar-SA"/>
    </w:rPr>
  </w:style>
  <w:style w:type="paragraph" w:customStyle="1" w:styleId="78">
    <w:name w:val="样式 8 三号 New"/>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9">
    <w:name w:val="正文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80">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正文 New New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82">
    <w:name w:val="样式 小三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13 三号"/>
    <w:next w:val="2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4">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5">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三号 Char Char Char Char"/>
    <w:pPr>
      <w:widowControl w:val="0"/>
      <w:jc w:val="both"/>
    </w:pPr>
    <w:rPr>
      <w:rFonts w:ascii="Times New Roman" w:eastAsia="方正仿宋_GBK" w:cs="Times New Roman" w:hAnsi="Times New Roman"/>
      <w:kern w:val="2"/>
      <w:sz w:val="32"/>
      <w:lang w:val="en-US" w:eastAsia="zh-CN" w:bidi="ar-SA"/>
    </w:rPr>
  </w:style>
  <w:style w:type="paragraph" w:customStyle="1" w:styleId="87">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2 小四"/>
    <w:pPr>
      <w:widowControl w:val="0"/>
    </w:pPr>
    <w:rPr>
      <w:rFonts w:ascii="Times New Roman" w:eastAsia="宋体" w:cs="Times New Roman" w:hAnsi="Times New Roman"/>
      <w:sz w:val="24"/>
      <w:szCs w:val="30"/>
      <w:lang w:val="en-US" w:eastAsia="zh-CN" w:bidi="ar-SA"/>
    </w:rPr>
  </w:style>
  <w:style w:type="paragraph" w:customStyle="1" w:styleId="90">
    <w:name w:val="样式 小三 New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三号 Char Char"/>
    <w:pPr>
      <w:widowControl w:val="0"/>
      <w:jc w:val="both"/>
    </w:pPr>
    <w:rPr>
      <w:rFonts w:ascii="Times New Roman" w:eastAsia="方正仿宋_GBK" w:cs="Times New Roman" w:hAnsi="Times New Roman"/>
      <w:kern w:val="2"/>
      <w:sz w:val="32"/>
      <w:lang w:val="en-US" w:eastAsia="zh-CN" w:bidi="ar-SA"/>
    </w:rPr>
  </w:style>
  <w:style w:type="paragraph" w:customStyle="1" w:styleId="94">
    <w:name w:val="样式 小三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正文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96">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1 小四"/>
    <w:next w:val="42"/>
    <w:pPr>
      <w:widowControl w:val="0"/>
    </w:pPr>
    <w:rPr>
      <w:rFonts w:ascii="宋体" w:eastAsia="宋体" w:cs="Times New Roman"/>
      <w:kern w:val="2"/>
      <w:sz w:val="24"/>
      <w:lang w:val="en-US" w:eastAsia="zh-CN" w:bidi="ar-SA"/>
    </w:rPr>
  </w:style>
  <w:style w:type="paragraph" w:customStyle="1" w:styleId="98">
    <w:name w:val="样式 小四"/>
    <w:pPr>
      <w:widowControl w:val="0"/>
    </w:pPr>
    <w:rPr>
      <w:rFonts w:ascii="宋体" w:eastAsia="宋体" w:cs="Times New Roman"/>
      <w:kern w:val="2"/>
      <w:sz w:val="24"/>
      <w:lang w:val="en-US" w:eastAsia="zh-CN" w:bidi="ar-SA"/>
    </w:rPr>
  </w:style>
  <w:style w:type="paragraph" w:customStyle="1" w:styleId="99">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0">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styleId="101">
    <w:name w:val="annotation text"/>
    <w:basedOn w:val="0"/>
    <w:pPr>
      <w:jc w:val="left"/>
    </w:pPr>
  </w:style>
  <w:style w:type="paragraph" w:styleId="102">
    <w:name w:val="annotation subject"/>
    <w:basedOn w:val="101"/>
    <w:next w:val="101"/>
    <w:rPr>
      <w:b/>
    </w:rPr>
  </w:style>
  <w:style w:type="paragraph" w:customStyle="1" w:styleId="103">
    <w:name w:val="样式 14 三号"/>
    <w:pPr>
      <w:widowControl w:val="0"/>
      <w:jc w:val="both"/>
    </w:pPr>
    <w:rPr>
      <w:rFonts w:ascii="Times New Roman" w:eastAsia="方正仿宋_GBK" w:cs="Times New Roman" w:hAnsi="Times New Roman"/>
      <w:kern w:val="2"/>
      <w:sz w:val="32"/>
      <w:lang w:val="en-US" w:eastAsia="zh-CN" w:bidi="ar-SA"/>
    </w:rPr>
  </w:style>
  <w:style w:type="paragraph" w:customStyle="1" w:styleId="104">
    <w:name w:val="样式 15 三号"/>
    <w:pPr>
      <w:widowControl w:val="0"/>
      <w:jc w:val="both"/>
    </w:pPr>
    <w:rPr>
      <w:rFonts w:ascii="Times New Roman" w:eastAsia="方正仿宋_GBK" w:cs="Times New Roman" w:hAnsi="Times New Roman"/>
      <w:kern w:val="2"/>
      <w:sz w:val="32"/>
      <w:lang w:val="en-US" w:eastAsia="zh-CN" w:bidi="ar-SA"/>
    </w:rPr>
  </w:style>
  <w:style w:type="paragraph" w:customStyle="1" w:styleId="105">
    <w:name w:val="样式 16 三号"/>
    <w:pPr>
      <w:widowControl w:val="0"/>
      <w:jc w:val="both"/>
    </w:pPr>
    <w:rPr>
      <w:rFonts w:ascii="Times New Roman" w:eastAsia="方正仿宋_GBK" w:cs="Times New Roman" w:hAnsi="Times New Roman"/>
      <w:kern w:val="2"/>
      <w:sz w:val="32"/>
      <w:lang w:val="en-US" w:eastAsia="zh-CN" w:bidi="ar-SA"/>
    </w:rPr>
  </w:style>
  <w:style w:type="paragraph" w:customStyle="1" w:styleId="106">
    <w:name w:val="样式 17 三号"/>
    <w:pPr>
      <w:widowControl w:val="0"/>
      <w:jc w:val="both"/>
    </w:pPr>
    <w:rPr>
      <w:rFonts w:ascii="Times New Roman" w:eastAsia="方正仿宋_GBK" w:cs="Times New Roman" w:hAnsi="Times New Roman"/>
      <w:kern w:val="2"/>
      <w:sz w:val="32"/>
      <w:lang w:val="en-US" w:eastAsia="zh-CN" w:bidi="ar-SA"/>
    </w:rPr>
  </w:style>
  <w:style w:type="paragraph" w:customStyle="1" w:styleId="107">
    <w:name w:val="样式 18 三号"/>
    <w:pPr>
      <w:widowControl w:val="0"/>
      <w:jc w:val="both"/>
    </w:pPr>
    <w:rPr>
      <w:rFonts w:ascii="Times New Roman" w:eastAsia="方正仿宋_GBK" w:cs="Times New Roman" w:hAnsi="Times New Roman"/>
      <w:kern w:val="2"/>
      <w:sz w:val="32"/>
      <w:lang w:val="en-US" w:eastAsia="zh-CN" w:bidi="ar-SA"/>
    </w:rPr>
  </w:style>
  <w:style w:type="paragraph" w:customStyle="1" w:styleId="108">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9">
    <w:name w:val="样式 2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0">
    <w:name w:val="样式 2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1">
    <w:name w:val="样式 2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2">
    <w:name w:val="样式 5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113">
    <w:name w:val="样式 23 三号"/>
    <w:pPr>
      <w:widowControl w:val="0"/>
      <w:jc w:val="both"/>
    </w:pPr>
    <w:rPr>
      <w:rFonts w:ascii="Times New Roman" w:eastAsia="方正仿宋_GBK" w:cs="Times New Roman" w:hAnsi="Times New Roman"/>
      <w:kern w:val="2"/>
      <w:sz w:val="32"/>
      <w:lang w:val="en-US" w:eastAsia="zh-CN" w:bidi="ar-SA"/>
    </w:rPr>
  </w:style>
  <w:style w:type="paragraph" w:customStyle="1" w:styleId="114">
    <w:name w:val="样式 24 三号"/>
    <w:pPr>
      <w:widowControl w:val="0"/>
      <w:jc w:val="both"/>
    </w:pPr>
    <w:rPr>
      <w:rFonts w:ascii="Times New Roman" w:eastAsia="方正仿宋_GBK" w:cs="Times New Roman" w:hAnsi="Times New Roman"/>
      <w:kern w:val="2"/>
      <w:sz w:val="32"/>
      <w:lang w:val="en-US" w:eastAsia="zh-CN" w:bidi="ar-SA"/>
    </w:rPr>
  </w:style>
  <w:style w:type="paragraph" w:customStyle="1" w:styleId="115">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116">
    <w:name w:val="样式 26 三号"/>
    <w:pPr>
      <w:widowControl w:val="0"/>
      <w:jc w:val="both"/>
    </w:pPr>
    <w:rPr>
      <w:rFonts w:ascii="Times New Roman" w:eastAsia="方正仿宋_GBK" w:cs="Times New Roman" w:hAnsi="Times New Roman"/>
      <w:kern w:val="2"/>
      <w:sz w:val="32"/>
      <w:lang w:val="en-US" w:eastAsia="zh-CN" w:bidi="ar-SA"/>
    </w:rPr>
  </w:style>
  <w:style w:type="paragraph" w:customStyle="1" w:styleId="117">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8">
    <w:name w:val="样式 28 三号"/>
    <w:pPr>
      <w:widowControl w:val="0"/>
      <w:jc w:val="both"/>
    </w:pPr>
    <w:rPr>
      <w:rFonts w:ascii="Times New Roman" w:eastAsia="方正仿宋_GBK" w:cs="Times New Roman" w:hAnsi="Times New Roman"/>
      <w:kern w:val="2"/>
      <w:sz w:val="32"/>
      <w:lang w:val="en-US" w:eastAsia="zh-CN" w:bidi="ar-SA"/>
    </w:rPr>
  </w:style>
  <w:style w:type="paragraph" w:customStyle="1" w:styleId="211">
    <w:name w:val="样式 7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762</TotalTime>
  <Application>Yozo_Office</Application>
  <Pages>8</Pages>
  <Words>3003</Words>
  <Characters>3104</Characters>
  <Lines>459</Lines>
  <Paragraphs>316</Paragraphs>
  <CharactersWithSpaces>3104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title>番禺海关2023年政府信息公开工作年度报告</dc:title>
  <dc:creator>吕大良</dc:creator>
  <cp:lastModifiedBy>刘书华</cp:lastModifiedBy>
  <cp:revision>26</cp:revision>
  <cp:lastPrinted>2025-01-17T03:53:21Z</cp:lastPrinted>
  <dcterms:created xsi:type="dcterms:W3CDTF">2025-01-07T02:32:00Z</dcterms:created>
  <dcterms:modified xsi:type="dcterms:W3CDTF">2025-01-26T07:52:16Z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2052-6.12.0.8899</vt:lpwstr>
  </property>
  <property fmtid="{D5CDD505-2E9C-101B-9397-08002B2CF9AE}" pid="3" name="ICV">
    <vt:lpwstr>F7F73132ABCCD07073F17967318540C0_42</vt:lpwstr>
  </property>
</Properties>
</file>