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hd w:val="clear" w:color="auto" w:fill="auto"/>
        <w:spacing w:line="580" w:lineRule="exact"/>
        <w:jc w:val="center"/>
        <w:rPr>
          <w:rFonts w:ascii="方正小标宋_GBK" w:eastAsia="方正小标宋_GBK" w:cs="方正小标宋_GBK" w:hint="eastAsia"/>
          <w:sz w:val="44"/>
          <w:szCs w:val="44"/>
          <w:shd w:val="clear" w:color="auto" w:fill="auto"/>
        </w:rPr>
      </w:pPr>
      <w:bookmarkStart w:id="0" w:name="_Hlk25540369"/>
      <w:bookmarkStart w:id="1" w:name="cogw__正文__file"/>
      <w:r>
        <w:rPr>
          <w:rFonts w:ascii="方正小标宋_GBK" w:eastAsia="方正小标宋_GBK" w:cs="方正小标宋_GBK" w:hint="eastAsia"/>
          <w:sz w:val="44"/>
          <w:szCs w:val="44"/>
          <w:shd w:val="clear" w:color="auto" w:fill="auto"/>
        </w:rPr>
        <w:t>海珠海关</w:t>
      </w:r>
      <w:r>
        <w:rPr>
          <w:rFonts w:ascii="方正小标宋_GBK" w:eastAsia="方正小标宋_GBK" w:hint="eastAsia"/>
          <w:sz w:val="44"/>
          <w:szCs w:val="44"/>
          <w:shd w:val="clear" w:color="auto" w:fill="auto"/>
        </w:rPr>
        <w:t>2024</w:t>
      </w:r>
      <w:r>
        <w:rPr>
          <w:rFonts w:ascii="方正小标宋_GBK" w:eastAsia="方正小标宋_GBK" w:cs="方正小标宋_GBK" w:hint="eastAsia"/>
          <w:sz w:val="44"/>
          <w:szCs w:val="44"/>
          <w:shd w:val="clear" w:color="auto" w:fill="auto"/>
        </w:rPr>
        <w:t>年政府信息公开工作年度报告</w:t>
      </w:r>
      <w:bookmarkEnd w:id="0"/>
    </w:p>
    <w:p>
      <w:pPr>
        <w:pStyle w:val="25"/>
        <w:widowControl/>
        <w:shd w:val="clear" w:color="auto" w:fill="auto"/>
        <w:adjustRightInd w:val="0"/>
        <w:snapToGrid w:val="0"/>
        <w:spacing w:beforeAutospacing="0" w:afterAutospacing="0" w:line="560" w:lineRule="exact"/>
        <w:jc w:val="both"/>
        <w:rPr>
          <w:rFonts w:ascii="楷体_GB2312" w:eastAsia="楷体_GB2312" w:cs="楷体_GB2312"/>
          <w:bCs/>
          <w:sz w:val="32"/>
          <w:szCs w:val="32"/>
          <w:shd w:val="clear" w:color="auto" w:fill="auto"/>
        </w:rPr>
      </w:pPr>
    </w:p>
    <w:p>
      <w:pPr>
        <w:shd w:val="clear" w:color="auto" w:fill="auto"/>
        <w:spacing w:line="560" w:lineRule="exact"/>
        <w:ind w:firstLineChars="200" w:firstLine="640"/>
        <w:rPr>
          <w:color w:val="000000"/>
          <w:kern w:val="0"/>
          <w:szCs w:val="32"/>
          <w:shd w:val="clear" w:color="auto" w:fill="auto"/>
        </w:rPr>
      </w:pPr>
      <w:r>
        <w:rPr>
          <w:color w:val="000000"/>
          <w:kern w:val="0"/>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海珠海关 20</w:t>
      </w:r>
      <w:r>
        <w:rPr>
          <w:rFonts w:hint="eastAsia"/>
          <w:color w:val="000000"/>
          <w:kern w:val="0"/>
          <w:szCs w:val="32"/>
          <w:shd w:val="clear" w:color="auto" w:fill="auto"/>
        </w:rPr>
        <w:t>24</w:t>
      </w:r>
      <w:r>
        <w:rPr>
          <w:color w:val="000000"/>
          <w:kern w:val="0"/>
          <w:szCs w:val="32"/>
          <w:shd w:val="clear" w:color="auto" w:fill="auto"/>
        </w:rPr>
        <w:t> 年政府信息公开工作年报。年报中所列数据的统计期限，自 202</w:t>
      </w:r>
      <w:r>
        <w:rPr>
          <w:rFonts w:hint="eastAsia"/>
          <w:color w:val="000000"/>
          <w:kern w:val="0"/>
          <w:szCs w:val="32"/>
          <w:shd w:val="clear" w:color="auto" w:fill="auto"/>
        </w:rPr>
        <w:t>4</w:t>
      </w:r>
      <w:r>
        <w:rPr>
          <w:color w:val="000000"/>
          <w:kern w:val="0"/>
          <w:szCs w:val="32"/>
          <w:shd w:val="clear" w:color="auto" w:fill="auto"/>
        </w:rPr>
        <w:t> 年 1 月 1 日起至 202</w:t>
      </w:r>
      <w:r>
        <w:rPr>
          <w:rFonts w:hint="eastAsia"/>
          <w:color w:val="000000"/>
          <w:kern w:val="0"/>
          <w:szCs w:val="32"/>
          <w:shd w:val="clear" w:color="auto" w:fill="auto"/>
        </w:rPr>
        <w:t>4</w:t>
      </w:r>
      <w:r>
        <w:rPr>
          <w:color w:val="000000"/>
          <w:kern w:val="0"/>
          <w:szCs w:val="32"/>
          <w:shd w:val="clear" w:color="auto" w:fill="auto"/>
        </w:rPr>
        <w:t>年 12月 31 日止。如对本年报有疑问或有任何意见、建议，请联系海珠海关办公室。地址：广东省广州市海珠区新滘西路 555 号，邮编：510300 ；电话： 020-8431051</w:t>
      </w:r>
      <w:r>
        <w:rPr>
          <w:rFonts w:hint="eastAsia"/>
          <w:color w:val="000000"/>
          <w:kern w:val="0"/>
          <w:szCs w:val="32"/>
          <w:shd w:val="clear" w:color="auto" w:fill="auto"/>
        </w:rPr>
        <w:t>7；</w:t>
      </w:r>
      <w:r>
        <w:rPr>
          <w:color w:val="000000"/>
          <w:kern w:val="0"/>
          <w:szCs w:val="32"/>
          <w:shd w:val="clear" w:color="auto" w:fill="auto"/>
        </w:rPr>
        <w:t>电子邮箱：</w:t>
      </w:r>
      <w:r>
        <w:rPr>
          <w:kern w:val="0"/>
          <w:szCs w:val="32"/>
          <w:shd w:val="clear" w:color="auto" w:fill="auto"/>
        </w:rPr>
        <w:t>hzhg@customs.gov.cn</w:t>
      </w:r>
      <w:r>
        <w:rPr>
          <w:color w:val="000000"/>
          <w:kern w:val="0"/>
          <w:szCs w:val="32"/>
          <w:shd w:val="clear" w:color="auto" w:fill="auto"/>
        </w:rPr>
        <w:t>。</w:t>
      </w:r>
    </w:p>
    <w:p>
      <w:pPr>
        <w:shd w:val="clear" w:color="auto" w:fill="auto"/>
        <w:spacing w:line="560" w:lineRule="exact"/>
        <w:ind w:firstLineChars="200" w:firstLine="640"/>
        <w:rPr>
          <w:rFonts w:ascii="方正黑体_GBK" w:eastAsia="方正黑体_GBK"/>
          <w:color w:val="000000"/>
          <w:kern w:val="0"/>
          <w:szCs w:val="32"/>
          <w:shd w:val="clear" w:color="auto" w:fill="auto"/>
        </w:rPr>
      </w:pPr>
      <w:r>
        <w:rPr>
          <w:rFonts w:ascii="方正黑体_GBK" w:eastAsia="方正黑体_GBK" w:hint="eastAsia"/>
          <w:color w:val="000000"/>
          <w:kern w:val="0"/>
          <w:szCs w:val="32"/>
          <w:shd w:val="clear" w:color="auto" w:fill="auto"/>
        </w:rPr>
        <w:t>一、总体情况</w:t>
      </w:r>
    </w:p>
    <w:p>
      <w:pPr>
        <w:shd w:val="clear" w:color="auto" w:fill="auto"/>
        <w:spacing w:line="560" w:lineRule="exact"/>
        <w:ind w:firstLineChars="200" w:firstLine="640"/>
        <w:rPr>
          <w:rFonts w:ascii="方正黑体_GBK" w:eastAsia="方正黑体_GBK"/>
          <w:color w:val="000000"/>
          <w:kern w:val="0"/>
          <w:szCs w:val="32"/>
          <w:shd w:val="clear" w:color="auto" w:fill="auto"/>
        </w:rPr>
      </w:pPr>
      <w:r>
        <w:rPr>
          <w:color w:val="000000"/>
          <w:kern w:val="0"/>
          <w:szCs w:val="32"/>
          <w:shd w:val="clear" w:color="auto" w:fill="auto"/>
        </w:rPr>
        <w:t>202</w:t>
      </w:r>
      <w:r>
        <w:rPr>
          <w:rFonts w:hint="eastAsia"/>
          <w:color w:val="000000"/>
          <w:kern w:val="0"/>
          <w:szCs w:val="32"/>
          <w:shd w:val="clear" w:color="auto" w:fill="auto"/>
        </w:rPr>
        <w:t>4</w:t>
      </w:r>
      <w:r>
        <w:rPr>
          <w:color w:val="000000"/>
          <w:kern w:val="0"/>
          <w:szCs w:val="32"/>
          <w:shd w:val="clear" w:color="auto" w:fill="auto"/>
        </w:rPr>
        <w:t>年，海珠海关始终坚持以习近平新时代中国特色社会主义思想为指导，全面贯彻落实党的二十大和二十届二中、三中全会精神，</w:t>
      </w:r>
      <w:r>
        <w:rPr>
          <w:rFonts w:hint="eastAsia"/>
          <w:color w:val="000000"/>
          <w:kern w:val="0"/>
          <w:szCs w:val="32"/>
          <w:shd w:val="clear" w:color="auto" w:fill="auto"/>
        </w:rPr>
        <w:t>深入学习贯彻习近平总书记</w:t>
      </w:r>
      <w:r>
        <w:rPr>
          <w:color w:val="000000"/>
          <w:kern w:val="0"/>
          <w:szCs w:val="32"/>
          <w:shd w:val="clear" w:color="auto" w:fill="auto"/>
        </w:rPr>
        <w:t>重要指示批示和</w:t>
      </w:r>
      <w:r>
        <w:rPr>
          <w:rFonts w:hint="eastAsia"/>
          <w:color w:val="000000"/>
          <w:kern w:val="0"/>
          <w:szCs w:val="32"/>
          <w:shd w:val="clear" w:color="auto" w:fill="auto"/>
        </w:rPr>
        <w:t>给</w:t>
      </w:r>
      <w:r>
        <w:rPr>
          <w:color w:val="000000"/>
          <w:kern w:val="0"/>
          <w:szCs w:val="32"/>
          <w:shd w:val="clear" w:color="auto" w:fill="auto"/>
        </w:rPr>
        <w:t>红其拉甫海关全体关员重要回信精神，</w:t>
      </w:r>
      <w:r>
        <w:rPr>
          <w:rFonts w:hint="eastAsia"/>
          <w:color w:val="000000"/>
          <w:kern w:val="0"/>
          <w:szCs w:val="32"/>
          <w:shd w:val="clear" w:color="auto" w:fill="auto"/>
        </w:rPr>
        <w:t>严格</w:t>
      </w:r>
      <w:r>
        <w:rPr>
          <w:color w:val="000000"/>
          <w:kern w:val="0"/>
          <w:szCs w:val="32"/>
          <w:shd w:val="clear" w:color="auto" w:fill="auto"/>
        </w:rPr>
        <w:t>落实《中华人民共和国政府信息公开条例》（以下简称《条例》）</w:t>
      </w:r>
      <w:r>
        <w:rPr>
          <w:rFonts w:hint="eastAsia"/>
          <w:color w:val="000000"/>
          <w:kern w:val="0"/>
          <w:szCs w:val="32"/>
          <w:shd w:val="clear" w:color="auto" w:fill="auto"/>
        </w:rPr>
        <w:t>要求，深化政务公开工作，不断增强政府</w:t>
      </w:r>
      <w:r>
        <w:rPr>
          <w:rFonts w:hint="eastAsia"/>
          <w:shd w:val="clear" w:color="auto" w:fill="auto"/>
        </w:rPr>
        <w:t>公信力、执行力。</w:t>
      </w:r>
      <w:r>
        <w:rPr>
          <w:color w:val="000000"/>
          <w:kern w:val="0"/>
          <w:szCs w:val="32"/>
          <w:shd w:val="clear" w:color="auto" w:fill="auto"/>
        </w:rPr>
        <w:t>现将工作情况报告如下：</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ascii="方正楷体_GBK" w:eastAsia="方正楷体_GBK"/>
          <w:b/>
          <w:color w:val="000000"/>
          <w:kern w:val="0"/>
          <w:szCs w:val="32"/>
          <w:shd w:val="clear" w:color="auto" w:fill="auto"/>
        </w:rPr>
        <w:t>（一）主动公开情况。</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hint="eastAsia"/>
          <w:szCs w:val="32"/>
          <w:shd w:val="clear" w:color="auto" w:fill="auto"/>
        </w:rPr>
        <w:t>完善《海珠海关政务公开标准事项目录》</w:t>
      </w:r>
      <w:r>
        <w:rPr>
          <w:szCs w:val="32"/>
          <w:shd w:val="clear" w:color="auto" w:fill="auto"/>
        </w:rPr>
        <w:t>并及时更新维护</w:t>
      </w:r>
      <w:r>
        <w:rPr>
          <w:rFonts w:hint="eastAsia"/>
          <w:szCs w:val="32"/>
          <w:shd w:val="clear" w:color="auto" w:fill="auto"/>
        </w:rPr>
        <w:t>，充分利用广州海关门户网站、“广州海关12360”微信公众号、</w:t>
      </w:r>
      <w:r>
        <w:rPr>
          <w:szCs w:val="32"/>
          <w:shd w:val="clear" w:color="auto" w:fill="auto"/>
        </w:rPr>
        <w:t>基层</w:t>
      </w:r>
      <w:r>
        <w:rPr>
          <w:rFonts w:hint="eastAsia"/>
          <w:szCs w:val="32"/>
          <w:shd w:val="clear" w:color="auto" w:fill="auto"/>
        </w:rPr>
        <w:t>政务公开专区等多渠道、多形式，推进政府信息全方位公开</w:t>
      </w:r>
      <w:r>
        <w:rPr>
          <w:szCs w:val="32"/>
          <w:shd w:val="clear" w:color="auto" w:fill="auto"/>
        </w:rPr>
        <w:t>，</w:t>
      </w:r>
      <w:r>
        <w:rPr>
          <w:rFonts w:hint="eastAsia"/>
          <w:shd w:val="clear" w:color="auto" w:fill="auto"/>
        </w:rPr>
        <w:t>在规定时限内</w:t>
      </w:r>
      <w:r>
        <w:rPr>
          <w:rFonts w:hint="eastAsia"/>
          <w:color w:val="000000"/>
          <w:kern w:val="0"/>
          <w:szCs w:val="32"/>
          <w:shd w:val="clear" w:color="auto" w:fill="auto"/>
        </w:rPr>
        <w:t>公开</w:t>
      </w:r>
      <w:r>
        <w:rPr>
          <w:color w:val="000000"/>
          <w:kern w:val="0"/>
          <w:szCs w:val="32"/>
          <w:shd w:val="clear" w:color="auto" w:fill="auto"/>
        </w:rPr>
        <w:t>财务预决算、</w:t>
      </w:r>
      <w:r>
        <w:rPr>
          <w:rFonts w:ascii="方正仿宋_GBK" w:hint="eastAsia"/>
          <w:color w:val="000000"/>
          <w:kern w:val="0"/>
          <w:szCs w:val="32"/>
          <w:shd w:val="clear" w:color="auto" w:fill="auto"/>
        </w:rPr>
        <w:t>“双随机、一公开”</w:t>
      </w:r>
      <w:r>
        <w:rPr>
          <w:color w:val="000000"/>
          <w:kern w:val="0"/>
          <w:szCs w:val="32"/>
          <w:shd w:val="clear" w:color="auto" w:fill="auto"/>
        </w:rPr>
        <w:t>、行政处罚、行政许可、</w:t>
      </w:r>
      <w:r>
        <w:rPr>
          <w:rFonts w:ascii="方正仿宋_GBK"/>
          <w:color w:val="000000"/>
          <w:kern w:val="0"/>
          <w:szCs w:val="32"/>
          <w:shd w:val="clear" w:color="auto" w:fill="auto"/>
        </w:rPr>
        <w:t>“关长接待日”等</w:t>
      </w:r>
      <w:r>
        <w:rPr>
          <w:color w:val="000000"/>
          <w:kern w:val="0"/>
          <w:szCs w:val="32"/>
          <w:shd w:val="clear" w:color="auto" w:fill="auto"/>
        </w:rPr>
        <w:t>政府信息。</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ascii="方正楷体_GBK" w:eastAsia="方正楷体_GBK"/>
          <w:b/>
          <w:color w:val="000000"/>
          <w:kern w:val="0"/>
          <w:szCs w:val="32"/>
          <w:shd w:val="clear" w:color="auto" w:fill="auto"/>
        </w:rPr>
        <w:t>（二）依申请公开情况。</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hint="eastAsia"/>
          <w:shd w:val="clear" w:color="auto" w:fill="auto"/>
        </w:rPr>
        <w:t>定期查看</w:t>
      </w:r>
      <w:r>
        <w:rPr>
          <w:shd w:val="clear" w:color="auto" w:fill="auto"/>
        </w:rPr>
        <w:t>依申请公开</w:t>
      </w:r>
      <w:r>
        <w:rPr>
          <w:rFonts w:hint="eastAsia"/>
          <w:shd w:val="clear" w:color="auto" w:fill="auto"/>
        </w:rPr>
        <w:t>对外接收</w:t>
      </w:r>
      <w:r>
        <w:rPr>
          <w:shd w:val="clear" w:color="auto" w:fill="auto"/>
        </w:rPr>
        <w:t>情况</w:t>
      </w:r>
      <w:r>
        <w:rPr>
          <w:rFonts w:hint="eastAsia"/>
          <w:shd w:val="clear" w:color="auto" w:fill="auto"/>
        </w:rPr>
        <w:t>，确保渠道畅通、及时查收。</w:t>
      </w:r>
      <w:r>
        <w:rPr>
          <w:rFonts w:hint="eastAsia"/>
          <w:color w:val="000000"/>
          <w:kern w:val="0"/>
          <w:szCs w:val="32"/>
          <w:shd w:val="clear" w:color="auto" w:fill="auto"/>
        </w:rPr>
        <w:t>严格按照</w:t>
      </w:r>
      <w:r>
        <w:rPr>
          <w:rFonts w:hint="eastAsia"/>
          <w:shd w:val="clear" w:color="auto" w:fill="auto"/>
        </w:rPr>
        <w:t>受理（登记）、审核、办理、答复、归档基本办理流程，持续提升依申请公开办理</w:t>
      </w:r>
      <w:r>
        <w:rPr>
          <w:shd w:val="clear" w:color="auto" w:fill="auto"/>
        </w:rPr>
        <w:t>规范化</w:t>
      </w:r>
      <w:r>
        <w:rPr>
          <w:rFonts w:hint="eastAsia"/>
          <w:shd w:val="clear" w:color="auto" w:fill="auto"/>
        </w:rPr>
        <w:t>水平，切实保障申请人获取政府信息的合法权益。</w:t>
      </w:r>
      <w:r>
        <w:rPr>
          <w:color w:val="000000"/>
          <w:kern w:val="0"/>
          <w:szCs w:val="32"/>
          <w:shd w:val="clear" w:color="auto" w:fill="auto"/>
        </w:rPr>
        <w:t>年内共收到政府信息公开申请</w:t>
      </w:r>
      <w:r>
        <w:rPr>
          <w:rFonts w:hint="eastAsia"/>
          <w:color w:val="000000"/>
          <w:kern w:val="0"/>
          <w:szCs w:val="32"/>
          <w:shd w:val="clear" w:color="auto" w:fill="auto"/>
        </w:rPr>
        <w:t>5</w:t>
      </w:r>
      <w:r>
        <w:rPr>
          <w:color w:val="000000"/>
          <w:kern w:val="0"/>
          <w:szCs w:val="32"/>
          <w:shd w:val="clear" w:color="auto" w:fill="auto"/>
        </w:rPr>
        <w:t>件，涉及进口食品领域，</w:t>
      </w:r>
      <w:r>
        <w:rPr>
          <w:rFonts w:hint="eastAsia"/>
          <w:color w:val="000000"/>
          <w:kern w:val="0"/>
          <w:szCs w:val="32"/>
          <w:shd w:val="clear" w:color="auto" w:fill="auto"/>
        </w:rPr>
        <w:t>其中4件</w:t>
      </w:r>
      <w:r>
        <w:rPr>
          <w:color w:val="000000"/>
          <w:kern w:val="0"/>
          <w:szCs w:val="32"/>
          <w:shd w:val="clear" w:color="auto" w:fill="auto"/>
        </w:rPr>
        <w:t>已严格依照《条例》按时答复</w:t>
      </w:r>
      <w:r>
        <w:rPr>
          <w:rFonts w:hint="eastAsia"/>
          <w:color w:val="000000"/>
          <w:kern w:val="0"/>
          <w:szCs w:val="32"/>
          <w:shd w:val="clear" w:color="auto" w:fill="auto"/>
        </w:rPr>
        <w:t>，1件结转下年度继续办理</w:t>
      </w:r>
      <w:r>
        <w:rPr>
          <w:color w:val="000000"/>
          <w:kern w:val="0"/>
          <w:szCs w:val="32"/>
          <w:shd w:val="clear" w:color="auto" w:fill="auto"/>
        </w:rPr>
        <w:t>。暂未收到因政府信息公开申请引发的行政复议、诉讼。</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ascii="方正楷体_GBK" w:eastAsia="方正楷体_GBK"/>
          <w:b/>
          <w:color w:val="000000"/>
          <w:kern w:val="0"/>
          <w:szCs w:val="32"/>
          <w:shd w:val="clear" w:color="auto" w:fill="auto"/>
        </w:rPr>
        <w:t>（三）政府信息管理情况。</w:t>
      </w:r>
    </w:p>
    <w:p>
      <w:pPr>
        <w:pStyle w:val="79"/>
        <w:shd w:val="clear" w:color="auto" w:fill="auto"/>
        <w:autoSpaceDN w:val="0"/>
        <w:ind w:firstLine="659"/>
        <w:rPr>
          <w:shd w:val="clear" w:color="auto" w:fill="auto"/>
        </w:rPr>
      </w:pPr>
      <w:r>
        <w:rPr>
          <w:rFonts w:hint="eastAsia"/>
          <w:szCs w:val="32"/>
          <w:shd w:val="clear" w:color="auto" w:fill="auto"/>
        </w:rPr>
        <w:t>按照</w:t>
      </w:r>
      <w:r>
        <w:rPr>
          <w:rFonts w:hint="eastAsia"/>
          <w:color w:val="000000"/>
          <w:szCs w:val="32"/>
          <w:shd w:val="clear" w:color="auto" w:fill="auto"/>
        </w:rPr>
        <w:t>《条例》《中华人民共和国保守国家秘密法》，</w:t>
      </w:r>
      <w:r>
        <w:rPr>
          <w:rFonts w:hint="eastAsia"/>
          <w:szCs w:val="32"/>
          <w:shd w:val="clear" w:color="auto" w:fill="auto"/>
        </w:rPr>
        <w:t>对拟公开的政府信息</w:t>
      </w:r>
      <w:r>
        <w:rPr>
          <w:szCs w:val="32"/>
          <w:shd w:val="clear" w:color="auto" w:fill="auto"/>
        </w:rPr>
        <w:t>开展</w:t>
      </w:r>
      <w:r>
        <w:rPr>
          <w:rFonts w:hint="eastAsia"/>
          <w:szCs w:val="32"/>
          <w:shd w:val="clear" w:color="auto" w:fill="auto"/>
        </w:rPr>
        <w:t>审查、归档工作。加强信息日常管理，对广州海关门户网站、对外公告栏等</w:t>
      </w:r>
      <w:r>
        <w:rPr>
          <w:szCs w:val="32"/>
          <w:shd w:val="clear" w:color="auto" w:fill="auto"/>
        </w:rPr>
        <w:t>渠道公开的信息进行</w:t>
      </w:r>
      <w:r>
        <w:rPr>
          <w:rFonts w:hint="eastAsia"/>
          <w:szCs w:val="32"/>
          <w:shd w:val="clear" w:color="auto" w:fill="auto"/>
        </w:rPr>
        <w:t>巡查检查，</w:t>
      </w:r>
      <w:r>
        <w:rPr>
          <w:szCs w:val="32"/>
          <w:shd w:val="clear" w:color="auto" w:fill="auto"/>
        </w:rPr>
        <w:t>严格执行</w:t>
      </w:r>
      <w:r>
        <w:rPr>
          <w:rFonts w:hint="eastAsia"/>
          <w:szCs w:val="32"/>
          <w:shd w:val="clear" w:color="auto" w:fill="auto"/>
        </w:rPr>
        <w:t>信息公示时</w:t>
      </w:r>
      <w:r>
        <w:rPr>
          <w:szCs w:val="32"/>
          <w:shd w:val="clear" w:color="auto" w:fill="auto"/>
        </w:rPr>
        <w:t>效要求</w:t>
      </w:r>
      <w:r>
        <w:rPr>
          <w:rFonts w:hint="eastAsia"/>
          <w:szCs w:val="32"/>
          <w:shd w:val="clear" w:color="auto" w:fill="auto"/>
        </w:rPr>
        <w:t>，确保信息规范</w:t>
      </w:r>
      <w:r>
        <w:rPr>
          <w:szCs w:val="32"/>
          <w:shd w:val="clear" w:color="auto" w:fill="auto"/>
        </w:rPr>
        <w:t>发布、严格管理</w:t>
      </w:r>
      <w:r>
        <w:rPr>
          <w:rFonts w:hint="eastAsia"/>
          <w:szCs w:val="32"/>
          <w:shd w:val="clear" w:color="auto" w:fill="auto"/>
        </w:rPr>
        <w:t>。</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ascii="方正楷体_GBK" w:eastAsia="方正楷体_GBK"/>
          <w:b/>
          <w:color w:val="000000"/>
          <w:kern w:val="0"/>
          <w:szCs w:val="32"/>
          <w:shd w:val="clear" w:color="auto" w:fill="auto"/>
        </w:rPr>
        <w:t>（四）政府信息公开平台建设情况。</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hint="eastAsia"/>
          <w:szCs w:val="32"/>
          <w:shd w:val="clear" w:color="auto" w:fill="auto"/>
        </w:rPr>
        <w:t>结合“特殊物品卫生检疫审批”业务，开展“我陪群众走流程”</w:t>
      </w:r>
      <w:r>
        <w:rPr>
          <w:szCs w:val="32"/>
          <w:shd w:val="clear" w:color="auto" w:fill="auto"/>
        </w:rPr>
        <w:t>政务服务提升行</w:t>
      </w:r>
      <w:r>
        <w:rPr>
          <w:rFonts w:hint="eastAsia"/>
          <w:szCs w:val="32"/>
          <w:shd w:val="clear" w:color="auto" w:fill="auto"/>
        </w:rPr>
        <w:t>动，推进</w:t>
      </w:r>
      <w:r>
        <w:rPr>
          <w:szCs w:val="32"/>
          <w:shd w:val="clear" w:color="auto" w:fill="auto"/>
        </w:rPr>
        <w:t>政务公开、</w:t>
      </w:r>
      <w:r>
        <w:rPr>
          <w:rFonts w:hint="eastAsia"/>
          <w:szCs w:val="32"/>
          <w:shd w:val="clear" w:color="auto" w:fill="auto"/>
        </w:rPr>
        <w:t>政务服务工作质效</w:t>
      </w:r>
      <w:r>
        <w:rPr>
          <w:szCs w:val="32"/>
          <w:shd w:val="clear" w:color="auto" w:fill="auto"/>
        </w:rPr>
        <w:t>双</w:t>
      </w:r>
      <w:r>
        <w:rPr>
          <w:rFonts w:hint="eastAsia"/>
          <w:szCs w:val="32"/>
          <w:shd w:val="clear" w:color="auto" w:fill="auto"/>
        </w:rPr>
        <w:t>提升。及时维护完善</w:t>
      </w:r>
      <w:r>
        <w:rPr>
          <w:rFonts w:ascii="方正仿宋_GBK" w:hint="eastAsia"/>
          <w:color w:val="000000"/>
          <w:kern w:val="0"/>
          <w:szCs w:val="32"/>
          <w:shd w:val="clear" w:color="auto" w:fill="auto"/>
        </w:rPr>
        <w:t>“穗关‘政’能量”</w:t>
      </w:r>
      <w:r>
        <w:rPr>
          <w:color w:val="000000"/>
          <w:kern w:val="0"/>
          <w:szCs w:val="32"/>
          <w:shd w:val="clear" w:color="auto" w:fill="auto"/>
        </w:rPr>
        <w:t>基层政务公开专区</w:t>
      </w:r>
      <w:r>
        <w:rPr>
          <w:rFonts w:hint="eastAsia"/>
          <w:szCs w:val="32"/>
          <w:shd w:val="clear" w:color="auto" w:fill="auto"/>
        </w:rPr>
        <w:t>配置，</w:t>
      </w:r>
      <w:r>
        <w:rPr>
          <w:szCs w:val="32"/>
          <w:shd w:val="clear" w:color="auto" w:fill="auto"/>
        </w:rPr>
        <w:t>持续推进</w:t>
      </w:r>
      <w:r>
        <w:rPr>
          <w:rFonts w:hint="eastAsia"/>
          <w:szCs w:val="32"/>
          <w:shd w:val="clear" w:color="auto" w:fill="auto"/>
        </w:rPr>
        <w:t>基层政务公开标准化规范化</w:t>
      </w:r>
      <w:r>
        <w:rPr>
          <w:szCs w:val="32"/>
          <w:shd w:val="clear" w:color="auto" w:fill="auto"/>
        </w:rPr>
        <w:t>建设</w:t>
      </w:r>
      <w:r>
        <w:rPr>
          <w:rFonts w:hint="eastAsia"/>
          <w:szCs w:val="32"/>
          <w:shd w:val="clear" w:color="auto" w:fill="auto"/>
        </w:rPr>
        <w:t>。积极推广使用“智慧海关政务服务地图”，</w:t>
      </w:r>
      <w:r>
        <w:rPr>
          <w:szCs w:val="32"/>
          <w:shd w:val="clear" w:color="auto" w:fill="auto"/>
        </w:rPr>
        <w:t>拓展服务</w:t>
      </w:r>
      <w:r>
        <w:rPr>
          <w:rFonts w:hint="eastAsia"/>
          <w:szCs w:val="32"/>
          <w:shd w:val="clear" w:color="auto" w:fill="auto"/>
        </w:rPr>
        <w:t>覆盖面，提升企业群众办事便利度。</w:t>
      </w:r>
      <w:r>
        <w:rPr>
          <w:rFonts w:hint="eastAsia"/>
          <w:kern w:val="0"/>
          <w:szCs w:val="32"/>
          <w:shd w:val="clear" w:color="auto" w:fill="auto"/>
        </w:rPr>
        <w:t>结合机构职能</w:t>
      </w:r>
      <w:r>
        <w:rPr>
          <w:kern w:val="0"/>
          <w:szCs w:val="32"/>
          <w:shd w:val="clear" w:color="auto" w:fill="auto"/>
        </w:rPr>
        <w:t>调整</w:t>
      </w:r>
      <w:r>
        <w:rPr>
          <w:rFonts w:hint="eastAsia"/>
          <w:kern w:val="0"/>
          <w:szCs w:val="32"/>
          <w:shd w:val="clear" w:color="auto" w:fill="auto"/>
        </w:rPr>
        <w:t>，及时更新对外公告栏</w:t>
      </w:r>
      <w:r>
        <w:rPr>
          <w:kern w:val="0"/>
          <w:szCs w:val="32"/>
          <w:shd w:val="clear" w:color="auto" w:fill="auto"/>
        </w:rPr>
        <w:t>相关信息</w:t>
      </w:r>
      <w:r>
        <w:rPr>
          <w:rFonts w:hint="eastAsia"/>
          <w:szCs w:val="32"/>
          <w:shd w:val="clear" w:color="auto" w:fill="auto"/>
        </w:rPr>
        <w:t>。</w:t>
      </w:r>
    </w:p>
    <w:p>
      <w:pPr>
        <w:shd w:val="clear" w:color="auto" w:fill="auto"/>
        <w:spacing w:line="560" w:lineRule="exact"/>
        <w:ind w:firstLineChars="200" w:firstLine="640"/>
        <w:rPr>
          <w:rFonts w:ascii="方正楷体_GBK" w:eastAsia="方正楷体_GBK"/>
          <w:b/>
          <w:color w:val="000000"/>
          <w:kern w:val="0"/>
          <w:szCs w:val="32"/>
          <w:shd w:val="clear" w:color="auto" w:fill="auto"/>
        </w:rPr>
      </w:pPr>
      <w:r>
        <w:rPr>
          <w:rFonts w:ascii="方正楷体_GBK" w:eastAsia="方正楷体_GBK" w:hint="eastAsia"/>
          <w:b/>
          <w:color w:val="000000"/>
          <w:kern w:val="0"/>
          <w:szCs w:val="32"/>
          <w:shd w:val="clear" w:color="auto" w:fill="auto"/>
        </w:rPr>
        <w:t>（五）监督保障情况。</w:t>
      </w:r>
    </w:p>
    <w:p>
      <w:pPr>
        <w:pStyle w:val="42"/>
        <w:shd w:val="clear" w:color="auto" w:fill="auto"/>
        <w:autoSpaceDN w:val="0"/>
        <w:spacing w:line="560" w:lineRule="exact"/>
        <w:ind w:firstLineChars="200" w:firstLine="640"/>
        <w:jc w:val="both"/>
        <w:textAlignment w:val="center"/>
        <w:rPr>
          <w:rFonts w:ascii="Times New Roman" w:eastAsia="方正仿宋_GBK" w:hAnsi="Times New Roman"/>
          <w:color w:val="000000"/>
          <w:kern w:val="0"/>
          <w:sz w:val="32"/>
          <w:szCs w:val="32"/>
          <w:shd w:val="clear" w:color="auto" w:fill="auto"/>
        </w:rPr>
      </w:pPr>
      <w:r>
        <w:rPr>
          <w:rFonts w:ascii="Times New Roman" w:eastAsia="方正仿宋_GBK" w:hAnsi="Times New Roman"/>
          <w:color w:val="000000"/>
          <w:kern w:val="0"/>
          <w:sz w:val="32"/>
          <w:szCs w:val="32"/>
          <w:shd w:val="clear" w:color="auto" w:fill="auto"/>
        </w:rPr>
        <w:t>在业务现场组织开展政务公开工作培训，</w:t>
      </w:r>
      <w:r>
        <w:rPr>
          <w:rFonts w:ascii="Times New Roman" w:eastAsia="方正仿宋_GBK" w:hAnsi="Times New Roman"/>
          <w:sz w:val="32"/>
          <w:szCs w:val="32"/>
          <w:shd w:val="clear" w:color="auto" w:fill="auto"/>
        </w:rPr>
        <w:t>畅顺各诉求反映渠道，</w:t>
      </w:r>
      <w:r>
        <w:rPr>
          <w:rFonts w:ascii="Times New Roman" w:eastAsia="方正仿宋_GBK" w:hAnsi="Times New Roman"/>
          <w:color w:val="000000"/>
          <w:kern w:val="0"/>
          <w:sz w:val="32"/>
          <w:szCs w:val="32"/>
          <w:shd w:val="clear" w:color="auto" w:fill="auto"/>
        </w:rPr>
        <w:t>打通服务企业群众</w:t>
      </w:r>
      <w:r>
        <w:rPr>
          <w:rFonts w:ascii="方正仿宋_GBK" w:eastAsia="方正仿宋_GBK" w:hint="eastAsia"/>
          <w:color w:val="000000"/>
          <w:kern w:val="0"/>
          <w:sz w:val="32"/>
          <w:szCs w:val="32"/>
          <w:shd w:val="clear" w:color="auto" w:fill="auto"/>
        </w:rPr>
        <w:t>“最后一公里”。落实“首问责任制”</w:t>
      </w:r>
      <w:r>
        <w:rPr>
          <w:rFonts w:ascii="Times New Roman" w:eastAsia="方正仿宋_GBK" w:hAnsi="Times New Roman"/>
          <w:color w:val="000000"/>
          <w:kern w:val="0"/>
          <w:sz w:val="32"/>
          <w:szCs w:val="32"/>
          <w:shd w:val="clear" w:color="auto" w:fill="auto"/>
        </w:rPr>
        <w:t>，坚持用耐心、细心、贴心受理每一件咨询，做到</w:t>
      </w:r>
      <w:r>
        <w:rPr>
          <w:rFonts w:ascii="Times New Roman" w:eastAsia="方正仿宋_GBK" w:hAnsi="Times New Roman"/>
          <w:sz w:val="32"/>
          <w:szCs w:val="32"/>
          <w:shd w:val="clear" w:color="auto" w:fill="auto"/>
        </w:rPr>
        <w:t>对外咨询电话</w:t>
      </w:r>
      <w:r>
        <w:rPr>
          <w:rFonts w:ascii="方正仿宋_GBK" w:eastAsia="方正仿宋_GBK" w:hint="eastAsia"/>
          <w:sz w:val="32"/>
          <w:szCs w:val="32"/>
          <w:shd w:val="clear" w:color="auto" w:fill="auto"/>
        </w:rPr>
        <w:t>“接得通、答得对、态度好”</w:t>
      </w:r>
      <w:r>
        <w:rPr>
          <w:rFonts w:ascii="方正仿宋_GBK" w:eastAsia="方正仿宋_GBK" w:hint="eastAsia"/>
          <w:color w:val="000000"/>
          <w:kern w:val="0"/>
          <w:sz w:val="32"/>
          <w:szCs w:val="32"/>
          <w:shd w:val="clear" w:color="auto" w:fill="auto"/>
        </w:rPr>
        <w:t>，切实解决企业</w:t>
      </w:r>
      <w:r>
        <w:rPr>
          <w:rFonts w:ascii="方正仿宋_GBK" w:eastAsia="方正仿宋_GBK"/>
          <w:color w:val="000000"/>
          <w:kern w:val="0"/>
          <w:sz w:val="32"/>
          <w:szCs w:val="32"/>
          <w:shd w:val="clear" w:color="auto" w:fill="auto"/>
        </w:rPr>
        <w:t>群众合理合法诉求和</w:t>
      </w:r>
      <w:r>
        <w:rPr>
          <w:rFonts w:ascii="方正仿宋_GBK" w:eastAsia="方正仿宋_GBK" w:hint="eastAsia"/>
          <w:color w:val="000000"/>
          <w:kern w:val="0"/>
          <w:sz w:val="32"/>
          <w:szCs w:val="32"/>
          <w:shd w:val="clear" w:color="auto" w:fill="auto"/>
        </w:rPr>
        <w:t>难题。组织开展“海关进企</w:t>
      </w:r>
      <w:bookmarkStart w:id="2" w:name="_GoBack"/>
      <w:bookmarkEnd w:id="2"/>
      <w:r>
        <w:rPr>
          <w:rFonts w:ascii="方正仿宋_GBK" w:eastAsia="方正仿宋_GBK" w:hint="eastAsia"/>
          <w:color w:val="000000"/>
          <w:kern w:val="0"/>
          <w:sz w:val="32"/>
          <w:szCs w:val="32"/>
          <w:shd w:val="clear" w:color="auto" w:fill="auto"/>
        </w:rPr>
        <w:t>业、海关进社区、海关进校园”——“三进”品牌活动</w:t>
      </w:r>
      <w:r>
        <w:rPr>
          <w:rFonts w:ascii="Times New Roman" w:eastAsia="方正仿宋_GBK" w:hAnsi="Times New Roman"/>
          <w:color w:val="000000"/>
          <w:kern w:val="0"/>
          <w:sz w:val="32"/>
          <w:szCs w:val="32"/>
          <w:shd w:val="clear" w:color="auto" w:fill="auto"/>
        </w:rPr>
        <w:t>，助力企业群众了解政策、充分享受海关政策红利。年内共收到感谢信3封、牌匾2块、锦旗1面。</w:t>
      </w:r>
    </w:p>
    <w:p>
      <w:pPr>
        <w:shd w:val="clear" w:color="auto" w:fill="auto"/>
        <w:spacing w:line="560" w:lineRule="exact"/>
        <w:ind w:firstLineChars="200" w:firstLine="640"/>
        <w:rPr>
          <w:rFonts w:ascii="方正黑体_GBK" w:eastAsia="方正黑体_GBK" w:cs="楷体_GB2312" w:hint="eastAsia"/>
          <w:bCs/>
          <w:color w:val="000000"/>
          <w:kern w:val="0"/>
          <w:szCs w:val="32"/>
          <w:shd w:val="clear" w:color="auto" w:fill="auto"/>
        </w:rPr>
      </w:pPr>
      <w:r>
        <w:rPr>
          <w:rFonts w:ascii="方正黑体_GBK" w:eastAsia="方正黑体_GBK" w:cs="楷体_GB2312" w:hint="eastAsia"/>
          <w:bCs/>
          <w:color w:val="000000"/>
          <w:kern w:val="0"/>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hd w:val="clear" w:color="auto" w:fill="auto"/>
              <w:jc w:val="center"/>
              <w:rPr>
                <w:rFonts w:eastAsia="方正仿宋_GBK" w:cs="宋体"/>
                <w:sz w:val="24"/>
                <w:szCs w:val="24"/>
                <w:shd w:val="clear" w:color="auto" w:fill="auto"/>
              </w:rPr>
            </w:pPr>
            <w:r>
              <w:rPr>
                <w:rFonts w:eastAsia="方正仿宋_GBK" w:cs="宋体" w:hint="eastAsia"/>
                <w:sz w:val="24"/>
                <w:szCs w:val="24"/>
                <w:shd w:val="clear" w:color="auto" w:fill="auto"/>
              </w:rPr>
              <w:t>1</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
              <w:shd w:val="clear" w:color="auto" w:fill="auto"/>
              <w:rPr>
                <w:shd w:val="clear" w:color="auto" w:fill="auto"/>
              </w:rPr>
            </w:pPr>
            <w:r>
              <w:rPr>
                <w:rFonts w:hint="eastAsia"/>
                <w:shd w:val="clear" w:color="auto" w:fill="auto"/>
              </w:rPr>
              <w:t>98</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shd w:val="clear" w:color="auto" w:fill="auto"/>
              <w:jc w:val="center"/>
              <w:rPr>
                <w:rFonts w:eastAsia="方正仿宋_GBK" w:cs="宋体"/>
                <w:sz w:val="24"/>
                <w:szCs w:val="24"/>
                <w:shd w:val="clear" w:color="auto" w:fill="auto"/>
              </w:rPr>
            </w:pPr>
            <w:r>
              <w:rPr>
                <w:rFonts w:eastAsia="方正仿宋_GBK" w:cs="宋体" w:hint="eastAsia"/>
                <w:sz w:val="24"/>
                <w:szCs w:val="24"/>
                <w:shd w:val="clear" w:color="auto" w:fill="auto"/>
              </w:rPr>
              <w:t>16</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hd w:val="clear" w:color="auto" w:fill="auto"/>
              </w:rPr>
            </w:pPr>
            <w:r>
              <w:rPr>
                <w:rFonts w:ascii="宋体"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shd w:val="clear" w:color="auto" w:fill="auto"/>
              <w:jc w:val="center"/>
              <w:rPr>
                <w:rFonts w:eastAsia="方正仿宋_GBK" w:cs="宋体"/>
                <w:sz w:val="24"/>
                <w:szCs w:val="24"/>
                <w:shd w:val="clear" w:color="auto" w:fill="auto"/>
              </w:rPr>
            </w:pPr>
            <w:r>
              <w:rPr>
                <w:rFonts w:eastAsia="方正仿宋_GBK" w:cs="宋体" w:hint="eastAsia"/>
                <w:sz w:val="24"/>
                <w:szCs w:val="24"/>
                <w:shd w:val="clear" w:color="auto" w:fill="auto"/>
              </w:rPr>
              <w:t>0</w:t>
            </w:r>
          </w:p>
        </w:tc>
      </w:tr>
    </w:tbl>
    <w:p>
      <w:pPr>
        <w:pStyle w:val="181"/>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shd w:val="clear" w:color="auto" w:fill="auto"/>
        <w:spacing w:line="560" w:lineRule="exact"/>
        <w:ind w:firstLineChars="200" w:firstLine="640"/>
        <w:rPr>
          <w:rFonts w:ascii="方正黑体_GBK" w:eastAsia="方正黑体_GBK" w:cs="楷体_GB2312" w:hint="eastAsia"/>
          <w:bCs/>
          <w:color w:val="000000"/>
          <w:kern w:val="0"/>
          <w:szCs w:val="32"/>
          <w:shd w:val="clear" w:color="auto" w:fill="auto"/>
        </w:rPr>
      </w:pPr>
      <w:r>
        <w:rPr>
          <w:rFonts w:ascii="方正黑体_GBK" w:eastAsia="方正黑体_GBK" w:cs="楷体_GB2312" w:hint="eastAsia"/>
          <w:bCs/>
          <w:color w:val="000000"/>
          <w:kern w:val="0"/>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ascii="宋体" w:cs="宋体" w:hint="eastAsia"/>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rFonts w:ascii="宋体"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5</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5</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rFonts w:ascii="宋体"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2</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kern w:val="0"/>
                <w:sz w:val="24"/>
                <w:szCs w:val="24"/>
                <w:shd w:val="clear" w:color="auto" w:fill="auto"/>
              </w:rPr>
            </w:pPr>
            <w:r>
              <w:rPr>
                <w:rFonts w:ascii="楷体"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ascii="楷体"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4</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4</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hd w:val="clear" w:color="auto" w:fill="auto"/>
              </w:rPr>
            </w:pPr>
            <w:r>
              <w:rPr>
                <w:rFonts w:ascii="宋体"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1</w:t>
            </w:r>
          </w:p>
        </w:tc>
      </w:tr>
    </w:tbl>
    <w:p>
      <w:pPr>
        <w:shd w:val="clear" w:color="auto" w:fill="auto"/>
        <w:spacing w:line="560" w:lineRule="exact"/>
        <w:ind w:firstLineChars="200" w:firstLine="640"/>
        <w:rPr>
          <w:rFonts w:ascii="方正黑体_GBK" w:eastAsia="方正黑体_GBK" w:cs="楷体_GB2312" w:hint="eastAsia"/>
          <w:bCs/>
          <w:color w:val="000000"/>
          <w:kern w:val="0"/>
          <w:szCs w:val="32"/>
          <w:shd w:val="clear" w:color="auto" w:fill="auto"/>
        </w:rPr>
      </w:pPr>
      <w:r>
        <w:rPr>
          <w:rFonts w:ascii="方正黑体_GBK" w:eastAsia="方正黑体_GBK" w:cs="楷体_GB2312" w:hint="eastAsia"/>
          <w:bCs/>
          <w:color w:val="000000"/>
          <w:kern w:val="0"/>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bl>
    <w:p>
      <w:pPr>
        <w:shd w:val="clear" w:color="auto" w:fill="auto"/>
        <w:spacing w:line="560" w:lineRule="exact"/>
        <w:ind w:firstLineChars="200" w:firstLine="640"/>
        <w:rPr>
          <w:rFonts w:ascii="方正黑体_GBK" w:eastAsia="方正黑体_GBK" w:cs="楷体_GB2312" w:hint="eastAsia"/>
          <w:bCs/>
          <w:color w:val="000000"/>
          <w:kern w:val="0"/>
          <w:szCs w:val="32"/>
          <w:shd w:val="clear" w:color="auto" w:fill="auto"/>
        </w:rPr>
      </w:pPr>
      <w:r>
        <w:rPr>
          <w:rFonts w:ascii="方正黑体_GBK" w:eastAsia="方正黑体_GBK" w:cs="楷体_GB2312" w:hint="eastAsia"/>
          <w:bCs/>
          <w:color w:val="000000"/>
          <w:kern w:val="0"/>
          <w:szCs w:val="32"/>
          <w:shd w:val="clear" w:color="auto" w:fill="auto"/>
        </w:rPr>
        <w:t>五、存在的主要问题及改进情况</w:t>
      </w:r>
    </w:p>
    <w:p>
      <w:pPr>
        <w:pStyle w:val="41"/>
        <w:shd w:val="clear" w:color="auto" w:fill="auto"/>
        <w:adjustRightInd w:val="0"/>
        <w:snapToGrid w:val="0"/>
        <w:ind w:firstLineChars="200" w:firstLine="624"/>
        <w:rPr>
          <w:shd w:val="clear" w:color="auto" w:fill="auto"/>
        </w:rPr>
      </w:pPr>
      <w:r>
        <w:rPr>
          <w:rFonts w:ascii="方正楷体_GBK" w:eastAsia="方正楷体_GBK" w:hint="eastAsia"/>
          <w:b/>
          <w:bCs/>
          <w:shd w:val="clear" w:color="auto" w:fill="auto"/>
        </w:rPr>
        <w:t>（一）2023年年报中所提问题整改情况。</w:t>
      </w:r>
    </w:p>
    <w:p>
      <w:pPr>
        <w:pStyle w:val="41"/>
        <w:shd w:val="clear" w:color="auto" w:fill="auto"/>
        <w:adjustRightInd w:val="0"/>
        <w:snapToGrid w:val="0"/>
        <w:ind w:firstLineChars="200" w:firstLine="624"/>
        <w:rPr>
          <w:shd w:val="clear" w:color="auto" w:fill="auto"/>
        </w:rPr>
      </w:pPr>
      <w:r>
        <w:rPr>
          <w:rFonts w:hint="eastAsia"/>
          <w:shd w:val="clear" w:color="auto" w:fill="auto"/>
        </w:rPr>
        <w:t>海珠海关2023年年报中提出以下问题：</w:t>
      </w:r>
      <w:r>
        <w:rPr>
          <w:rFonts w:hint="eastAsia"/>
          <w:b/>
          <w:shd w:val="clear" w:color="auto" w:fill="auto"/>
        </w:rPr>
        <w:t>一是</w:t>
      </w:r>
      <w:r>
        <w:rPr>
          <w:rFonts w:hint="eastAsia"/>
          <w:shd w:val="clear" w:color="auto" w:fill="auto"/>
        </w:rPr>
        <w:t>基层政务公开专区品牌效应还不够明显，宣传力度需进一步加强</w:t>
      </w:r>
      <w:r>
        <w:rPr>
          <w:shd w:val="clear" w:color="auto" w:fill="auto"/>
        </w:rPr>
        <w:t>。</w:t>
      </w:r>
      <w:r>
        <w:rPr>
          <w:rFonts w:hint="eastAsia"/>
          <w:b/>
          <w:shd w:val="clear" w:color="auto" w:fill="auto"/>
        </w:rPr>
        <w:t>二是</w:t>
      </w:r>
      <w:r>
        <w:rPr>
          <w:rFonts w:ascii="方正仿宋_GBK" w:hint="eastAsia"/>
          <w:shd w:val="clear" w:color="auto" w:fill="auto"/>
        </w:rPr>
        <w:t>“双公示”</w:t>
      </w:r>
      <w:r>
        <w:rPr>
          <w:rFonts w:hint="eastAsia"/>
          <w:shd w:val="clear" w:color="auto" w:fill="auto"/>
        </w:rPr>
        <w:t>信息报送质量和及时性需要进一步提升。</w:t>
      </w:r>
    </w:p>
    <w:p>
      <w:pPr>
        <w:pStyle w:val="42"/>
        <w:shd w:val="clear" w:color="auto" w:fill="auto"/>
        <w:autoSpaceDN w:val="0"/>
        <w:spacing w:line="560" w:lineRule="exact"/>
        <w:ind w:firstLineChars="200" w:firstLine="640"/>
        <w:jc w:val="both"/>
        <w:textAlignment w:val="center"/>
        <w:rPr>
          <w:rFonts w:ascii="方正仿宋_GBK" w:eastAsia="方正仿宋_GBK"/>
          <w:sz w:val="32"/>
          <w:szCs w:val="32"/>
          <w:shd w:val="clear" w:color="auto" w:fill="auto"/>
        </w:rPr>
      </w:pPr>
      <w:r>
        <w:rPr>
          <w:rFonts w:ascii="Times New Roman" w:eastAsia="方正仿宋_GBK" w:hAnsi="Times New Roman"/>
          <w:sz w:val="32"/>
          <w:szCs w:val="32"/>
          <w:shd w:val="clear" w:color="auto" w:fill="auto"/>
        </w:rPr>
        <w:t>上述问题在2024年均已采取措施完成整改：</w:t>
      </w:r>
      <w:r>
        <w:rPr>
          <w:rFonts w:ascii="Times New Roman" w:eastAsia="方正仿宋_GBK" w:hAnsi="Times New Roman"/>
          <w:b/>
          <w:sz w:val="32"/>
          <w:szCs w:val="32"/>
          <w:shd w:val="clear" w:color="auto" w:fill="auto"/>
        </w:rPr>
        <w:t>一是</w:t>
      </w:r>
      <w:r>
        <w:rPr>
          <w:rFonts w:ascii="Times New Roman" w:eastAsia="方正仿宋_GBK" w:hAnsi="Times New Roman"/>
          <w:sz w:val="32"/>
          <w:szCs w:val="32"/>
          <w:shd w:val="clear" w:color="auto" w:fill="auto"/>
        </w:rPr>
        <w:t>不断更新完善基层政务公开专区配置，更好满足办事企业群众实际需求，提升企业群众获得感；利用新闻媒体、办事窗口等多渠道开展基层政务公开专区品牌宣传，不断提升知悉范围。</w:t>
      </w:r>
      <w:r>
        <w:rPr>
          <w:rFonts w:ascii="Times New Roman" w:eastAsia="方正仿宋_GBK" w:hAnsi="Times New Roman"/>
          <w:b/>
          <w:sz w:val="32"/>
          <w:szCs w:val="32"/>
          <w:shd w:val="clear" w:color="auto" w:fill="auto"/>
        </w:rPr>
        <w:t>二是</w:t>
      </w:r>
      <w:r>
        <w:rPr>
          <w:rFonts w:ascii="Times New Roman" w:eastAsia="方正仿宋_GBK" w:hAnsi="Times New Roman"/>
          <w:sz w:val="32"/>
          <w:szCs w:val="32"/>
          <w:shd w:val="clear" w:color="auto" w:fill="auto"/>
        </w:rPr>
        <w:t>通过专项培训</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定期提醒等形式，加强</w:t>
      </w:r>
      <w:r>
        <w:rPr>
          <w:rFonts w:ascii="方正仿宋_GBK" w:eastAsia="方正仿宋_GBK"/>
          <w:sz w:val="32"/>
          <w:szCs w:val="32"/>
          <w:shd w:val="clear" w:color="auto" w:fill="auto"/>
        </w:rPr>
        <w:t>岗位人员对</w:t>
      </w:r>
      <w:r>
        <w:rPr>
          <w:rFonts w:ascii="方正仿宋_GBK" w:eastAsia="方正仿宋_GBK" w:hint="eastAsia"/>
          <w:sz w:val="32"/>
          <w:szCs w:val="32"/>
          <w:shd w:val="clear" w:color="auto" w:fill="auto"/>
        </w:rPr>
        <w:t>“双公示”</w:t>
      </w:r>
      <w:r>
        <w:rPr>
          <w:rFonts w:ascii="Times New Roman" w:eastAsia="方正仿宋_GBK" w:hAnsi="Times New Roman"/>
          <w:sz w:val="32"/>
          <w:szCs w:val="32"/>
          <w:shd w:val="clear" w:color="auto" w:fill="auto"/>
        </w:rPr>
        <w:t>信息</w:t>
      </w:r>
      <w:r>
        <w:rPr>
          <w:rFonts w:ascii="方正仿宋_GBK" w:eastAsia="方正仿宋_GBK" w:hint="eastAsia"/>
          <w:sz w:val="32"/>
          <w:szCs w:val="32"/>
          <w:shd w:val="clear" w:color="auto" w:fill="auto"/>
        </w:rPr>
        <w:t>报送</w:t>
      </w:r>
      <w:r>
        <w:rPr>
          <w:rFonts w:ascii="Times New Roman" w:eastAsia="方正仿宋_GBK" w:hAnsi="Times New Roman"/>
          <w:sz w:val="32"/>
          <w:szCs w:val="32"/>
          <w:shd w:val="clear" w:color="auto" w:fill="auto"/>
        </w:rPr>
        <w:t>的重视度与及时性。</w:t>
      </w:r>
    </w:p>
    <w:p>
      <w:pPr>
        <w:pStyle w:val="34"/>
        <w:shd w:val="clear" w:color="auto" w:fill="auto"/>
        <w:adjustRightInd w:val="0"/>
        <w:snapToGrid w:val="0"/>
        <w:ind w:firstLineChars="200" w:firstLine="624"/>
        <w:rPr>
          <w:rFonts w:ascii="方正楷体_GBK" w:eastAsia="方正楷体_GBK"/>
          <w:b/>
          <w:bCs/>
          <w:shd w:val="clear" w:color="auto" w:fill="auto"/>
        </w:rPr>
      </w:pPr>
      <w:r>
        <w:rPr>
          <w:rFonts w:ascii="方正楷体_GBK" w:eastAsia="方正楷体_GBK" w:hint="eastAsia"/>
          <w:b/>
          <w:bCs/>
          <w:shd w:val="clear" w:color="auto" w:fill="auto"/>
        </w:rPr>
        <w:t>（二）目前存在问题。</w:t>
      </w:r>
    </w:p>
    <w:p>
      <w:pPr>
        <w:pStyle w:val="34"/>
        <w:shd w:val="clear" w:color="auto" w:fill="auto"/>
        <w:adjustRightInd w:val="0"/>
        <w:snapToGrid w:val="0"/>
        <w:ind w:firstLineChars="200" w:firstLine="624"/>
        <w:rPr>
          <w:shd w:val="clear" w:color="auto" w:fill="auto"/>
        </w:rPr>
      </w:pPr>
      <w:r>
        <w:rPr>
          <w:rFonts w:hint="eastAsia"/>
          <w:b/>
          <w:shd w:val="clear" w:color="auto" w:fill="auto"/>
        </w:rPr>
        <w:t>一是</w:t>
      </w:r>
      <w:r>
        <w:rPr>
          <w:rFonts w:hint="eastAsia"/>
          <w:shd w:val="clear" w:color="auto" w:fill="auto"/>
        </w:rPr>
        <w:t>政策解读内容不够丰富，需进一步提升</w:t>
      </w:r>
      <w:r>
        <w:rPr>
          <w:shd w:val="clear" w:color="auto" w:fill="auto"/>
        </w:rPr>
        <w:t>。</w:t>
      </w:r>
      <w:r>
        <w:rPr>
          <w:rFonts w:hint="eastAsia"/>
          <w:b/>
          <w:shd w:val="clear" w:color="auto" w:fill="auto"/>
        </w:rPr>
        <w:t>二是</w:t>
      </w:r>
      <w:r>
        <w:rPr>
          <w:rFonts w:hint="eastAsia"/>
          <w:shd w:val="clear" w:color="auto" w:fill="auto"/>
        </w:rPr>
        <w:t>政务公开人才培养</w:t>
      </w:r>
      <w:r>
        <w:rPr>
          <w:shd w:val="clear" w:color="auto" w:fill="auto"/>
        </w:rPr>
        <w:t>梯度不足</w:t>
      </w:r>
      <w:r>
        <w:rPr>
          <w:rFonts w:hint="eastAsia"/>
          <w:shd w:val="clear" w:color="auto" w:fill="auto"/>
        </w:rPr>
        <w:t>。</w:t>
      </w:r>
    </w:p>
    <w:p>
      <w:pPr>
        <w:pStyle w:val="25"/>
        <w:widowControl/>
        <w:shd w:val="clear" w:color="auto" w:fill="auto"/>
        <w:spacing w:beforeAutospacing="0" w:afterAutospacing="0" w:line="560" w:lineRule="exact"/>
        <w:ind w:firstLineChars="200" w:firstLine="640"/>
        <w:jc w:val="both"/>
        <w:rPr>
          <w:rFonts w:ascii="方正黑体_GBK" w:eastAsia="方正黑体_GBK" w:cs="楷体_GB2312"/>
          <w:bCs/>
          <w:sz w:val="32"/>
          <w:szCs w:val="32"/>
          <w:shd w:val="clear" w:color="auto" w:fill="auto"/>
        </w:rPr>
      </w:pPr>
      <w:r>
        <w:rPr>
          <w:rFonts w:ascii="方正黑体_GBK" w:eastAsia="方正黑体_GBK" w:cs="楷体_GB2312" w:hint="eastAsia"/>
          <w:bCs/>
          <w:sz w:val="32"/>
          <w:szCs w:val="32"/>
          <w:shd w:val="clear" w:color="auto" w:fill="auto"/>
        </w:rPr>
        <w:t>六、其他需要报告的事项</w:t>
      </w:r>
      <w:bookmarkEnd w:id="1"/>
    </w:p>
    <w:p>
      <w:pPr>
        <w:pStyle w:val="88"/>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（一）政府信息公开信息处理费收</w:t>
      </w:r>
      <w:r>
        <w:rPr>
          <w:rFonts w:ascii="方正楷体_GBK" w:eastAsia="方正楷体_GBK"/>
          <w:b/>
          <w:spacing w:val="-4"/>
          <w:sz w:val="32"/>
          <w:szCs w:val="20"/>
          <w:shd w:val="clear" w:color="auto" w:fill="auto"/>
        </w:rPr>
        <w:t>取</w:t>
      </w:r>
      <w:r>
        <w:rPr>
          <w:rFonts w:ascii="方正楷体_GBK" w:eastAsia="方正楷体_GBK" w:hint="eastAsia"/>
          <w:b/>
          <w:spacing w:val="-4"/>
          <w:sz w:val="32"/>
          <w:szCs w:val="20"/>
          <w:shd w:val="clear" w:color="auto" w:fill="auto"/>
        </w:rPr>
        <w:t>情况。</w:t>
      </w:r>
    </w:p>
    <w:p>
      <w:pPr>
        <w:pStyle w:val="88"/>
        <w:widowControl/>
        <w:shd w:val="clear" w:color="auto" w:fill="auto"/>
        <w:spacing w:beforeAutospacing="0" w:afterAutospacing="0" w:line="560" w:lineRule="exact"/>
        <w:ind w:firstLineChars="200" w:firstLine="624"/>
        <w:jc w:val="both"/>
        <w:rPr>
          <w:rFonts w:eastAsia="方正仿宋_GBK"/>
          <w:spacing w:val="-4"/>
          <w:sz w:val="32"/>
          <w:szCs w:val="20"/>
          <w:shd w:val="clear" w:color="auto" w:fill="auto"/>
        </w:rPr>
      </w:pPr>
      <w:r>
        <w:rPr>
          <w:rFonts w:eastAsia="方正仿宋_GBK"/>
          <w:spacing w:val="-4"/>
          <w:kern w:val="2"/>
          <w:sz w:val="32"/>
          <w:szCs w:val="20"/>
          <w:shd w:val="clear" w:color="auto" w:fill="auto"/>
        </w:rPr>
        <w:t>海珠海关严格按照《国务院办公厅关于印发〈政府信息公开</w:t>
      </w:r>
      <w:r>
        <w:rPr>
          <w:rFonts w:eastAsia="方正仿宋_GBK"/>
          <w:spacing w:val="-4"/>
          <w:sz w:val="32"/>
          <w:szCs w:val="20"/>
          <w:shd w:val="clear" w:color="auto" w:fill="auto"/>
        </w:rPr>
        <w:t>信息处理费管理办法〉的通知》，规范政府信息公开信息处理费收取工作，2024年未收取政府信息公开信息处理费。</w:t>
      </w:r>
    </w:p>
    <w:p>
      <w:pPr>
        <w:pStyle w:val="88"/>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（二）</w:t>
      </w:r>
      <w:r>
        <w:rPr>
          <w:rFonts w:ascii="方正楷体_GBK" w:eastAsia="方正楷体_GBK"/>
          <w:b/>
          <w:spacing w:val="-4"/>
          <w:sz w:val="32"/>
          <w:szCs w:val="20"/>
          <w:shd w:val="clear" w:color="auto" w:fill="auto"/>
        </w:rPr>
        <w:t>获评</w:t>
      </w:r>
      <w:r>
        <w:rPr>
          <w:rFonts w:ascii="方正楷体_GBK" w:eastAsia="方正楷体_GBK" w:hint="eastAsia"/>
          <w:b/>
          <w:spacing w:val="-4"/>
          <w:sz w:val="32"/>
          <w:szCs w:val="20"/>
          <w:shd w:val="clear" w:color="auto" w:fill="auto"/>
        </w:rPr>
        <w:t>荣誉情况。</w:t>
      </w:r>
    </w:p>
    <w:p>
      <w:pPr>
        <w:pStyle w:val="88"/>
        <w:widowControl/>
        <w:shd w:val="clear" w:color="auto" w:fill="auto"/>
        <w:spacing w:beforeAutospacing="0" w:afterAutospacing="0" w:line="560" w:lineRule="exact"/>
        <w:ind w:firstLineChars="200" w:firstLine="624"/>
        <w:rPr>
          <w:shd w:val="clear" w:color="auto" w:fill="auto"/>
        </w:rPr>
      </w:pPr>
      <w:r>
        <w:rPr>
          <w:rFonts w:eastAsia="方正仿宋_GBK" w:hint="eastAsia"/>
          <w:spacing w:val="-4"/>
          <w:sz w:val="32"/>
          <w:szCs w:val="20"/>
          <w:shd w:val="clear" w:color="auto" w:fill="auto"/>
        </w:rPr>
        <w:t>2024年，</w:t>
      </w:r>
      <w:r>
        <w:rPr>
          <w:rFonts w:eastAsia="方正仿宋_GBK"/>
          <w:spacing w:val="-4"/>
          <w:sz w:val="32"/>
          <w:szCs w:val="20"/>
          <w:shd w:val="clear" w:color="auto" w:fill="auto"/>
        </w:rPr>
        <w:t>海珠海关多名关员</w:t>
      </w:r>
      <w:r>
        <w:rPr>
          <w:rFonts w:eastAsia="方正仿宋_GBK" w:hint="eastAsia"/>
          <w:spacing w:val="-4"/>
          <w:sz w:val="32"/>
          <w:szCs w:val="20"/>
          <w:shd w:val="clear" w:color="auto" w:fill="auto"/>
        </w:rPr>
        <w:t>分别获评广州海关“三八红旗手”、广州海关优秀共青团干部、广州海关学雷锋志愿服务先进个人、</w:t>
      </w:r>
      <w:r>
        <w:rPr>
          <w:rFonts w:eastAsia="方正仿宋_GBK"/>
          <w:spacing w:val="-4"/>
          <w:sz w:val="32"/>
          <w:szCs w:val="20"/>
          <w:shd w:val="clear" w:color="auto" w:fill="auto"/>
        </w:rPr>
        <w:t>广州市</w:t>
      </w:r>
      <w:r>
        <w:rPr>
          <w:rFonts w:eastAsia="方正仿宋_GBK" w:hint="eastAsia"/>
          <w:spacing w:val="-4"/>
          <w:sz w:val="32"/>
          <w:szCs w:val="20"/>
          <w:shd w:val="clear" w:color="auto" w:fill="auto"/>
        </w:rPr>
        <w:t>海珠区政务窗口服务工作成绩突出个人等荣誉。</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- 7 -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- 6 -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eastAsia="宋体"/>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jc w:val="center"/>
    </w:pPr>
    <w:rPr>
      <w:sz w:val="24"/>
      <w:szCs w:val="24"/>
    </w:r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widowControl w:val="0"/>
      <w:jc w:val="both"/>
    </w:pPr>
    <w:rPr>
      <w:rFonts w:ascii="Calibri" w:eastAsia="宋体" w:cs="Times New Roman" w:hAnsi="Calibri"/>
      <w:kern w:val="2"/>
      <w:sz w:val="21"/>
      <w:szCs w:val="22"/>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tabs>
        <w:tab w:val="left" w:pos="360"/>
      </w:tabs>
      <w:ind w:left="360" w:hanging="360"/>
    </w:pPr>
  </w:style>
  <w:style w:type="paragraph" w:styleId="72">
    <w:name w:val="List Number"/>
    <w:basedOn w:val="0"/>
    <w:pPr>
      <w:tabs>
        <w:tab w:val="left" w:pos="360"/>
      </w:tabs>
      <w:ind w:left="360" w:hanging="360"/>
    </w:pPr>
  </w:style>
  <w:style w:type="paragraph" w:customStyle="1" w:styleId="73">
    <w:name w:val="样式 17 三号"/>
    <w:next w:val="71"/>
    <w:pPr>
      <w:widowControl w:val="0"/>
      <w:jc w:val="both"/>
    </w:pPr>
    <w:rPr>
      <w:rFonts w:ascii="Times New Roman" w:eastAsia="方正仿宋_GBK" w:cs="Times New Roman" w:hAnsi="Times New Roman"/>
      <w:kern w:val="2"/>
      <w:sz w:val="32"/>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paragraph" w:styleId="75">
    <w:name w:val="Balloon Text"/>
    <w:basedOn w:val="0"/>
    <w:rPr>
      <w:sz w:val="18"/>
      <w:szCs w:val="18"/>
    </w:rPr>
  </w:style>
  <w:style w:type="character" w:styleId="76">
    <w:name w:val="Hyperlink"/>
    <w:basedOn w:val="10"/>
    <w:rPr>
      <w:color w:val="0000FF"/>
      <w:u w:val="single"/>
    </w:rPr>
  </w:style>
  <w:style w:type="character" w:customStyle="1" w:styleId="77">
    <w:name w:val="im-content1"/>
    <w:basedOn w:val="10"/>
    <w:rPr>
      <w:vanish w:val="0"/>
      <w:color w:val="000000"/>
    </w:rPr>
  </w:style>
  <w:style w:type="character" w:customStyle="1" w:styleId="78">
    <w:name w:val="1"/>
    <w:basedOn w:val="10"/>
  </w:style>
  <w:style w:type="paragraph" w:customStyle="1" w:styleId="79">
    <w:name w:val="样式 15 三号"/>
    <w:next w:val="8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80">
    <w:name w:val="index 9"/>
    <w:basedOn w:val="0"/>
    <w:autoRedefine/>
    <w:next w:val="0"/>
    <w:pPr>
      <w:ind w:leftChars="1600" w:left="1600"/>
    </w:pPr>
  </w:style>
  <w:style w:type="paragraph" w:customStyle="1" w:styleId="81">
    <w:name w:val="样式 50 小四"/>
    <w:next w:val="82"/>
    <w:pPr>
      <w:widowControl w:val="0"/>
    </w:pPr>
    <w:rPr>
      <w:rFonts w:ascii="宋体" w:eastAsia="宋体" w:cs="Times New Roman"/>
      <w:kern w:val="2"/>
      <w:sz w:val="24"/>
      <w:szCs w:val="21"/>
      <w:lang w:val="en-US" w:eastAsia="zh-CN" w:bidi="ar-SA"/>
    </w:rPr>
  </w:style>
  <w:style w:type="paragraph" w:styleId="82">
    <w:name w:val="toc 7"/>
    <w:basedOn w:val="0"/>
    <w:autoRedefine/>
    <w:next w:val="0"/>
    <w:pPr>
      <w:ind w:leftChars="1200" w:left="1200"/>
    </w:pPr>
  </w:style>
  <w:style w:type="paragraph" w:styleId="83">
    <w:name w:val="annotation text"/>
    <w:pPr>
      <w:widowControl w:val="0"/>
      <w:jc w:val="left"/>
    </w:pPr>
    <w:rPr>
      <w:rFonts w:ascii="Times New Roman" w:eastAsia="方正仿宋_GBK" w:cs="Times New Roman" w:hAnsi="Times New Roman"/>
      <w:kern w:val="2"/>
      <w:sz w:val="32"/>
      <w:szCs w:val="22"/>
      <w:lang w:val="en-US" w:eastAsia="zh-CN" w:bidi="ar-SA"/>
    </w:rPr>
  </w:style>
  <w:style w:type="paragraph" w:styleId="84">
    <w:name w:val="annotation subject"/>
    <w:basedOn w:val="83"/>
    <w:next w:val="83"/>
    <w:rPr>
      <w:b/>
    </w:rPr>
  </w:style>
  <w:style w:type="paragraph" w:customStyle="1" w:styleId="85">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6">
    <w:name w:val="样式 4 小四"/>
    <w:pPr>
      <w:widowControl w:val="0"/>
    </w:pPr>
    <w:rPr>
      <w:rFonts w:ascii="宋体" w:eastAsia="宋体" w:cs="Times New Roman"/>
      <w:kern w:val="2"/>
      <w:sz w:val="24"/>
      <w:lang w:val="en-US" w:eastAsia="zh-CN" w:bidi="ar-SA"/>
    </w:rPr>
  </w:style>
  <w:style w:type="paragraph" w:customStyle="1" w:styleId="87">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88">
    <w:name w:val="样式 7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89">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1">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81">
    <w:name w:val="样式 8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1702</TotalTime>
  <Application>Yozo_Office</Application>
  <Pages>7</Pages>
  <Words>2711</Words>
  <Characters>2807</Characters>
  <Lines>447</Lines>
  <Paragraphs>316</Paragraphs>
  <CharactersWithSpaces>2823</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66</cp:revision>
  <cp:lastPrinted>2025-01-13T06:56:00Z</cp:lastPrinted>
  <dcterms:created xsi:type="dcterms:W3CDTF">2025-01-06T02:02:00Z</dcterms:created>
  <dcterms:modified xsi:type="dcterms:W3CDTF">2025-01-26T07:57:33Z</dcterms:modified>
</cp:coreProperties>
</file>