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6"/>
        <w:shd w:val="clear" w:color="auto" w:fill="auto"/>
        <w:spacing w:line="580" w:lineRule="exact"/>
        <w:jc w:val="center"/>
        <w:rPr>
          <w:rFonts w:ascii="方正小标宋_GBK" w:eastAsia="方正小标宋_GBK" w:cs="方正小标宋_GBK"/>
          <w:sz w:val="44"/>
          <w:szCs w:val="44"/>
          <w:shd w:val="clear" w:color="auto" w:fill="auto"/>
        </w:rPr>
      </w:pPr>
      <w:bookmarkStart w:id="0" w:name="_Hlk25540369"/>
      <w:bookmarkStart w:id="1" w:name="cogw__正文__file"/>
      <w:r>
        <w:rPr>
          <w:rFonts w:ascii="方正小标宋_GBK" w:eastAsia="方正小标宋_GBK" w:cs="方正小标宋_GBK" w:hint="eastAsia"/>
          <w:sz w:val="44"/>
          <w:szCs w:val="44"/>
          <w:shd w:val="clear" w:color="auto" w:fill="auto"/>
        </w:rPr>
        <w:t>佛山海关2024年政府信息公开工作年度报告</w:t>
      </w:r>
      <w:bookmarkEnd w:id="0"/>
    </w:p>
    <w:p>
      <w:pPr>
        <w:widowControl/>
        <w:shd w:val="clear" w:color="auto" w:fill="auto"/>
        <w:spacing w:line="560" w:lineRule="exact"/>
        <w:ind w:firstLineChars="200" w:firstLine="624"/>
        <w:rPr>
          <w:color w:val="000000"/>
          <w:spacing w:val="-4"/>
          <w:kern w:val="0"/>
          <w:shd w:val="clear" w:color="auto" w:fill="auto"/>
        </w:rPr>
      </w:pPr>
    </w:p>
    <w:p>
      <w:pPr>
        <w:widowControl/>
        <w:shd w:val="clear" w:color="auto" w:fill="auto"/>
        <w:spacing w:line="560" w:lineRule="exact"/>
        <w:ind w:firstLineChars="200" w:firstLine="624"/>
        <w:rPr>
          <w:color w:val="000000"/>
          <w:spacing w:val="-4"/>
          <w:kern w:val="0"/>
          <w:shd w:val="clear" w:color="auto" w:fill="auto"/>
        </w:rPr>
      </w:pPr>
      <w:r>
        <w:rPr>
          <w:rFonts w:cs="方正仿宋_GBK" w:hint="eastAsia"/>
          <w:color w:val="000000"/>
          <w:spacing w:val="-4"/>
          <w:kern w:val="0"/>
          <w:shd w:val="clear" w:color="auto" w:fill="auto"/>
        </w:rPr>
        <w:t>根据《中华人民共和国政府信息公开条例》</w:t>
      </w:r>
      <w:r>
        <w:rPr>
          <w:rFonts w:cs="楷体_GB2312" w:hint="eastAsia"/>
          <w:bCs/>
          <w:shd w:val="clear" w:color="auto" w:fill="auto"/>
        </w:rPr>
        <w:t>《国务院办公厅政府信息与政务公开办公室关于政府信息公开工作年度报告有关事项的通知》</w:t>
      </w:r>
      <w:r>
        <w:rPr>
          <w:rFonts w:cs="方正仿宋_GBK" w:hint="eastAsia"/>
          <w:color w:val="000000"/>
          <w:spacing w:val="-4"/>
          <w:kern w:val="0"/>
          <w:shd w:val="clear" w:color="auto" w:fill="auto"/>
        </w:rPr>
        <w:t>《国务院办公厅政府信息与政务公开办公室关于印发〈中华人民共和国政府信息公开工作年度报告格式〉的通知》等规定，梳理编制佛山海关</w:t>
      </w:r>
      <w:r>
        <w:rPr>
          <w:rFonts w:cs="方正仿宋_GBK"/>
          <w:color w:val="000000"/>
          <w:spacing w:val="-4"/>
          <w:kern w:val="0"/>
          <w:shd w:val="clear" w:color="auto" w:fill="auto"/>
        </w:rPr>
        <w:t>202</w:t>
      </w:r>
      <w:r>
        <w:rPr>
          <w:rFonts w:cs="方正仿宋_GBK" w:hint="eastAsia"/>
          <w:color w:val="000000"/>
          <w:spacing w:val="-4"/>
          <w:kern w:val="0"/>
          <w:shd w:val="clear" w:color="auto" w:fill="auto"/>
        </w:rPr>
        <w:t>4年政府信息公开工作年报。年报中所列数据的统计期限，自</w:t>
      </w:r>
      <w:r>
        <w:rPr>
          <w:color w:val="000000"/>
          <w:spacing w:val="-4"/>
          <w:kern w:val="0"/>
          <w:shd w:val="clear" w:color="auto" w:fill="auto"/>
        </w:rPr>
        <w:t>202</w:t>
      </w:r>
      <w:r>
        <w:rPr>
          <w:rFonts w:hint="eastAsia"/>
          <w:color w:val="000000"/>
          <w:spacing w:val="-4"/>
          <w:kern w:val="0"/>
          <w:shd w:val="clear" w:color="auto" w:fill="auto"/>
        </w:rPr>
        <w:t>4</w:t>
      </w:r>
      <w:r>
        <w:rPr>
          <w:rFonts w:cs="方正仿宋_GBK" w:hint="eastAsia"/>
          <w:color w:val="000000"/>
          <w:spacing w:val="-4"/>
          <w:kern w:val="0"/>
          <w:shd w:val="clear" w:color="auto" w:fill="auto"/>
        </w:rPr>
        <w:t>年</w:t>
      </w:r>
      <w:r>
        <w:rPr>
          <w:color w:val="000000"/>
          <w:spacing w:val="-4"/>
          <w:kern w:val="0"/>
          <w:shd w:val="clear" w:color="auto" w:fill="auto"/>
        </w:rPr>
        <w:t>1</w:t>
      </w:r>
      <w:r>
        <w:rPr>
          <w:rFonts w:cs="方正仿宋_GBK" w:hint="eastAsia"/>
          <w:color w:val="000000"/>
          <w:spacing w:val="-4"/>
          <w:kern w:val="0"/>
          <w:shd w:val="clear" w:color="auto" w:fill="auto"/>
        </w:rPr>
        <w:t>月</w:t>
      </w:r>
      <w:r>
        <w:rPr>
          <w:color w:val="000000"/>
          <w:spacing w:val="-4"/>
          <w:kern w:val="0"/>
          <w:shd w:val="clear" w:color="auto" w:fill="auto"/>
        </w:rPr>
        <w:t>1</w:t>
      </w:r>
      <w:r>
        <w:rPr>
          <w:rFonts w:cs="方正仿宋_GBK" w:hint="eastAsia"/>
          <w:color w:val="000000"/>
          <w:spacing w:val="-4"/>
          <w:kern w:val="0"/>
          <w:shd w:val="clear" w:color="auto" w:fill="auto"/>
        </w:rPr>
        <w:t>日起至</w:t>
      </w:r>
      <w:r>
        <w:rPr>
          <w:color w:val="000000"/>
          <w:spacing w:val="-4"/>
          <w:kern w:val="0"/>
          <w:shd w:val="clear" w:color="auto" w:fill="auto"/>
        </w:rPr>
        <w:t>202</w:t>
      </w:r>
      <w:r>
        <w:rPr>
          <w:rFonts w:hint="eastAsia"/>
          <w:color w:val="000000"/>
          <w:spacing w:val="-4"/>
          <w:kern w:val="0"/>
          <w:shd w:val="clear" w:color="auto" w:fill="auto"/>
        </w:rPr>
        <w:t>4</w:t>
      </w:r>
      <w:r>
        <w:rPr>
          <w:rFonts w:cs="方正仿宋_GBK" w:hint="eastAsia"/>
          <w:color w:val="000000"/>
          <w:spacing w:val="-4"/>
          <w:kern w:val="0"/>
          <w:shd w:val="clear" w:color="auto" w:fill="auto"/>
        </w:rPr>
        <w:t>年</w:t>
      </w:r>
      <w:r>
        <w:rPr>
          <w:color w:val="000000"/>
          <w:spacing w:val="-4"/>
          <w:kern w:val="0"/>
          <w:shd w:val="clear" w:color="auto" w:fill="auto"/>
        </w:rPr>
        <w:t>12</w:t>
      </w:r>
      <w:r>
        <w:rPr>
          <w:rFonts w:cs="方正仿宋_GBK" w:hint="eastAsia"/>
          <w:color w:val="000000"/>
          <w:spacing w:val="-4"/>
          <w:kern w:val="0"/>
          <w:shd w:val="clear" w:color="auto" w:fill="auto"/>
        </w:rPr>
        <w:t>月</w:t>
      </w:r>
      <w:r>
        <w:rPr>
          <w:color w:val="000000"/>
          <w:spacing w:val="-4"/>
          <w:kern w:val="0"/>
          <w:shd w:val="clear" w:color="auto" w:fill="auto"/>
        </w:rPr>
        <w:t>31</w:t>
      </w:r>
      <w:r>
        <w:rPr>
          <w:rFonts w:cs="方正仿宋_GBK" w:hint="eastAsia"/>
          <w:color w:val="000000"/>
          <w:spacing w:val="-4"/>
          <w:kern w:val="0"/>
          <w:shd w:val="clear" w:color="auto" w:fill="auto"/>
        </w:rPr>
        <w:t>日止。如对本年报有疑问或有任何意见、建议，请联系佛山海关办公室文秘科。地址：广东省佛山市禅城区五峰三路</w:t>
      </w:r>
      <w:r>
        <w:rPr>
          <w:color w:val="000000"/>
          <w:spacing w:val="-4"/>
          <w:kern w:val="0"/>
          <w:shd w:val="clear" w:color="auto" w:fill="auto"/>
        </w:rPr>
        <w:t>10</w:t>
      </w:r>
      <w:r>
        <w:rPr>
          <w:rFonts w:cs="方正仿宋_GBK" w:hint="eastAsia"/>
          <w:color w:val="000000"/>
          <w:spacing w:val="-4"/>
          <w:kern w:val="0"/>
          <w:shd w:val="clear" w:color="auto" w:fill="auto"/>
        </w:rPr>
        <w:t>号，邮编：</w:t>
      </w:r>
      <w:r>
        <w:rPr>
          <w:color w:val="000000"/>
          <w:spacing w:val="-4"/>
          <w:kern w:val="0"/>
          <w:shd w:val="clear" w:color="auto" w:fill="auto"/>
        </w:rPr>
        <w:t>528000</w:t>
      </w:r>
      <w:r>
        <w:rPr>
          <w:rFonts w:cs="方正仿宋_GBK" w:hint="eastAsia"/>
          <w:color w:val="000000"/>
          <w:spacing w:val="-4"/>
          <w:kern w:val="0"/>
          <w:shd w:val="clear" w:color="auto" w:fill="auto"/>
        </w:rPr>
        <w:t>；电话：</w:t>
      </w:r>
      <w:r>
        <w:rPr>
          <w:color w:val="000000"/>
          <w:spacing w:val="-4"/>
          <w:kern w:val="0"/>
          <w:shd w:val="clear" w:color="auto" w:fill="auto"/>
        </w:rPr>
        <w:t>0757-80375310</w:t>
      </w:r>
      <w:r>
        <w:rPr>
          <w:rFonts w:cs="方正仿宋_GBK" w:hint="eastAsia"/>
          <w:color w:val="000000"/>
          <w:spacing w:val="-4"/>
          <w:kern w:val="0"/>
          <w:shd w:val="clear" w:color="auto" w:fill="auto"/>
        </w:rPr>
        <w:t>；电子邮箱：</w:t>
      </w:r>
      <w:r>
        <w:rPr>
          <w:spacing w:val="-4"/>
          <w:kern w:val="0"/>
          <w:shd w:val="clear" w:color="auto" w:fill="auto"/>
        </w:rPr>
        <w:t>foshanbgs@customs.gov.cn</w:t>
      </w:r>
      <w:r>
        <w:rPr>
          <w:rFonts w:cs="方正仿宋_GBK" w:hint="eastAsia"/>
          <w:color w:val="000000"/>
          <w:spacing w:val="-4"/>
          <w:kern w:val="0"/>
          <w:shd w:val="clear" w:color="auto" w:fill="auto"/>
        </w:rPr>
        <w:t>。</w:t>
      </w:r>
    </w:p>
    <w:p>
      <w:pPr>
        <w:pStyle w:val="15"/>
        <w:widowControl/>
        <w:shd w:val="clear" w:color="auto" w:fill="auto"/>
        <w:adjustRightInd w:val="0"/>
        <w:snapToGrid w:val="0"/>
        <w:spacing w:before="0" w:beforeAutospacing="0" w:after="0" w:afterAutospacing="0" w:line="560" w:lineRule="exact"/>
        <w:ind w:firstLineChars="200" w:firstLine="640"/>
        <w:jc w:val="both"/>
        <w:rPr>
          <w:rFonts w:ascii="方正黑体_GBK" w:eastAsia="方正黑体_GBK"/>
          <w:sz w:val="32"/>
          <w:szCs w:val="32"/>
          <w:shd w:val="clear" w:color="auto" w:fill="auto"/>
        </w:rPr>
      </w:pPr>
      <w:r>
        <w:rPr>
          <w:rFonts w:ascii="方正黑体_GBK" w:eastAsia="方正黑体_GBK" w:cs="方正黑体_GBK" w:hint="eastAsia"/>
          <w:sz w:val="32"/>
          <w:szCs w:val="32"/>
          <w:shd w:val="clear" w:color="auto" w:fill="auto"/>
        </w:rPr>
        <w:t>一、总体情况</w:t>
      </w:r>
    </w:p>
    <w:p>
      <w:pPr>
        <w:pStyle w:val="18"/>
        <w:shd w:val="clear" w:color="auto" w:fill="auto"/>
        <w:adjustRightInd w:val="0"/>
        <w:snapToGrid w:val="0"/>
        <w:ind w:firstLineChars="200" w:firstLine="624"/>
        <w:rPr>
          <w:shd w:val="clear" w:color="auto" w:fill="auto"/>
        </w:rPr>
      </w:pPr>
      <w:r>
        <w:rPr>
          <w:shd w:val="clear" w:color="auto" w:fill="auto"/>
        </w:rPr>
        <w:t>202</w:t>
      </w:r>
      <w:r>
        <w:rPr>
          <w:rFonts w:hint="eastAsia"/>
          <w:shd w:val="clear" w:color="auto" w:fill="auto"/>
        </w:rPr>
        <w:t>4</w:t>
      </w:r>
      <w:r>
        <w:rPr>
          <w:rFonts w:cs="方正仿宋_GBK" w:hint="eastAsia"/>
          <w:shd w:val="clear" w:color="auto" w:fill="auto"/>
        </w:rPr>
        <w:t>年，佛山海关</w:t>
      </w:r>
      <w:r>
        <w:rPr>
          <w:rFonts w:hint="eastAsia"/>
          <w:shd w:val="clear" w:color="auto" w:fill="auto"/>
        </w:rPr>
        <w:t>坚持以习近平新时代中国特色社会主义思想为指导，全面贯彻落实党的二十大和二十届二中、三中全会精神，深入学习</w:t>
      </w:r>
      <w:r>
        <w:rPr>
          <w:shd w:val="clear" w:color="auto" w:fill="auto"/>
        </w:rPr>
        <w:t>贯彻</w:t>
      </w:r>
      <w:r>
        <w:rPr>
          <w:rFonts w:hint="eastAsia"/>
          <w:shd w:val="clear" w:color="auto" w:fill="auto"/>
        </w:rPr>
        <w:t>习近平总书记</w:t>
      </w:r>
      <w:r>
        <w:rPr>
          <w:rFonts w:ascii="Times New Roman" w:eastAsia="方正仿宋_GBK" w:hAnsi="Times New Roman"/>
          <w:sz w:val="32"/>
          <w:szCs w:val="32"/>
          <w:shd w:val="clear" w:color="auto" w:fill="auto"/>
        </w:rPr>
        <w:t>重要指示批示和</w:t>
      </w:r>
      <w:r>
        <w:rPr>
          <w:rFonts w:hint="eastAsia"/>
          <w:shd w:val="clear" w:color="auto" w:fill="auto"/>
        </w:rPr>
        <w:t>给红其拉甫海关全体关员重要回信精神，严格落实《中华人民共和国政府信息公开条例》和各项政务公开工作要求，持续推进海关领域基层政务公开标准化规范化建设，</w:t>
      </w:r>
      <w:r>
        <w:rPr>
          <w:shd w:val="clear" w:color="auto" w:fill="auto"/>
        </w:rPr>
        <w:t>通过</w:t>
      </w:r>
      <w:r>
        <w:rPr>
          <w:rFonts w:hint="eastAsia"/>
          <w:shd w:val="clear" w:color="auto" w:fill="auto"/>
        </w:rPr>
        <w:t>政府信息</w:t>
      </w:r>
      <w:r>
        <w:rPr>
          <w:shd w:val="clear" w:color="auto" w:fill="auto"/>
        </w:rPr>
        <w:t>规范</w:t>
      </w:r>
      <w:r>
        <w:rPr>
          <w:rFonts w:hint="eastAsia"/>
          <w:shd w:val="clear" w:color="auto" w:fill="auto"/>
        </w:rPr>
        <w:t>公开</w:t>
      </w:r>
      <w:r>
        <w:rPr>
          <w:shd w:val="clear" w:color="auto" w:fill="auto"/>
        </w:rPr>
        <w:t>强化</w:t>
      </w:r>
      <w:r>
        <w:rPr>
          <w:rFonts w:hint="eastAsia"/>
          <w:shd w:val="clear" w:color="auto" w:fill="auto"/>
        </w:rPr>
        <w:t>工作透明度，提升企业群众</w:t>
      </w:r>
      <w:r>
        <w:rPr>
          <w:shd w:val="clear" w:color="auto" w:fill="auto"/>
        </w:rPr>
        <w:t>参与感、</w:t>
      </w:r>
      <w:r>
        <w:rPr>
          <w:rFonts w:hint="eastAsia"/>
          <w:shd w:val="clear" w:color="auto" w:fill="auto"/>
        </w:rPr>
        <w:t>获得感。</w:t>
      </w:r>
      <w:r>
        <w:rPr>
          <w:shd w:val="clear" w:color="auto" w:fill="auto"/>
        </w:rPr>
        <w:t>现将工作情况报告如下：</w:t>
      </w:r>
    </w:p>
    <w:p>
      <w:pPr>
        <w:pStyle w:val="18"/>
        <w:shd w:val="clear" w:color="auto" w:fill="auto"/>
        <w:adjustRightInd w:val="0"/>
        <w:snapToGrid w:val="0"/>
        <w:ind w:firstLineChars="200" w:firstLine="640"/>
        <w:rPr>
          <w:rFonts w:ascii="方正楷体_GBK" w:eastAsia="方正楷体_GBK"/>
          <w:b/>
          <w:bCs/>
          <w:shd w:val="clear" w:color="auto" w:fill="auto"/>
        </w:rPr>
      </w:pPr>
      <w:r>
        <w:rPr>
          <w:rFonts w:ascii="方正楷体_GBK" w:eastAsia="方正楷体_GBK" w:cs="方正楷体_GBK" w:hint="eastAsia"/>
          <w:b/>
          <w:bCs/>
          <w:spacing w:val="0"/>
          <w:shd w:val="clear" w:color="auto" w:fill="auto"/>
        </w:rPr>
        <w:t>（一）</w:t>
      </w:r>
      <w:r>
        <w:rPr>
          <w:rFonts w:ascii="方正楷体_GBK" w:eastAsia="方正楷体_GBK" w:hint="eastAsia"/>
          <w:b/>
          <w:shd w:val="clear" w:color="auto" w:fill="auto"/>
        </w:rPr>
        <w:t>主动公开情况</w:t>
      </w:r>
      <w:r>
        <w:rPr>
          <w:rFonts w:ascii="方正楷体_GBK" w:eastAsia="方正楷体_GBK" w:cs="方正楷体_GBK" w:hint="eastAsia"/>
          <w:b/>
          <w:bCs/>
          <w:spacing w:val="0"/>
          <w:shd w:val="clear" w:color="auto" w:fill="auto"/>
        </w:rPr>
        <w:t>。</w:t>
      </w:r>
    </w:p>
    <w:p>
      <w:pPr>
        <w:pStyle w:val="18"/>
        <w:shd w:val="clear" w:color="auto" w:fill="auto"/>
        <w:adjustRightInd w:val="0"/>
        <w:snapToGrid w:val="0"/>
        <w:ind w:firstLineChars="200" w:firstLine="616"/>
        <w:rPr>
          <w:spacing w:val="-6"/>
          <w:shd w:val="clear" w:color="auto" w:fill="auto"/>
        </w:rPr>
      </w:pPr>
      <w:r>
        <w:rPr>
          <w:rFonts w:hint="eastAsia"/>
          <w:spacing w:val="-6"/>
          <w:shd w:val="clear" w:color="auto" w:fill="auto"/>
        </w:rPr>
        <w:t>认真组织学习贯彻政务公开工作</w:t>
      </w:r>
      <w:r>
        <w:rPr>
          <w:spacing w:val="-6"/>
          <w:shd w:val="clear" w:color="auto" w:fill="auto"/>
        </w:rPr>
        <w:t>要求</w:t>
      </w:r>
      <w:r>
        <w:rPr>
          <w:rFonts w:hint="eastAsia"/>
          <w:spacing w:val="-6"/>
          <w:shd w:val="clear" w:color="auto" w:fill="auto"/>
        </w:rPr>
        <w:t>，深入推进基层政务公开标准化规范化建设，优化政务公开职能，梳理</w:t>
      </w:r>
      <w:r>
        <w:rPr>
          <w:spacing w:val="-6"/>
          <w:shd w:val="clear" w:color="auto" w:fill="auto"/>
        </w:rPr>
        <w:t>更新</w:t>
      </w:r>
      <w:r>
        <w:rPr>
          <w:rFonts w:hint="eastAsia"/>
          <w:spacing w:val="-6"/>
          <w:shd w:val="clear" w:color="auto" w:fill="auto"/>
        </w:rPr>
        <w:t>《佛山海关政务公开标准事项目录》，</w:t>
      </w:r>
      <w:r>
        <w:rPr>
          <w:spacing w:val="-6"/>
          <w:shd w:val="clear" w:color="auto" w:fill="auto"/>
        </w:rPr>
        <w:t>并对照自查</w:t>
      </w:r>
      <w:r>
        <w:rPr>
          <w:rFonts w:hint="eastAsia"/>
          <w:spacing w:val="-6"/>
          <w:shd w:val="clear" w:color="auto" w:fill="auto"/>
        </w:rPr>
        <w:t>公开事项内容要求、公开渠道和载体等方面</w:t>
      </w:r>
      <w:r>
        <w:rPr>
          <w:spacing w:val="-6"/>
          <w:shd w:val="clear" w:color="auto" w:fill="auto"/>
        </w:rPr>
        <w:t>落实情况</w:t>
      </w:r>
      <w:r>
        <w:rPr>
          <w:rFonts w:hint="eastAsia"/>
          <w:spacing w:val="-6"/>
          <w:shd w:val="clear" w:color="auto" w:fill="auto"/>
        </w:rPr>
        <w:t>。及时梳理海关规范性文件，</w:t>
      </w:r>
      <w:r>
        <w:rPr>
          <w:spacing w:val="-6"/>
          <w:shd w:val="clear" w:color="auto" w:fill="auto"/>
        </w:rPr>
        <w:t>通过各</w:t>
      </w:r>
      <w:r>
        <w:rPr>
          <w:rFonts w:hint="eastAsia"/>
          <w:spacing w:val="-6"/>
          <w:shd w:val="clear" w:color="auto" w:fill="auto"/>
        </w:rPr>
        <w:t>业务大厅和</w:t>
      </w:r>
      <w:r>
        <w:rPr>
          <w:spacing w:val="-6"/>
          <w:shd w:val="clear" w:color="auto" w:fill="auto"/>
        </w:rPr>
        <w:t>办事</w:t>
      </w:r>
      <w:r>
        <w:rPr>
          <w:rFonts w:hint="eastAsia"/>
          <w:spacing w:val="-6"/>
          <w:shd w:val="clear" w:color="auto" w:fill="auto"/>
        </w:rPr>
        <w:t>窗口公告栏、显示屏等统一对外展示</w:t>
      </w:r>
      <w:r>
        <w:rPr>
          <w:spacing w:val="-6"/>
          <w:shd w:val="clear" w:color="auto" w:fill="auto"/>
        </w:rPr>
        <w:t>，</w:t>
      </w:r>
      <w:r>
        <w:rPr>
          <w:rFonts w:hint="eastAsia"/>
          <w:spacing w:val="-6"/>
          <w:shd w:val="clear" w:color="auto" w:fill="auto"/>
        </w:rPr>
        <w:t>并及时</w:t>
      </w:r>
      <w:r>
        <w:rPr>
          <w:spacing w:val="-6"/>
          <w:shd w:val="clear" w:color="auto" w:fill="auto"/>
        </w:rPr>
        <w:t>维护、</w:t>
      </w:r>
      <w:r>
        <w:rPr>
          <w:rFonts w:hint="eastAsia"/>
          <w:spacing w:val="-6"/>
          <w:shd w:val="clear" w:color="auto" w:fill="auto"/>
        </w:rPr>
        <w:t>动态更新办事</w:t>
      </w:r>
      <w:r>
        <w:rPr>
          <w:spacing w:val="-6"/>
          <w:shd w:val="clear" w:color="auto" w:fill="auto"/>
        </w:rPr>
        <w:t>指引</w:t>
      </w:r>
      <w:r>
        <w:rPr>
          <w:rFonts w:hint="eastAsia"/>
          <w:spacing w:val="-6"/>
          <w:shd w:val="clear" w:color="auto" w:fill="auto"/>
        </w:rPr>
        <w:t>，全面优化办事流程，提升</w:t>
      </w:r>
      <w:r>
        <w:rPr>
          <w:spacing w:val="-6"/>
          <w:shd w:val="clear" w:color="auto" w:fill="auto"/>
        </w:rPr>
        <w:t>企业群</w:t>
      </w:r>
      <w:r>
        <w:rPr>
          <w:rFonts w:hint="eastAsia"/>
          <w:spacing w:val="-6"/>
          <w:shd w:val="clear" w:color="auto" w:fill="auto"/>
        </w:rPr>
        <w:t>众办事便利度。</w:t>
      </w:r>
    </w:p>
    <w:p>
      <w:pPr>
        <w:pStyle w:val="18"/>
        <w:shd w:val="clear" w:color="auto" w:fill="auto"/>
        <w:adjustRightInd w:val="0"/>
        <w:snapToGrid w:val="0"/>
        <w:ind w:firstLineChars="200" w:firstLine="640"/>
        <w:rPr>
          <w:rFonts w:ascii="方正楷体_GBK" w:eastAsia="方正楷体_GBK" w:cs="方正楷体_GBK"/>
          <w:b/>
          <w:bCs/>
          <w:spacing w:val="0"/>
          <w:shd w:val="clear" w:color="auto" w:fill="auto"/>
        </w:rPr>
      </w:pPr>
      <w:r>
        <w:rPr>
          <w:rFonts w:ascii="方正楷体_GBK" w:eastAsia="方正楷体_GBK" w:cs="方正楷体_GBK" w:hint="eastAsia"/>
          <w:b/>
          <w:bCs/>
          <w:spacing w:val="0"/>
          <w:shd w:val="clear" w:color="auto" w:fill="auto"/>
        </w:rPr>
        <w:t>（二）</w:t>
      </w:r>
      <w:bookmarkStart w:id="2" w:name="_Hlk187071538"/>
      <w:r>
        <w:rPr>
          <w:rFonts w:ascii="方正楷体_GBK" w:eastAsia="方正楷体_GBK" w:cs="方正楷体_GBK" w:hint="eastAsia"/>
          <w:b/>
          <w:bCs/>
          <w:spacing w:val="0"/>
          <w:shd w:val="clear" w:color="auto" w:fill="auto"/>
        </w:rPr>
        <w:t>依申请公开</w:t>
      </w:r>
      <w:bookmarkEnd w:id="2"/>
      <w:r>
        <w:rPr>
          <w:rFonts w:ascii="方正楷体_GBK" w:eastAsia="方正楷体_GBK" w:cs="方正楷体_GBK" w:hint="eastAsia"/>
          <w:b/>
          <w:bCs/>
          <w:spacing w:val="0"/>
          <w:shd w:val="clear" w:color="auto" w:fill="auto"/>
        </w:rPr>
        <w:t>情况。</w:t>
      </w:r>
    </w:p>
    <w:p>
      <w:pPr>
        <w:pStyle w:val="18"/>
        <w:shd w:val="clear" w:color="auto" w:fill="auto"/>
        <w:adjustRightInd w:val="0"/>
        <w:snapToGrid w:val="0"/>
        <w:ind w:firstLineChars="200" w:firstLine="624"/>
        <w:rPr>
          <w:rFonts w:cs="方正仿宋_GBK"/>
          <w:shd w:val="clear" w:color="auto" w:fill="auto"/>
        </w:rPr>
      </w:pPr>
      <w:r>
        <w:rPr>
          <w:rFonts w:cs="方正仿宋_GBK" w:hint="eastAsia"/>
          <w:color w:val="000000"/>
          <w:shd w:val="clear" w:color="auto" w:fill="auto"/>
        </w:rPr>
        <w:t>加强</w:t>
      </w:r>
      <w:r>
        <w:rPr>
          <w:rFonts w:cs="方正仿宋_GBK"/>
          <w:color w:val="000000"/>
          <w:shd w:val="clear" w:color="auto" w:fill="auto"/>
        </w:rPr>
        <w:t>岗位人员</w:t>
      </w:r>
      <w:r>
        <w:rPr>
          <w:rFonts w:cs="方正仿宋_GBK" w:hint="eastAsia"/>
          <w:color w:val="000000"/>
          <w:shd w:val="clear" w:color="auto" w:fill="auto"/>
        </w:rPr>
        <w:t>业务培训，完善接收、办理、答复流程，进一步推动依申请公开办理规范化。</w:t>
      </w:r>
      <w:r>
        <w:rPr>
          <w:rFonts w:cs="方正仿宋_GBK"/>
          <w:color w:val="000000"/>
          <w:shd w:val="clear" w:color="auto" w:fill="auto"/>
        </w:rPr>
        <w:t>根据《中华人民共和国行政复议法》修订内容，及时明确依申请公开办理相关要求，保障申请人救济权利。</w:t>
      </w:r>
      <w:r>
        <w:rPr>
          <w:shd w:val="clear" w:color="auto" w:fill="auto"/>
        </w:rPr>
        <w:t>年内共</w:t>
      </w:r>
      <w:r>
        <w:rPr>
          <w:rFonts w:cs="方正仿宋_GBK" w:hint="eastAsia"/>
          <w:shd w:val="clear" w:color="auto" w:fill="auto"/>
        </w:rPr>
        <w:t>收到政府信息公开申请</w:t>
      </w:r>
      <w:r>
        <w:rPr>
          <w:rFonts w:hint="eastAsia"/>
          <w:shd w:val="clear" w:color="auto" w:fill="auto"/>
        </w:rPr>
        <w:t>8</w:t>
      </w:r>
      <w:r>
        <w:rPr>
          <w:rFonts w:cs="方正仿宋_GBK" w:hint="eastAsia"/>
          <w:shd w:val="clear" w:color="auto" w:fill="auto"/>
        </w:rPr>
        <w:t>件，均已按期办结，未发生因政府信息公开</w:t>
      </w:r>
      <w:r>
        <w:rPr>
          <w:rFonts w:cs="方正仿宋_GBK"/>
          <w:shd w:val="clear" w:color="auto" w:fill="auto"/>
        </w:rPr>
        <w:t>申请</w:t>
      </w:r>
      <w:r>
        <w:rPr>
          <w:rFonts w:cs="方正仿宋_GBK" w:hint="eastAsia"/>
          <w:shd w:val="clear" w:color="auto" w:fill="auto"/>
        </w:rPr>
        <w:t>引发的行政复议、诉讼。</w:t>
      </w:r>
    </w:p>
    <w:p>
      <w:pPr>
        <w:pStyle w:val="18"/>
        <w:shd w:val="clear" w:color="auto" w:fill="auto"/>
        <w:adjustRightInd w:val="0"/>
        <w:snapToGrid w:val="0"/>
        <w:ind w:firstLineChars="200" w:firstLine="640"/>
        <w:rPr>
          <w:rFonts w:ascii="方正楷体_GBK" w:eastAsia="方正楷体_GBK" w:cs="方正楷体_GBK"/>
          <w:b/>
          <w:bCs/>
          <w:color w:val="000000"/>
          <w:spacing w:val="0"/>
          <w:shd w:val="clear" w:color="auto" w:fill="auto"/>
        </w:rPr>
      </w:pPr>
      <w:r>
        <w:rPr>
          <w:rFonts w:ascii="方正楷体_GBK" w:eastAsia="方正楷体_GBK" w:cs="方正楷体_GBK" w:hint="eastAsia"/>
          <w:b/>
          <w:bCs/>
          <w:color w:val="000000"/>
          <w:spacing w:val="0"/>
          <w:shd w:val="clear" w:color="auto" w:fill="auto"/>
        </w:rPr>
        <w:t>（三）政府信息管理情况。</w:t>
      </w:r>
    </w:p>
    <w:p>
      <w:pPr>
        <w:pStyle w:val="18"/>
        <w:shd w:val="clear" w:color="auto" w:fill="auto"/>
        <w:adjustRightInd w:val="0"/>
        <w:snapToGrid w:val="0"/>
        <w:ind w:firstLineChars="200" w:firstLine="624"/>
        <w:rPr>
          <w:rFonts w:cs="方正仿宋_GBK"/>
          <w:shd w:val="clear" w:color="auto" w:fill="auto"/>
        </w:rPr>
      </w:pPr>
      <w:r>
        <w:rPr>
          <w:rFonts w:cs="方正仿宋_GBK" w:hint="eastAsia"/>
          <w:color w:val="000000"/>
          <w:shd w:val="clear" w:color="auto" w:fill="auto"/>
        </w:rPr>
        <w:t>压紧压实政府信息公开主体责任，</w:t>
      </w:r>
      <w:r>
        <w:rPr>
          <w:rFonts w:cs="方正仿宋_GBK"/>
          <w:color w:val="000000"/>
          <w:shd w:val="clear" w:color="auto" w:fill="auto"/>
        </w:rPr>
        <w:t>严格</w:t>
      </w:r>
      <w:r>
        <w:rPr>
          <w:rFonts w:cs="方正仿宋_GBK" w:hint="eastAsia"/>
          <w:color w:val="000000"/>
          <w:shd w:val="clear" w:color="auto" w:fill="auto"/>
        </w:rPr>
        <w:t>信息属性，落实信息公开发布审查制度，</w:t>
      </w:r>
      <w:r>
        <w:rPr>
          <w:rFonts w:hint="eastAsia"/>
          <w:color w:val="000000"/>
          <w:shd w:val="clear" w:color="auto" w:fill="auto"/>
        </w:rPr>
        <w:t>对</w:t>
      </w:r>
      <w:r>
        <w:rPr>
          <w:color w:val="000000"/>
          <w:shd w:val="clear" w:color="auto" w:fill="auto"/>
        </w:rPr>
        <w:t>政府信息</w:t>
      </w:r>
      <w:r>
        <w:rPr>
          <w:rFonts w:hint="eastAsia"/>
          <w:color w:val="000000"/>
          <w:shd w:val="clear" w:color="auto" w:fill="auto"/>
        </w:rPr>
        <w:t>开展</w:t>
      </w:r>
      <w:r>
        <w:rPr>
          <w:color w:val="000000"/>
          <w:shd w:val="clear" w:color="auto" w:fill="auto"/>
        </w:rPr>
        <w:t>公开</w:t>
      </w:r>
      <w:r>
        <w:rPr>
          <w:rFonts w:hint="eastAsia"/>
          <w:color w:val="000000"/>
          <w:shd w:val="clear" w:color="auto" w:fill="auto"/>
        </w:rPr>
        <w:t>前审查、定期核查，</w:t>
      </w:r>
      <w:r>
        <w:rPr>
          <w:rFonts w:cs="方正仿宋_GBK" w:hint="eastAsia"/>
          <w:color w:val="000000"/>
          <w:shd w:val="clear" w:color="auto" w:fill="auto"/>
        </w:rPr>
        <w:t>对审查材料做好归档，</w:t>
      </w:r>
      <w:r>
        <w:rPr>
          <w:rFonts w:hint="eastAsia"/>
          <w:color w:val="000000"/>
          <w:shd w:val="clear" w:color="auto" w:fill="auto"/>
        </w:rPr>
        <w:t>保障政府信息公开规范运行</w:t>
      </w:r>
      <w:r>
        <w:rPr>
          <w:rFonts w:cs="方正仿宋_GBK" w:hint="eastAsia"/>
          <w:color w:val="000000"/>
          <w:shd w:val="clear" w:color="auto" w:fill="auto"/>
        </w:rPr>
        <w:t>。</w:t>
      </w:r>
      <w:r>
        <w:rPr>
          <w:rFonts w:cs="方正仿宋_GBK" w:hint="eastAsia"/>
          <w:shd w:val="clear" w:color="auto" w:fill="auto"/>
        </w:rPr>
        <w:t>根据机构职能和人员设置变化情况，及时更新维护政务公开栏对外公告、标识牌、流程图</w:t>
      </w:r>
      <w:r>
        <w:rPr>
          <w:rFonts w:hint="eastAsia"/>
          <w:spacing w:val="-6"/>
          <w:shd w:val="clear" w:color="auto" w:fill="auto"/>
        </w:rPr>
        <w:t>，实时更新广州海关“</w:t>
      </w:r>
      <w:r>
        <w:rPr>
          <w:spacing w:val="-6"/>
          <w:shd w:val="clear" w:color="auto" w:fill="auto"/>
        </w:rPr>
        <w:t>智慧海关</w:t>
      </w:r>
      <w:r>
        <w:rPr>
          <w:rFonts w:hint="eastAsia"/>
          <w:spacing w:val="-6"/>
          <w:shd w:val="clear" w:color="auto" w:fill="auto"/>
        </w:rPr>
        <w:t>政务服务地图”涉及佛山海关内容。</w:t>
      </w:r>
    </w:p>
    <w:p>
      <w:pPr>
        <w:pStyle w:val="18"/>
        <w:shd w:val="clear" w:color="auto" w:fill="auto"/>
        <w:adjustRightInd w:val="0"/>
        <w:snapToGrid w:val="0"/>
        <w:ind w:firstLineChars="200" w:firstLine="640"/>
        <w:rPr>
          <w:rFonts w:ascii="方正楷体_GBK" w:eastAsia="方正楷体_GBK" w:cs="方正楷体_GBK"/>
          <w:b/>
          <w:bCs/>
          <w:spacing w:val="0"/>
          <w:shd w:val="clear" w:color="auto" w:fill="auto"/>
        </w:rPr>
      </w:pPr>
      <w:r>
        <w:rPr>
          <w:rFonts w:ascii="方正楷体_GBK" w:eastAsia="方正楷体_GBK" w:cs="方正楷体_GBK" w:hint="eastAsia"/>
          <w:b/>
          <w:bCs/>
          <w:spacing w:val="0"/>
          <w:shd w:val="clear" w:color="auto" w:fill="auto"/>
        </w:rPr>
        <w:t>（四）政府信息公开平台建设情况。</w:t>
      </w:r>
    </w:p>
    <w:p>
      <w:pPr>
        <w:pStyle w:val="18"/>
        <w:shd w:val="clear" w:color="auto" w:fill="auto"/>
        <w:adjustRightInd w:val="0"/>
        <w:snapToGrid w:val="0"/>
        <w:ind w:firstLineChars="200" w:firstLine="624"/>
        <w:rPr>
          <w:rFonts w:ascii="方正楷体_GBK" w:eastAsia="方正楷体_GBK" w:cs="方正楷体_GBK"/>
          <w:b/>
          <w:bCs/>
          <w:spacing w:val="0"/>
          <w:shd w:val="clear" w:color="auto" w:fill="auto"/>
        </w:rPr>
      </w:pPr>
      <w:r>
        <w:rPr>
          <w:rFonts w:cs="方正仿宋_GBK" w:hint="eastAsia"/>
          <w:b/>
          <w:bCs/>
          <w:kern w:val="0"/>
          <w:shd w:val="clear" w:color="auto" w:fill="auto"/>
        </w:rPr>
        <w:t>一是</w:t>
      </w:r>
      <w:r>
        <w:rPr>
          <w:rFonts w:cs="方正仿宋_GBK" w:hint="eastAsia"/>
          <w:bCs/>
          <w:kern w:val="0"/>
          <w:shd w:val="clear" w:color="auto" w:fill="auto"/>
        </w:rPr>
        <w:t>建立企业</w:t>
      </w:r>
      <w:r>
        <w:rPr>
          <w:rFonts w:cs="方正仿宋_GBK"/>
          <w:bCs/>
          <w:kern w:val="0"/>
          <w:shd w:val="clear" w:color="auto" w:fill="auto"/>
        </w:rPr>
        <w:t>群众</w:t>
      </w:r>
      <w:r>
        <w:rPr>
          <w:rFonts w:cs="方正仿宋_GBK" w:hint="eastAsia"/>
          <w:bCs/>
          <w:kern w:val="0"/>
          <w:shd w:val="clear" w:color="auto" w:fill="auto"/>
        </w:rPr>
        <w:t>堵点痛点问题“广泛收集、集中研究、快速反应”的工作机制，</w:t>
      </w:r>
      <w:r>
        <w:rPr>
          <w:rFonts w:cs="方正仿宋_GBK"/>
          <w:bCs/>
          <w:kern w:val="0"/>
          <w:shd w:val="clear" w:color="auto" w:fill="auto"/>
        </w:rPr>
        <w:t>年内</w:t>
      </w:r>
      <w:r>
        <w:rPr>
          <w:rFonts w:cs="方正仿宋_GBK" w:hint="eastAsia"/>
          <w:bCs/>
          <w:kern w:val="0"/>
          <w:shd w:val="clear" w:color="auto" w:fill="auto"/>
        </w:rPr>
        <w:t>通过“关长联系企业”等活动接访</w:t>
      </w:r>
      <w:r>
        <w:rPr>
          <w:rFonts w:cs="方正仿宋_GBK"/>
          <w:bCs/>
          <w:kern w:val="0"/>
          <w:shd w:val="clear" w:color="auto" w:fill="auto"/>
        </w:rPr>
        <w:t>走</w:t>
      </w:r>
      <w:r>
        <w:rPr>
          <w:rFonts w:cs="方正仿宋_GBK" w:hint="eastAsia"/>
          <w:bCs/>
          <w:kern w:val="0"/>
          <w:shd w:val="clear" w:color="auto" w:fill="auto"/>
        </w:rPr>
        <w:t>访130余次，帮助企业</w:t>
      </w:r>
      <w:r>
        <w:rPr>
          <w:rFonts w:cs="方正仿宋_GBK"/>
          <w:bCs/>
          <w:kern w:val="0"/>
          <w:shd w:val="clear" w:color="auto" w:fill="auto"/>
        </w:rPr>
        <w:t>群众</w:t>
      </w:r>
      <w:r>
        <w:rPr>
          <w:rFonts w:cs="方正仿宋_GBK" w:hint="eastAsia"/>
          <w:bCs/>
          <w:kern w:val="0"/>
          <w:shd w:val="clear" w:color="auto" w:fill="auto"/>
        </w:rPr>
        <w:t>解决问题60余个。</w:t>
      </w:r>
      <w:r>
        <w:rPr>
          <w:rFonts w:cs="方正仿宋_GBK"/>
          <w:b/>
          <w:bCs/>
          <w:kern w:val="0"/>
          <w:shd w:val="clear" w:color="auto" w:fill="auto"/>
        </w:rPr>
        <w:t>二是</w:t>
      </w:r>
      <w:r>
        <w:rPr>
          <w:rFonts w:cs="方正仿宋_GBK" w:hint="eastAsia"/>
          <w:bCs/>
          <w:kern w:val="0"/>
          <w:shd w:val="clear" w:color="auto" w:fill="auto"/>
        </w:rPr>
        <w:t>开展“我陪群众走流程”政务服务提升行动2次，将政务服务供给侧流程</w:t>
      </w:r>
      <w:r>
        <w:rPr>
          <w:rFonts w:cs="方正仿宋_GBK"/>
          <w:bCs/>
          <w:kern w:val="0"/>
          <w:shd w:val="clear" w:color="auto" w:fill="auto"/>
        </w:rPr>
        <w:t>设置与</w:t>
      </w:r>
      <w:r>
        <w:rPr>
          <w:rFonts w:cs="方正仿宋_GBK" w:hint="eastAsia"/>
          <w:bCs/>
          <w:kern w:val="0"/>
          <w:shd w:val="clear" w:color="auto" w:fill="auto"/>
        </w:rPr>
        <w:t>企业群众需求侧办事体验相结合，畅通堵点难点问题直达反馈通道，跟进企业反馈的意见建议2项</w:t>
      </w:r>
      <w:r>
        <w:rPr>
          <w:rFonts w:cs="方正仿宋_GBK"/>
          <w:bCs/>
          <w:kern w:val="0"/>
          <w:shd w:val="clear" w:color="auto" w:fill="auto"/>
        </w:rPr>
        <w:t>。</w:t>
      </w:r>
      <w:r>
        <w:rPr>
          <w:rFonts w:cs="方正仿宋_GBK"/>
          <w:b/>
          <w:bCs/>
          <w:kern w:val="0"/>
          <w:shd w:val="clear" w:color="auto" w:fill="auto"/>
        </w:rPr>
        <w:t>三</w:t>
      </w:r>
      <w:r>
        <w:rPr>
          <w:rFonts w:cs="方正仿宋_GBK" w:hint="eastAsia"/>
          <w:b/>
          <w:bCs/>
          <w:kern w:val="0"/>
          <w:shd w:val="clear" w:color="auto" w:fill="auto"/>
        </w:rPr>
        <w:t>是</w:t>
      </w:r>
      <w:r>
        <w:rPr>
          <w:rFonts w:cs="方正仿宋_GBK" w:hint="eastAsia"/>
          <w:bCs/>
          <w:kern w:val="0"/>
          <w:shd w:val="clear" w:color="auto" w:fill="auto"/>
        </w:rPr>
        <w:t>强化与企业群众的常态化沟通交流</w:t>
      </w:r>
      <w:r>
        <w:rPr>
          <w:rFonts w:cs="方正仿宋_GBK"/>
          <w:bCs/>
          <w:kern w:val="0"/>
          <w:shd w:val="clear" w:color="auto" w:fill="auto"/>
        </w:rPr>
        <w:t>，</w:t>
      </w:r>
      <w:r>
        <w:rPr>
          <w:shd w:val="clear" w:color="auto" w:fill="auto"/>
        </w:rPr>
        <w:t>年内</w:t>
      </w:r>
      <w:r>
        <w:rPr>
          <w:rFonts w:cs="方正仿宋_GBK" w:hint="eastAsia"/>
          <w:shd w:val="clear" w:color="auto" w:fill="auto"/>
        </w:rPr>
        <w:t>开展“海关进企业、海关进社区、海关进校园”——“三进”品牌活动260余次，服务企业群众超2500人/家次</w:t>
      </w:r>
      <w:r>
        <w:rPr>
          <w:rFonts w:cs="方正仿宋_GBK" w:hint="eastAsia"/>
          <w:bCs/>
          <w:kern w:val="0"/>
          <w:shd w:val="clear" w:color="auto" w:fill="auto"/>
        </w:rPr>
        <w:t>。</w:t>
      </w:r>
      <w:r>
        <w:rPr>
          <w:rFonts w:cs="方正仿宋_GBK"/>
          <w:b/>
          <w:bCs/>
          <w:kern w:val="0"/>
          <w:shd w:val="clear" w:color="auto" w:fill="auto"/>
        </w:rPr>
        <w:t>四</w:t>
      </w:r>
      <w:r>
        <w:rPr>
          <w:rFonts w:cs="方正仿宋_GBK" w:hint="eastAsia"/>
          <w:b/>
          <w:bCs/>
          <w:kern w:val="0"/>
          <w:shd w:val="clear" w:color="auto" w:fill="auto"/>
        </w:rPr>
        <w:t>是</w:t>
      </w:r>
      <w:r>
        <w:rPr>
          <w:rFonts w:cs="方正仿宋_GBK" w:hint="eastAsia"/>
          <w:bCs/>
          <w:kern w:val="0"/>
          <w:shd w:val="clear" w:color="auto" w:fill="auto"/>
        </w:rPr>
        <w:t>加强与佛山市政府12345热线沟通联系，定期更新维护知识库</w:t>
      </w:r>
      <w:r>
        <w:rPr>
          <w:rFonts w:cs="方正仿宋_GBK"/>
          <w:bCs/>
          <w:kern w:val="0"/>
          <w:shd w:val="clear" w:color="auto" w:fill="auto"/>
        </w:rPr>
        <w:t>，便捷企业群众多渠道获取海关咨询服务。</w:t>
      </w:r>
    </w:p>
    <w:p>
      <w:pPr>
        <w:pStyle w:val="18"/>
        <w:shd w:val="clear" w:color="auto" w:fill="auto"/>
        <w:adjustRightInd w:val="0"/>
        <w:snapToGrid w:val="0"/>
        <w:ind w:firstLineChars="200" w:firstLine="640"/>
        <w:rPr>
          <w:rFonts w:ascii="方正楷体_GBK" w:eastAsia="方正楷体_GBK" w:cs="方正楷体_GBK"/>
          <w:b/>
          <w:bCs/>
          <w:spacing w:val="0"/>
          <w:shd w:val="clear" w:color="auto" w:fill="auto"/>
        </w:rPr>
      </w:pPr>
      <w:r>
        <w:rPr>
          <w:rFonts w:ascii="方正楷体_GBK" w:eastAsia="方正楷体_GBK" w:cs="方正楷体_GBK" w:hint="eastAsia"/>
          <w:b/>
          <w:bCs/>
          <w:spacing w:val="0"/>
          <w:shd w:val="clear" w:color="auto" w:fill="auto"/>
        </w:rPr>
        <w:t>（五）监督保障情况。</w:t>
      </w:r>
    </w:p>
    <w:p>
      <w:pPr>
        <w:shd w:val="clear" w:color="auto" w:fill="auto"/>
        <w:spacing w:line="560" w:lineRule="exact"/>
        <w:ind w:firstLineChars="200" w:firstLine="640"/>
        <w:rPr>
          <w:shd w:val="clear" w:color="auto" w:fill="auto"/>
        </w:rPr>
      </w:pPr>
      <w:r>
        <w:rPr>
          <w:rFonts w:hint="eastAsia"/>
          <w:shd w:val="clear" w:color="auto" w:fill="auto"/>
        </w:rPr>
        <w:t>在广州海关门户网站、基层政务公开专区</w:t>
      </w:r>
      <w:r>
        <w:rPr>
          <w:shd w:val="clear" w:color="auto" w:fill="auto"/>
        </w:rPr>
        <w:t>、办事窗口等渠道</w:t>
      </w:r>
      <w:r>
        <w:rPr>
          <w:rFonts w:hint="eastAsia"/>
          <w:shd w:val="clear" w:color="auto" w:fill="auto"/>
        </w:rPr>
        <w:t>主动公布监督</w:t>
      </w:r>
      <w:r>
        <w:rPr>
          <w:shd w:val="clear" w:color="auto" w:fill="auto"/>
        </w:rPr>
        <w:t>方式</w:t>
      </w:r>
      <w:r>
        <w:rPr>
          <w:rFonts w:hint="eastAsia"/>
          <w:shd w:val="clear" w:color="auto" w:fill="auto"/>
        </w:rPr>
        <w:t>、咨询投诉电话等信息</w:t>
      </w:r>
      <w:r>
        <w:rPr>
          <w:shd w:val="clear" w:color="auto" w:fill="auto"/>
        </w:rPr>
        <w:t>。</w:t>
      </w:r>
      <w:r>
        <w:rPr>
          <w:rFonts w:hint="eastAsia"/>
          <w:shd w:val="clear" w:color="auto" w:fill="auto"/>
        </w:rPr>
        <w:t>按月组织“关长接待日”活动，</w:t>
      </w:r>
      <w:r>
        <w:rPr>
          <w:rFonts w:ascii="Times New Roman" w:eastAsia="方正仿宋_GBK" w:hAnsi="Times New Roman" w:hint="eastAsia"/>
          <w:bCs/>
          <w:sz w:val="32"/>
          <w:szCs w:val="32"/>
          <w:shd w:val="clear" w:color="auto" w:fill="auto"/>
        </w:rPr>
        <w:t>畅通</w:t>
      </w:r>
      <w:r>
        <w:rPr>
          <w:rFonts w:ascii="Times New Roman" w:eastAsia="方正仿宋_GBK" w:hAnsi="Times New Roman"/>
          <w:bCs/>
          <w:sz w:val="32"/>
          <w:szCs w:val="32"/>
          <w:shd w:val="clear" w:color="auto" w:fill="auto"/>
        </w:rPr>
        <w:t>企业群众</w:t>
      </w:r>
      <w:r>
        <w:rPr>
          <w:rFonts w:ascii="Times New Roman" w:eastAsia="方正仿宋_GBK" w:hAnsi="Times New Roman" w:hint="eastAsia"/>
          <w:bCs/>
          <w:sz w:val="32"/>
          <w:szCs w:val="32"/>
          <w:shd w:val="clear" w:color="auto" w:fill="auto"/>
        </w:rPr>
        <w:t>诉求表达、</w:t>
      </w:r>
      <w:r>
        <w:rPr>
          <w:rFonts w:ascii="Times New Roman" w:eastAsia="方正仿宋_GBK" w:hAnsi="Times New Roman"/>
          <w:bCs/>
          <w:sz w:val="32"/>
          <w:szCs w:val="32"/>
          <w:shd w:val="clear" w:color="auto" w:fill="auto"/>
        </w:rPr>
        <w:t>问题</w:t>
      </w:r>
      <w:r>
        <w:rPr>
          <w:rFonts w:ascii="Times New Roman" w:eastAsia="方正仿宋_GBK" w:hAnsi="Times New Roman" w:hint="eastAsia"/>
          <w:bCs/>
          <w:sz w:val="32"/>
          <w:szCs w:val="32"/>
          <w:shd w:val="clear" w:color="auto" w:fill="auto"/>
        </w:rPr>
        <w:t>协调、权益保障</w:t>
      </w:r>
      <w:r>
        <w:rPr>
          <w:rFonts w:ascii="Times New Roman" w:eastAsia="方正仿宋_GBK" w:hAnsi="Times New Roman"/>
          <w:bCs/>
          <w:sz w:val="32"/>
          <w:szCs w:val="32"/>
          <w:shd w:val="clear" w:color="auto" w:fill="auto"/>
        </w:rPr>
        <w:t>路径</w:t>
      </w:r>
      <w:r>
        <w:rPr>
          <w:rFonts w:ascii="Times New Roman" w:eastAsia="方正仿宋_GBK" w:hAnsi="Times New Roman" w:hint="eastAsia"/>
          <w:bCs/>
          <w:sz w:val="32"/>
          <w:szCs w:val="32"/>
          <w:shd w:val="clear" w:color="auto" w:fill="auto"/>
        </w:rPr>
        <w:t>，及时回应</w:t>
      </w:r>
      <w:r>
        <w:rPr>
          <w:rFonts w:ascii="Times New Roman" w:eastAsia="方正仿宋_GBK" w:hAnsi="Times New Roman"/>
          <w:bCs/>
          <w:sz w:val="32"/>
          <w:szCs w:val="32"/>
          <w:shd w:val="clear" w:color="auto" w:fill="auto"/>
        </w:rPr>
        <w:t>处置</w:t>
      </w:r>
      <w:r>
        <w:rPr>
          <w:rFonts w:ascii="Times New Roman" w:eastAsia="方正仿宋_GBK" w:hAnsi="Times New Roman" w:hint="eastAsia"/>
          <w:bCs/>
          <w:sz w:val="32"/>
          <w:szCs w:val="32"/>
          <w:shd w:val="clear" w:color="auto" w:fill="auto"/>
        </w:rPr>
        <w:t>。</w:t>
      </w:r>
    </w:p>
    <w:p>
      <w:pPr>
        <w:pStyle w:val="25"/>
        <w:shd w:val="clear" w:color="auto" w:fill="auto"/>
        <w:spacing w:line="560" w:lineRule="exact"/>
        <w:ind w:firstLineChars="200" w:firstLine="640"/>
        <w:rPr>
          <w:rFonts w:ascii="方正黑体_GBK" w:eastAsia="方正黑体_GBK"/>
          <w:shd w:val="clear" w:color="auto" w:fill="auto"/>
        </w:rPr>
      </w:pPr>
      <w:r>
        <w:rPr>
          <w:rFonts w:ascii="方正黑体_GBK" w:eastAsia="方正黑体_GBK" w:cs="方正黑体_GBK" w:hint="eastAsia"/>
          <w:kern w:val="0"/>
          <w:sz w:val="32"/>
          <w:szCs w:val="32"/>
          <w:shd w:val="clear" w:color="auto" w:fill="auto"/>
        </w:rPr>
        <w:t>二、主动公开政府信息情况</w:t>
      </w:r>
    </w:p>
    <w:tbl>
      <w:tblPr>
        <w:jc w:val="center"/>
        <w:tblW w:w="900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第二十条第（一）项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信息内容</w:t>
            </w:r>
          </w:p>
        </w:tc>
        <w:tc>
          <w:tcPr>
            <w:tcW w:w="2183"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本年</w:t>
            </w:r>
            <w:r>
              <w:rPr>
                <w:rFonts w:cs="宋体" w:hint="eastAsia"/>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本年废止件</w:t>
            </w:r>
            <w:r>
              <w:rPr>
                <w:rFonts w:cs="宋体" w:hint="eastAsia"/>
                <w:kern w:val="0"/>
                <w:sz w:val="24"/>
                <w:szCs w:val="24"/>
                <w:shd w:val="clear" w:color="auto" w:fill="auto"/>
              </w:rPr>
              <w:t>数</w:t>
            </w:r>
          </w:p>
        </w:tc>
        <w:tc>
          <w:tcPr>
            <w:tcW w:w="2156" w:type="dxa"/>
            <w:tcBorders>
              <w:top w:val="nil"/>
              <w:left w:val="nil"/>
              <w:bottom w:val="single" w:sz="8" w:space="0" w:color="auto"/>
              <w:right w:val="single" w:sz="8" w:space="0" w:color="auto"/>
            </w:tcBorders>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现行有效件数</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规章</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行政规范性文件</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第二十条第（五）项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cBorders>
            <w:tcMar>
              <w:left w:w="108" w:type="dxa"/>
              <w:right w:w="108" w:type="dxa"/>
            </w:tcMar>
            <w:vAlign w:val="center"/>
          </w:tcPr>
          <w:p>
            <w:pPr>
              <w:pStyle w:val="19"/>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行政许可</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pPr>
              <w:pStyle w:val="22"/>
              <w:shd w:val="clear" w:color="auto" w:fill="auto"/>
              <w:jc w:val="center"/>
              <w:rPr>
                <w:rFonts w:eastAsia="方正仿宋_GBK"/>
                <w:sz w:val="24"/>
                <w:szCs w:val="24"/>
                <w:shd w:val="clear" w:color="auto" w:fill="auto"/>
              </w:rPr>
            </w:pPr>
            <w:r>
              <w:rPr>
                <w:rFonts w:eastAsia="方正仿宋_GBK"/>
                <w:sz w:val="24"/>
                <w:szCs w:val="24"/>
                <w:shd w:val="clear" w:color="auto" w:fill="auto"/>
              </w:rPr>
              <w:t>12</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第二十条第（六）项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cBorders>
            <w:tcMar>
              <w:left w:w="108" w:type="dxa"/>
              <w:right w:w="108" w:type="dxa"/>
            </w:tcMar>
            <w:vAlign w:val="center"/>
          </w:tcPr>
          <w:p>
            <w:pPr>
              <w:pStyle w:val="20"/>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行政处罚</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1054</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行政强制</w:t>
            </w:r>
          </w:p>
        </w:tc>
        <w:tc>
          <w:tcPr>
            <w:tcW w:w="6275" w:type="dxa"/>
            <w:gridSpan w:val="3"/>
            <w:tcBorders>
              <w:top w:val="nil"/>
              <w:left w:val="nil"/>
              <w:bottom w:val="single" w:sz="8" w:space="0" w:color="auto"/>
              <w:right w:val="single" w:sz="8" w:space="0" w:color="auto"/>
            </w:tcBorders>
            <w:tcMar>
              <w:left w:w="108" w:type="dxa"/>
              <w:right w:w="108" w:type="dxa"/>
            </w:tcMar>
            <w:vAlign w:val="center"/>
          </w:tcPr>
          <w:p>
            <w:pPr>
              <w:pStyle w:val="23"/>
              <w:shd w:val="clear" w:color="auto" w:fill="auto"/>
              <w:jc w:val="center"/>
              <w:rPr>
                <w:rFonts w:eastAsia="方正仿宋_GBK"/>
                <w:sz w:val="24"/>
                <w:szCs w:val="24"/>
                <w:shd w:val="clear" w:color="auto" w:fill="auto"/>
              </w:rPr>
            </w:pPr>
            <w:r>
              <w:rPr>
                <w:rFonts w:eastAsia="方正仿宋_GBK"/>
                <w:sz w:val="24"/>
                <w:szCs w:val="24"/>
                <w:shd w:val="clear" w:color="auto" w:fill="auto"/>
              </w:rPr>
              <w:t>637</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第二十条第（八）项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nil"/>
              <w:left w:val="nil"/>
              <w:bottom w:val="single" w:sz="8" w:space="0" w:color="auto"/>
              <w:right w:val="single" w:sz="8" w:space="0" w:color="000000"/>
            </w:tcBorders>
            <w:tcMar>
              <w:left w:w="108" w:type="dxa"/>
              <w:right w:w="108" w:type="dxa"/>
            </w:tcMar>
            <w:vAlign w:val="center"/>
          </w:tcPr>
          <w:p>
            <w:pPr>
              <w:pStyle w:val="21"/>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adjustRightInd w:val="0"/>
              <w:snapToGrid w:val="0"/>
              <w:spacing w:line="260" w:lineRule="exact"/>
              <w:jc w:val="center"/>
              <w:rPr>
                <w:shd w:val="clear" w:color="auto" w:fill="auto"/>
              </w:rPr>
            </w:pPr>
            <w:r>
              <w:rPr>
                <w:rFonts w:ascii="宋体" w:cs="宋体" w:hint="eastAsia"/>
                <w:kern w:val="0"/>
                <w:sz w:val="24"/>
                <w:szCs w:val="24"/>
                <w:shd w:val="clear" w:color="auto" w:fill="auto"/>
              </w:rPr>
              <w:t>行政事业性收费</w:t>
            </w:r>
          </w:p>
        </w:tc>
        <w:tc>
          <w:tcPr>
            <w:tcW w:w="6275" w:type="dxa"/>
            <w:gridSpan w:val="3"/>
            <w:tcBorders>
              <w:top w:val="nil"/>
              <w:left w:val="nil"/>
              <w:bottom w:val="single" w:sz="8" w:space="0" w:color="auto"/>
              <w:right w:val="single" w:sz="8" w:space="0" w:color="000000"/>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bl>
    <w:p>
      <w:pPr>
        <w:pStyle w:val="15"/>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w:t>
      </w:r>
      <w:bookmarkStart w:id="3" w:name="_GoBack"/>
      <w:bookmarkEnd w:id="3"/>
      <w:r>
        <w:rPr>
          <w:rFonts w:eastAsia="方正仿宋_GBK" w:cs="方正黑体_GBK" w:hint="eastAsia"/>
          <w:kern w:val="2"/>
          <w:sz w:val="32"/>
          <w:szCs w:val="32"/>
          <w:shd w:val="clear" w:color="auto" w:fill="auto"/>
        </w:rPr>
        <w:t>许可决定、撤回许可决定等。</w:t>
      </w:r>
    </w:p>
    <w:p>
      <w:pPr>
        <w:pStyle w:val="15"/>
        <w:widowControl/>
        <w:shd w:val="clear" w:color="auto" w:fill="auto"/>
        <w:adjustRightInd w:val="0"/>
        <w:snapToGrid w:val="0"/>
        <w:spacing w:before="0" w:beforeAutospacing="0" w:after="0" w:afterAutospacing="0" w:line="560" w:lineRule="exact"/>
        <w:ind w:firstLineChars="200" w:firstLine="640"/>
        <w:jc w:val="both"/>
        <w:rPr>
          <w:rFonts w:ascii="方正黑体_GBK" w:eastAsia="方正黑体_GBK"/>
          <w:sz w:val="32"/>
          <w:szCs w:val="32"/>
          <w:shd w:val="clear" w:color="auto" w:fill="auto"/>
        </w:rPr>
      </w:pPr>
      <w:r>
        <w:rPr>
          <w:rFonts w:ascii="方正黑体_GBK" w:eastAsia="方正黑体_GBK" w:cs="方正黑体_GBK" w:hint="eastAsia"/>
          <w:sz w:val="32"/>
          <w:szCs w:val="32"/>
          <w:shd w:val="clear" w:color="auto" w:fill="auto"/>
        </w:rPr>
        <w:t>三、收到和处理政府信息公开申请情况</w:t>
      </w:r>
    </w:p>
    <w:tbl>
      <w:tblPr>
        <w:jc w:val="center"/>
        <w:tblW w:w="907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rHeight w:val="561"/>
          <w:tblHeader/>
        </w:trPr>
        <w:tc>
          <w:tcPr>
            <w:tcW w:w="4302" w:type="dxa"/>
            <w:gridSpan w:val="3"/>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Style w:val="28"/>
              <w:widowControl/>
              <w:shd w:val="clear" w:color="auto" w:fill="auto"/>
              <w:jc w:val="center"/>
              <w:rPr>
                <w:rFonts w:ascii="宋体" w:eastAsia="宋体" w:cs="宋体" w:hint="eastAsia"/>
                <w:szCs w:val="20"/>
                <w:shd w:val="clear" w:color="auto" w:fill="auto"/>
              </w:rPr>
            </w:pPr>
            <w:r>
              <w:rPr>
                <w:rFonts w:ascii="宋体" w:eastAsia="宋体" w:cs="宋体" w:hint="eastAsia"/>
                <w:szCs w:val="20"/>
                <w:shd w:val="clear" w:color="auto" w:fill="auto"/>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hd w:val="clear" w:color="auto" w:fill="auto"/>
              <w:jc w:val="center"/>
              <w:rPr>
                <w:rFonts w:ascii="宋体" w:eastAsia="宋体" w:cs="宋体" w:hint="eastAsia"/>
                <w:szCs w:val="20"/>
                <w:shd w:val="clear" w:color="auto" w:fill="auto"/>
              </w:rPr>
            </w:pPr>
            <w:r>
              <w:rPr>
                <w:rFonts w:ascii="宋体" w:eastAsia="宋体" w:cs="宋体" w:hint="eastAsia"/>
                <w:szCs w:val="20"/>
                <w:shd w:val="clear" w:color="auto" w:fill="auto"/>
              </w:rPr>
              <w:t>申请人情况</w:t>
            </w:r>
          </w:p>
        </w:tc>
      </w:tr>
      <w:tr>
        <w:trPr>
          <w:trHeight w:val="604"/>
          <w:tblHeader/>
        </w:trPr>
        <w:tc>
          <w:tcPr>
            <w:tcW w:w="10578" w:type="dxa"/>
            <w:gridSpan w:val="3"/>
            <w:vMerge/>
            <w:tcBorders>
              <w:top w:val="single" w:sz="8" w:space="0" w:color="auto"/>
              <w:left w:val="single" w:sz="8" w:space="0" w:color="auto"/>
              <w:bottom w:val="single" w:sz="8" w:space="0" w:color="auto"/>
              <w:right w:val="single" w:sz="8" w:space="0" w:color="auto"/>
            </w:tcBorders>
            <w:vAlign w:val="center"/>
          </w:tcPr>
          <w:p/>
        </w:tc>
        <w:tc>
          <w:tcPr>
            <w:tcW w:w="635" w:type="dxa"/>
            <w:vMerge w:val="restart"/>
            <w:tcBorders>
              <w:top w:val="nil"/>
              <w:left w:val="nil"/>
              <w:bottom w:val="single" w:sz="8" w:space="0" w:color="auto"/>
              <w:right w:val="single" w:sz="8" w:space="0" w:color="auto"/>
            </w:tcBorders>
            <w:tcMar>
              <w:left w:w="108" w:type="dxa"/>
              <w:right w:w="108" w:type="dxa"/>
            </w:tcMar>
            <w:vAlign w:val="center"/>
          </w:tcPr>
          <w:p>
            <w:pPr>
              <w:pStyle w:val="28"/>
              <w:widowControl/>
              <w:shd w:val="clear" w:color="auto" w:fill="auto"/>
              <w:jc w:val="center"/>
              <w:rPr>
                <w:rFonts w:ascii="宋体" w:eastAsia="宋体" w:cs="宋体" w:hint="eastAsia"/>
                <w:szCs w:val="20"/>
                <w:shd w:val="clear" w:color="auto" w:fill="auto"/>
              </w:rPr>
            </w:pPr>
            <w:r>
              <w:rPr>
                <w:rFonts w:ascii="宋体" w:eastAsia="宋体" w:cs="宋体" w:hint="eastAsia"/>
                <w:szCs w:val="20"/>
                <w:shd w:val="clear" w:color="auto" w:fill="auto"/>
              </w:rPr>
              <w:t>自然人</w:t>
            </w:r>
          </w:p>
        </w:tc>
        <w:tc>
          <w:tcPr>
            <w:tcW w:w="3452" w:type="dxa"/>
            <w:gridSpan w:val="5"/>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hd w:val="clear" w:color="auto" w:fill="auto"/>
              <w:jc w:val="center"/>
              <w:rPr>
                <w:rFonts w:ascii="宋体" w:eastAsia="宋体" w:cs="宋体" w:hint="eastAsia"/>
                <w:szCs w:val="20"/>
                <w:shd w:val="clear" w:color="auto" w:fill="auto"/>
              </w:rPr>
            </w:pPr>
            <w:r>
              <w:rPr>
                <w:rFonts w:ascii="宋体" w:eastAsia="宋体" w:cs="宋体" w:hint="eastAsia"/>
                <w:szCs w:val="20"/>
                <w:shd w:val="clear" w:color="auto" w:fill="auto"/>
              </w:rPr>
              <w:t>法人或其他组织</w:t>
            </w:r>
          </w:p>
        </w:tc>
        <w:tc>
          <w:tcPr>
            <w:tcW w:w="682"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hd w:val="clear" w:color="auto" w:fill="auto"/>
              <w:jc w:val="center"/>
              <w:rPr>
                <w:rFonts w:ascii="宋体" w:eastAsia="宋体" w:cs="宋体" w:hint="eastAsia"/>
                <w:szCs w:val="20"/>
                <w:shd w:val="clear" w:color="auto" w:fill="auto"/>
              </w:rPr>
            </w:pPr>
            <w:r>
              <w:rPr>
                <w:rFonts w:ascii="宋体" w:eastAsia="宋体" w:cs="宋体" w:hint="eastAsia"/>
                <w:szCs w:val="20"/>
                <w:shd w:val="clear" w:color="auto" w:fill="auto"/>
              </w:rPr>
              <w:t>总计</w:t>
            </w:r>
          </w:p>
        </w:tc>
      </w:tr>
      <w:tr>
        <w:trPr>
          <w:trHeight w:val="1072"/>
          <w:tblHeader/>
        </w:trPr>
        <w:tc>
          <w:tcPr>
            <w:tcW w:w="10578" w:type="dxa"/>
            <w:gridSpan w:val="3"/>
            <w:vMerge/>
            <w:tcBorders>
              <w:top w:val="single" w:sz="8" w:space="0" w:color="auto"/>
              <w:left w:val="single" w:sz="8" w:space="0" w:color="auto"/>
              <w:bottom w:val="single" w:sz="8" w:space="0" w:color="auto"/>
              <w:right w:val="single" w:sz="8" w:space="0" w:color="auto"/>
            </w:tcBorders>
            <w:vAlign w:val="center"/>
          </w:tcPr>
          <w:p/>
        </w:tc>
        <w:tc>
          <w:tcPr>
            <w:tcW w:w="4769" w:type="dxa"/>
            <w:vMerge/>
            <w:tcBorders>
              <w:top w:val="nil"/>
              <w:left w:val="nil"/>
              <w:bottom w:val="single" w:sz="8" w:space="0" w:color="auto"/>
              <w:right w:val="single" w:sz="8" w:space="0" w:color="auto"/>
            </w:tcBorders>
            <w:vAlign w:val="center"/>
          </w:tcPr>
          <w:p/>
        </w:tc>
        <w:tc>
          <w:tcPr>
            <w:tcW w:w="675" w:type="dxa"/>
            <w:tcBorders>
              <w:top w:val="nil"/>
              <w:left w:val="nil"/>
              <w:bottom w:val="single" w:sz="8" w:space="0" w:color="auto"/>
              <w:right w:val="single" w:sz="8" w:space="0" w:color="auto"/>
            </w:tcBorders>
            <w:tcMar>
              <w:left w:w="108" w:type="dxa"/>
              <w:right w:w="108" w:type="dxa"/>
            </w:tcMar>
            <w:vAlign w:val="center"/>
          </w:tcPr>
          <w:p>
            <w:pPr>
              <w:pStyle w:val="28"/>
              <w:widowControl/>
              <w:shd w:val="clear" w:color="auto" w:fill="auto"/>
              <w:jc w:val="center"/>
              <w:rPr>
                <w:rFonts w:ascii="宋体" w:eastAsia="宋体" w:cs="宋体" w:hint="eastAsia"/>
                <w:szCs w:val="20"/>
                <w:shd w:val="clear" w:color="auto" w:fill="auto"/>
              </w:rPr>
            </w:pPr>
            <w:r>
              <w:rPr>
                <w:rFonts w:ascii="宋体" w:eastAsia="宋体" w:cs="宋体" w:hint="eastAsia"/>
                <w:szCs w:val="20"/>
                <w:shd w:val="clear" w:color="auto" w:fill="auto"/>
              </w:rPr>
              <w:t>商业企业</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widowControl/>
              <w:shd w:val="clear" w:color="auto" w:fill="auto"/>
              <w:jc w:val="center"/>
              <w:rPr>
                <w:rFonts w:ascii="宋体" w:eastAsia="宋体" w:cs="宋体" w:hint="eastAsia"/>
                <w:szCs w:val="20"/>
                <w:shd w:val="clear" w:color="auto" w:fill="auto"/>
              </w:rPr>
            </w:pPr>
            <w:r>
              <w:rPr>
                <w:rFonts w:ascii="宋体" w:eastAsia="宋体" w:cs="宋体" w:hint="eastAsia"/>
                <w:szCs w:val="20"/>
                <w:shd w:val="clear" w:color="auto" w:fill="auto"/>
              </w:rPr>
              <w:t>科研机构</w:t>
            </w:r>
          </w:p>
        </w:tc>
        <w:tc>
          <w:tcPr>
            <w:tcW w:w="765"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hd w:val="clear" w:color="auto" w:fill="auto"/>
              <w:jc w:val="center"/>
              <w:rPr>
                <w:rFonts w:ascii="宋体" w:eastAsia="宋体" w:cs="宋体" w:hint="eastAsia"/>
                <w:szCs w:val="20"/>
                <w:shd w:val="clear" w:color="auto" w:fill="auto"/>
              </w:rPr>
            </w:pPr>
            <w:r>
              <w:rPr>
                <w:rFonts w:ascii="宋体" w:eastAsia="宋体" w:cs="宋体" w:hint="eastAsia"/>
                <w:szCs w:val="20"/>
                <w:shd w:val="clear" w:color="auto" w:fill="auto"/>
              </w:rPr>
              <w:t>社会公益组织</w:t>
            </w:r>
          </w:p>
        </w:tc>
        <w:tc>
          <w:tcPr>
            <w:tcW w:w="765"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hd w:val="clear" w:color="auto" w:fill="auto"/>
              <w:jc w:val="center"/>
              <w:rPr>
                <w:rFonts w:ascii="宋体" w:eastAsia="宋体" w:cs="宋体" w:hint="eastAsia"/>
                <w:szCs w:val="20"/>
                <w:shd w:val="clear" w:color="auto" w:fill="auto"/>
              </w:rPr>
            </w:pPr>
            <w:r>
              <w:rPr>
                <w:rFonts w:ascii="宋体" w:eastAsia="宋体" w:cs="宋体" w:hint="eastAsia"/>
                <w:szCs w:val="20"/>
                <w:shd w:val="clear" w:color="auto" w:fill="auto"/>
              </w:rPr>
              <w:t>法律服务机构</w:t>
            </w:r>
          </w:p>
        </w:tc>
        <w:tc>
          <w:tcPr>
            <w:tcW w:w="497"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hd w:val="clear" w:color="auto" w:fill="auto"/>
              <w:jc w:val="center"/>
              <w:rPr>
                <w:rFonts w:ascii="宋体" w:eastAsia="宋体" w:cs="宋体" w:hint="eastAsia"/>
                <w:szCs w:val="20"/>
                <w:shd w:val="clear" w:color="auto" w:fill="auto"/>
              </w:rPr>
            </w:pPr>
            <w:r>
              <w:rPr>
                <w:rFonts w:ascii="宋体" w:eastAsia="宋体" w:cs="宋体" w:hint="eastAsia"/>
                <w:szCs w:val="20"/>
                <w:shd w:val="clear" w:color="auto" w:fill="auto"/>
              </w:rPr>
              <w:t>其他</w:t>
            </w:r>
          </w:p>
        </w:tc>
        <w:tc>
          <w:tcPr>
            <w:tcW w:w="682" w:type="dxa"/>
            <w:vMerge/>
            <w:tcBorders>
              <w:top w:val="single" w:sz="8" w:space="0" w:color="auto"/>
              <w:left w:val="nil"/>
              <w:bottom w:val="single" w:sz="8" w:space="0" w:color="auto"/>
              <w:right w:val="single" w:sz="8" w:space="0" w:color="auto"/>
            </w:tcBorders>
            <w:vAlign w:val="center"/>
          </w:tcPr>
          <w:p/>
        </w:tc>
      </w:tr>
      <w:tr>
        <w:tc>
          <w:tcPr>
            <w:tcW w:w="4302" w:type="dxa"/>
            <w:gridSpan w:val="3"/>
            <w:tcBorders>
              <w:top w:val="nil"/>
              <w:left w:val="single" w:sz="8" w:space="0" w:color="auto"/>
              <w:bottom w:val="single" w:sz="8" w:space="0" w:color="auto"/>
              <w:right w:val="single" w:sz="8" w:space="0" w:color="auto"/>
            </w:tcBorders>
            <w:tcMar>
              <w:left w:w="108" w:type="dxa"/>
              <w:right w:w="108" w:type="dxa"/>
            </w:tcMar>
          </w:tcPr>
          <w:p>
            <w:pPr>
              <w:pStyle w:val="16"/>
              <w:widowControl/>
              <w:shd w:val="clear" w:color="auto" w:fill="auto"/>
              <w:jc w:val="left"/>
              <w:rPr>
                <w:sz w:val="24"/>
                <w:szCs w:val="24"/>
                <w:shd w:val="clear" w:color="auto" w:fill="auto"/>
              </w:rPr>
            </w:pPr>
            <w:r>
              <w:rPr>
                <w:rFonts w:ascii="宋体" w:cs="宋体" w:hint="eastAsia"/>
                <w:kern w:val="0"/>
                <w:sz w:val="24"/>
                <w:szCs w:val="24"/>
                <w:shd w:val="clear" w:color="auto" w:fill="auto"/>
              </w:rPr>
              <w:t>一、本年新收政府信息公开申请数量</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8</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8</w:t>
            </w:r>
          </w:p>
        </w:tc>
      </w:tr>
      <w:tr>
        <w:tc>
          <w:tcPr>
            <w:tcW w:w="4302" w:type="dxa"/>
            <w:gridSpan w:val="3"/>
            <w:tcBorders>
              <w:top w:val="nil"/>
              <w:left w:val="single" w:sz="8" w:space="0" w:color="auto"/>
              <w:bottom w:val="single" w:sz="8" w:space="0" w:color="auto"/>
              <w:right w:val="single" w:sz="8" w:space="0" w:color="auto"/>
            </w:tcBorders>
            <w:tcMar>
              <w:left w:w="108" w:type="dxa"/>
              <w:right w:w="108" w:type="dxa"/>
            </w:tcMar>
          </w:tcPr>
          <w:p>
            <w:pPr>
              <w:pStyle w:val="16"/>
              <w:widowControl/>
              <w:shd w:val="clear" w:color="auto" w:fill="auto"/>
              <w:jc w:val="left"/>
              <w:rPr>
                <w:sz w:val="24"/>
                <w:szCs w:val="24"/>
                <w:shd w:val="clear" w:color="auto" w:fill="auto"/>
              </w:rPr>
            </w:pPr>
            <w:r>
              <w:rPr>
                <w:rFonts w:ascii="宋体" w:cs="宋体" w:hint="eastAsia"/>
                <w:kern w:val="0"/>
                <w:sz w:val="24"/>
                <w:szCs w:val="24"/>
                <w:shd w:val="clear" w:color="auto" w:fill="auto"/>
              </w:rPr>
              <w:t>二、上年结转政府信息公开申请数量</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三、本年度办理结果</w:t>
            </w:r>
          </w:p>
        </w:tc>
        <w:tc>
          <w:tcPr>
            <w:tcW w:w="3606" w:type="dxa"/>
            <w:gridSpan w:val="2"/>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left"/>
              <w:rPr>
                <w:sz w:val="24"/>
                <w:szCs w:val="24"/>
                <w:shd w:val="clear" w:color="auto" w:fill="auto"/>
              </w:rPr>
            </w:pPr>
            <w:r>
              <w:rPr>
                <w:rFonts w:ascii="楷体" w:eastAsia="楷体" w:cs="楷体" w:hint="eastAsia"/>
                <w:kern w:val="0"/>
                <w:sz w:val="24"/>
                <w:szCs w:val="24"/>
                <w:shd w:val="clear" w:color="auto" w:fill="auto"/>
              </w:rPr>
              <w:t>（一）予以公开</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2</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2</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gridSpan w:val="2"/>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left"/>
              <w:rPr>
                <w:sz w:val="24"/>
                <w:szCs w:val="24"/>
                <w:shd w:val="clear" w:color="auto" w:fill="auto"/>
              </w:rPr>
            </w:pPr>
            <w:r>
              <w:rPr>
                <w:rFonts w:ascii="楷体" w:eastAsia="楷体" w:cs="楷体" w:hint="eastAsia"/>
                <w:kern w:val="0"/>
                <w:sz w:val="24"/>
                <w:szCs w:val="24"/>
                <w:shd w:val="clear" w:color="auto" w:fill="auto"/>
              </w:rPr>
              <w:t>（二）部分公开（区分处理的，只计这一情形，不计其他情形）</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2</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2</w:t>
            </w:r>
          </w:p>
        </w:tc>
      </w:tr>
      <w:t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（三）不予公开</w:t>
            </w: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1.属于国家秘密</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2.其他法律行政法规禁止公开</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3.危及“三安全一稳定”</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4.保护第三方合法权益</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5.属于三类内部事务信息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6.属于四类过程性信息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7.属于行政执法案卷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8.属于行政查询事项</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（四）无法提供</w:t>
            </w: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1.本机关不掌握相关政府信息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2.没有现成信息需要另行制作</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3.补正后申请内容仍不明确</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（五）不予处理</w:t>
            </w: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1.信访举报投诉类申请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2.重复申请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3.要求提供公开出版物</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810"/>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4.无正当理由大量反复申请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5.要求行政机关确认或重新出具已获取信息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（六）其他处理</w:t>
            </w:r>
          </w:p>
        </w:tc>
        <w:tc>
          <w:tcPr>
            <w:tcW w:w="2670" w:type="dxa"/>
            <w:tcBorders>
              <w:top w:val="nil"/>
              <w:left w:val="single" w:sz="8" w:space="0" w:color="auto"/>
              <w:bottom w:val="single" w:sz="8" w:space="0" w:color="auto"/>
              <w:right w:val="single" w:sz="8" w:space="0" w:color="auto"/>
            </w:tcBorders>
            <w:tcMar>
              <w:left w:w="108" w:type="dxa"/>
              <w:right w:w="108" w:type="dxa"/>
            </w:tcMar>
          </w:tcPr>
          <w:p>
            <w:pPr>
              <w:pStyle w:val="16"/>
              <w:widowControl/>
              <w:shd w:val="clear" w:color="auto" w:fill="auto"/>
              <w:rPr>
                <w:rFonts w:ascii="楷体" w:eastAsia="楷体"/>
                <w:kern w:val="0"/>
                <w:sz w:val="24"/>
                <w:szCs w:val="24"/>
                <w:shd w:val="clear" w:color="auto" w:fill="auto"/>
              </w:rPr>
            </w:pPr>
            <w:r>
              <w:rPr>
                <w:rFonts w:ascii="楷体" w:eastAsia="楷体" w:cs="楷体" w:hint="eastAsia"/>
                <w:kern w:val="0"/>
                <w:sz w:val="24"/>
                <w:szCs w:val="24"/>
                <w:shd w:val="clear" w:color="auto" w:fill="auto"/>
              </w:rPr>
              <w:t>1.申请人无正当理由逾期不补正、行政机关不再处理其政府信息公开申请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tcPr>
          <w:p>
            <w:pPr>
              <w:pStyle w:val="16"/>
              <w:widowControl/>
              <w:shd w:val="clear" w:color="auto" w:fill="auto"/>
              <w:rPr>
                <w:rFonts w:ascii="楷体" w:eastAsia="楷体"/>
                <w:kern w:val="0"/>
                <w:sz w:val="24"/>
                <w:szCs w:val="24"/>
                <w:shd w:val="clear" w:color="auto" w:fill="auto"/>
              </w:rPr>
            </w:pPr>
            <w:r>
              <w:rPr>
                <w:rFonts w:ascii="楷体" w:eastAsia="楷体" w:cs="楷体" w:hint="eastAsia"/>
                <w:kern w:val="0"/>
                <w:sz w:val="24"/>
                <w:szCs w:val="24"/>
                <w:shd w:val="clear" w:color="auto" w:fill="auto"/>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tcPr>
          <w:p>
            <w:pPr>
              <w:pStyle w:val="16"/>
              <w:widowControl/>
              <w:shd w:val="clear" w:color="auto" w:fill="auto"/>
              <w:rPr>
                <w:rFonts w:ascii="楷体" w:eastAsia="楷体"/>
                <w:kern w:val="0"/>
                <w:sz w:val="24"/>
                <w:szCs w:val="24"/>
                <w:shd w:val="clear" w:color="auto" w:fill="auto"/>
              </w:rPr>
            </w:pPr>
            <w:r>
              <w:rPr>
                <w:rFonts w:ascii="楷体" w:eastAsia="楷体" w:cs="楷体" w:hint="eastAsia"/>
                <w:kern w:val="0"/>
                <w:sz w:val="24"/>
                <w:szCs w:val="24"/>
                <w:shd w:val="clear" w:color="auto" w:fill="auto"/>
              </w:rPr>
              <w:t>3.咨询事项，指引咨询渠道</w:t>
            </w:r>
          </w:p>
        </w:tc>
        <w:tc>
          <w:tcPr>
            <w:tcW w:w="63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tcPr>
          <w:p>
            <w:pPr>
              <w:pStyle w:val="16"/>
              <w:widowControl/>
              <w:shd w:val="clear" w:color="auto" w:fill="auto"/>
              <w:rPr>
                <w:rFonts w:ascii="楷体" w:eastAsia="楷体"/>
                <w:kern w:val="0"/>
                <w:sz w:val="24"/>
                <w:szCs w:val="24"/>
                <w:shd w:val="clear" w:color="auto" w:fill="auto"/>
              </w:rPr>
            </w:pPr>
            <w:r>
              <w:rPr>
                <w:rFonts w:ascii="楷体" w:eastAsia="楷体" w:cs="楷体" w:hint="eastAsia"/>
                <w:kern w:val="0"/>
                <w:sz w:val="24"/>
                <w:szCs w:val="24"/>
                <w:shd w:val="clear" w:color="auto" w:fill="auto"/>
              </w:rPr>
              <w:t>4.申请人撤销申请</w:t>
            </w:r>
          </w:p>
        </w:tc>
        <w:tc>
          <w:tcPr>
            <w:tcW w:w="63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4</w:t>
            </w:r>
          </w:p>
        </w:tc>
        <w:tc>
          <w:tcPr>
            <w:tcW w:w="67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4</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gridSpan w:val="2"/>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rPr>
                <w:sz w:val="24"/>
                <w:szCs w:val="24"/>
                <w:shd w:val="clear" w:color="auto" w:fill="auto"/>
              </w:rPr>
            </w:pPr>
            <w:r>
              <w:rPr>
                <w:rFonts w:ascii="楷体" w:eastAsia="楷体" w:cs="楷体" w:hint="eastAsia"/>
                <w:kern w:val="0"/>
                <w:sz w:val="24"/>
                <w:szCs w:val="24"/>
                <w:shd w:val="clear" w:color="auto" w:fill="auto"/>
              </w:rPr>
              <w:t>（七）总计</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8</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8</w:t>
            </w:r>
          </w:p>
        </w:tc>
      </w:tr>
      <w:tr>
        <w:tc>
          <w:tcPr>
            <w:tcW w:w="4302" w:type="dxa"/>
            <w:gridSpan w:val="3"/>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jc w:val="left"/>
              <w:rPr>
                <w:shd w:val="clear" w:color="auto" w:fill="auto"/>
              </w:rPr>
            </w:pPr>
            <w:r>
              <w:rPr>
                <w:rFonts w:ascii="宋体" w:cs="宋体" w:hint="eastAsia"/>
                <w:kern w:val="0"/>
                <w:sz w:val="24"/>
                <w:szCs w:val="24"/>
                <w:shd w:val="clear" w:color="auto" w:fill="auto"/>
              </w:rPr>
              <w:t>四、结转下年度继续办理</w:t>
            </w:r>
          </w:p>
        </w:tc>
        <w:tc>
          <w:tcPr>
            <w:tcW w:w="63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bl>
    <w:p>
      <w:pPr>
        <w:pStyle w:val="15"/>
        <w:widowControl/>
        <w:shd w:val="clear" w:color="auto" w:fill="auto"/>
        <w:adjustRightInd w:val="0"/>
        <w:snapToGrid w:val="0"/>
        <w:spacing w:before="0" w:beforeAutospacing="0" w:after="0" w:afterAutospacing="0" w:line="560" w:lineRule="exact"/>
        <w:ind w:firstLineChars="200" w:firstLine="640"/>
        <w:jc w:val="both"/>
        <w:rPr>
          <w:rFonts w:ascii="方正黑体_GBK" w:eastAsia="方正黑体_GBK" w:cs="方正黑体_GBK" w:hint="eastAsia"/>
          <w:sz w:val="32"/>
          <w:szCs w:val="32"/>
          <w:shd w:val="clear" w:color="auto" w:fill="auto"/>
        </w:rPr>
      </w:pPr>
      <w:r>
        <w:rPr>
          <w:rFonts w:ascii="方正黑体_GBK" w:eastAsia="方正黑体_GBK" w:cs="方正黑体_GBK" w:hint="eastAsia"/>
          <w:sz w:val="32"/>
          <w:szCs w:val="32"/>
          <w:shd w:val="clear" w:color="auto" w:fill="auto"/>
        </w:rPr>
        <w:t>四、</w:t>
      </w:r>
      <w:bookmarkStart w:id="4" w:name="_Hlk156211714"/>
      <w:r>
        <w:rPr>
          <w:rFonts w:ascii="方正黑体_GBK" w:eastAsia="方正黑体_GBK" w:cs="方正黑体_GBK" w:hint="eastAsia"/>
          <w:sz w:val="32"/>
          <w:szCs w:val="32"/>
          <w:shd w:val="clear" w:color="auto" w:fill="auto"/>
        </w:rPr>
        <w:t>政府信息公开行政复议、行政诉讼情况</w:t>
      </w:r>
      <w:bookmarkEnd w:id="4"/>
    </w:p>
    <w:tbl>
      <w:tblPr>
        <w:jc w:val="center"/>
        <w:tblW w:w="907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rPr>
          <w:cantSplit/>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行政诉讼</w:t>
            </w:r>
          </w:p>
        </w:tc>
      </w:tr>
      <w:tr>
        <w:trPr>
          <w:cantSplit/>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复议后起诉</w:t>
            </w:r>
          </w:p>
        </w:tc>
      </w:tr>
      <w:tr>
        <w:trPr>
          <w:cantSplit/>
        </w:trPr>
        <w:tc>
          <w:tcPr>
            <w:tcW w:w="3074" w:type="dxa"/>
            <w:vMerge/>
            <w:tcBorders>
              <w:top w:val="nil"/>
              <w:left w:val="single" w:sz="8" w:space="0" w:color="auto"/>
              <w:bottom w:val="single" w:sz="8" w:space="0" w:color="auto"/>
              <w:right w:val="single" w:sz="8" w:space="0" w:color="auto"/>
            </w:tcBorders>
            <w:vAlign w:val="center"/>
          </w:tcPr>
          <w:p/>
        </w:tc>
        <w:tc>
          <w:tcPr>
            <w:tcW w:w="604" w:type="dxa"/>
            <w:vMerge/>
            <w:tcBorders>
              <w:top w:val="nil"/>
              <w:left w:val="nil"/>
              <w:bottom w:val="single" w:sz="8" w:space="0" w:color="auto"/>
              <w:right w:val="single" w:sz="8" w:space="0" w:color="auto"/>
            </w:tcBorders>
            <w:vAlign w:val="center"/>
          </w:tcPr>
          <w:p/>
        </w:tc>
        <w:tc>
          <w:tcPr>
            <w:tcW w:w="604" w:type="dxa"/>
            <w:vMerge/>
            <w:tcBorders>
              <w:top w:val="single" w:sz="8" w:space="0" w:color="auto"/>
              <w:left w:val="nil"/>
              <w:bottom w:val="single" w:sz="8" w:space="0" w:color="auto"/>
              <w:right w:val="single" w:sz="8" w:space="0" w:color="auto"/>
            </w:tcBorders>
            <w:vAlign w:val="center"/>
          </w:tcPr>
          <w:p/>
        </w:tc>
        <w:tc>
          <w:tcPr>
            <w:tcW w:w="604" w:type="dxa"/>
            <w:vMerge/>
            <w:tcBorders>
              <w:top w:val="single" w:sz="8" w:space="0" w:color="auto"/>
              <w:left w:val="nil"/>
              <w:bottom w:val="single" w:sz="8" w:space="0" w:color="auto"/>
              <w:right w:val="single" w:sz="8" w:space="0" w:color="auto"/>
            </w:tcBorders>
            <w:vAlign w:val="center"/>
          </w:tcPr>
          <w:p/>
        </w:tc>
        <w:tc>
          <w:tcPr>
            <w:tcW w:w="658" w:type="dxa"/>
            <w:vMerge/>
            <w:tcBorders>
              <w:top w:val="single" w:sz="8" w:space="0" w:color="auto"/>
              <w:left w:val="nil"/>
              <w:bottom w:val="single" w:sz="8" w:space="0" w:color="auto"/>
              <w:right w:val="single" w:sz="8" w:space="0" w:color="auto"/>
            </w:tcBorders>
            <w:vAlign w:val="center"/>
          </w:tcPr>
          <w:p/>
        </w:tc>
        <w:tc>
          <w:tcPr>
            <w:tcW w:w="55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r>
      <w:tr>
        <w:trPr>
          <w:cantSplit/>
          <w:trHeight w:val="862"/>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4"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4"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4"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58"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550"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sz w:val="24"/>
                <w:szCs w:val="24"/>
                <w:shd w:val="clear" w:color="auto" w:fill="auto"/>
              </w:rPr>
            </w:pPr>
            <w:r>
              <w:rPr>
                <w:sz w:val="24"/>
                <w:szCs w:val="24"/>
                <w:shd w:val="clear" w:color="auto" w:fill="auto"/>
              </w:rPr>
              <w:t>0</w:t>
            </w:r>
          </w:p>
        </w:tc>
        <w:tc>
          <w:tcPr>
            <w:tcW w:w="606"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kern w:val="0"/>
                <w:sz w:val="24"/>
                <w:szCs w:val="24"/>
                <w:shd w:val="clear" w:color="auto" w:fill="auto"/>
              </w:rPr>
            </w:pPr>
            <w:r>
              <w:rPr>
                <w:kern w:val="0"/>
                <w:sz w:val="24"/>
                <w:szCs w:val="24"/>
                <w:shd w:val="clear" w:color="auto" w:fill="auto"/>
              </w:rPr>
              <w:t>0</w:t>
            </w:r>
          </w:p>
        </w:tc>
        <w:tc>
          <w:tcPr>
            <w:tcW w:w="606" w:type="dxa"/>
            <w:tcBorders>
              <w:top w:val="nil"/>
              <w:left w:val="nil"/>
              <w:bottom w:val="single" w:sz="8" w:space="0" w:color="auto"/>
              <w:right w:val="single" w:sz="8" w:space="0" w:color="auto"/>
            </w:tcBorders>
            <w:tcMar>
              <w:left w:w="108" w:type="dxa"/>
              <w:right w:w="108" w:type="dxa"/>
            </w:tcMar>
            <w:vAlign w:val="center"/>
          </w:tcPr>
          <w:p>
            <w:pPr>
              <w:pStyle w:val="16"/>
              <w:widowControl/>
              <w:shd w:val="clear" w:color="auto" w:fill="auto"/>
              <w:jc w:val="center"/>
              <w:rPr>
                <w:kern w:val="0"/>
                <w:sz w:val="24"/>
                <w:szCs w:val="24"/>
                <w:shd w:val="clear" w:color="auto" w:fill="auto"/>
              </w:rPr>
            </w:pPr>
            <w:r>
              <w:rPr>
                <w:kern w:val="0"/>
                <w:sz w:val="24"/>
                <w:szCs w:val="24"/>
                <w:shd w:val="clear" w:color="auto" w:fill="auto"/>
              </w:rPr>
              <w:t>0</w:t>
            </w:r>
          </w:p>
        </w:tc>
      </w:tr>
    </w:tbl>
    <w:p>
      <w:pPr>
        <w:pStyle w:val="15"/>
        <w:widowControl/>
        <w:shd w:val="clear" w:color="auto" w:fill="auto"/>
        <w:adjustRightInd w:val="0"/>
        <w:snapToGrid w:val="0"/>
        <w:spacing w:before="0" w:beforeAutospacing="0" w:after="0" w:afterAutospacing="0" w:line="560" w:lineRule="exact"/>
        <w:ind w:firstLineChars="200" w:firstLine="640"/>
        <w:jc w:val="both"/>
        <w:rPr>
          <w:rFonts w:ascii="方正黑体_GBK" w:eastAsia="方正黑体_GBK" w:cs="方正黑体_GBK" w:hint="eastAsia"/>
          <w:sz w:val="32"/>
          <w:szCs w:val="32"/>
          <w:shd w:val="clear" w:color="auto" w:fill="auto"/>
        </w:rPr>
      </w:pPr>
      <w:r>
        <w:rPr>
          <w:rFonts w:ascii="方正黑体_GBK" w:eastAsia="方正黑体_GBK" w:cs="方正黑体_GBK" w:hint="eastAsia"/>
          <w:sz w:val="32"/>
          <w:szCs w:val="32"/>
          <w:shd w:val="clear" w:color="auto" w:fill="auto"/>
        </w:rPr>
        <w:t>五、存在的主要问题及改进情况</w:t>
      </w:r>
    </w:p>
    <w:p>
      <w:pPr>
        <w:pStyle w:val="18"/>
        <w:shd w:val="clear" w:color="auto" w:fill="auto"/>
        <w:adjustRightInd w:val="0"/>
        <w:snapToGrid w:val="0"/>
        <w:ind w:firstLineChars="200" w:firstLine="624"/>
        <w:rPr>
          <w:rFonts w:eastAsia="方正楷体_GBK" w:cs="方正楷体_GBK"/>
          <w:b/>
          <w:bCs/>
          <w:shd w:val="clear" w:color="auto" w:fill="auto"/>
        </w:rPr>
      </w:pPr>
      <w:r>
        <w:rPr>
          <w:rFonts w:eastAsia="方正楷体_GBK" w:cs="方正楷体_GBK" w:hint="eastAsia"/>
          <w:b/>
          <w:bCs/>
          <w:shd w:val="clear" w:color="auto" w:fill="auto"/>
        </w:rPr>
        <w:t>（一）</w:t>
      </w:r>
      <w:r>
        <w:rPr>
          <w:rFonts w:eastAsia="方正楷体_GBK"/>
          <w:b/>
          <w:bCs/>
          <w:shd w:val="clear" w:color="auto" w:fill="auto"/>
        </w:rPr>
        <w:t>202</w:t>
      </w:r>
      <w:r>
        <w:rPr>
          <w:rFonts w:eastAsia="方正楷体_GBK" w:hint="eastAsia"/>
          <w:b/>
          <w:bCs/>
          <w:shd w:val="clear" w:color="auto" w:fill="auto"/>
        </w:rPr>
        <w:t>3</w:t>
      </w:r>
      <w:r>
        <w:rPr>
          <w:rFonts w:eastAsia="方正楷体_GBK" w:cs="方正楷体_GBK" w:hint="eastAsia"/>
          <w:b/>
          <w:bCs/>
          <w:shd w:val="clear" w:color="auto" w:fill="auto"/>
        </w:rPr>
        <w:t>年年报中所提问题整改情况。</w:t>
      </w:r>
    </w:p>
    <w:p>
      <w:pPr>
        <w:pStyle w:val="18"/>
        <w:shd w:val="clear" w:color="auto" w:fill="auto"/>
        <w:adjustRightInd w:val="0"/>
        <w:snapToGrid w:val="0"/>
        <w:ind w:firstLineChars="200" w:firstLine="624"/>
        <w:rPr>
          <w:rFonts w:cs="方正仿宋_GBK"/>
          <w:bCs/>
          <w:shd w:val="clear" w:color="auto" w:fill="auto"/>
        </w:rPr>
      </w:pPr>
      <w:r>
        <w:rPr>
          <w:rFonts w:cs="方正仿宋_GBK" w:hint="eastAsia"/>
          <w:bCs/>
          <w:shd w:val="clear" w:color="auto" w:fill="auto"/>
        </w:rPr>
        <w:t>佛山海关2023年年报提出以下问题：</w:t>
      </w:r>
      <w:r>
        <w:rPr>
          <w:rFonts w:hint="eastAsia"/>
          <w:bCs/>
          <w:shd w:val="clear" w:color="auto" w:fill="auto"/>
        </w:rPr>
        <w:t>部分“双公示”（行政处罚、行政许可）信息存在格式不规范、更新不及时问题，仍需定期开展自查。</w:t>
      </w:r>
    </w:p>
    <w:p>
      <w:pPr>
        <w:pStyle w:val="18"/>
        <w:shd w:val="clear" w:color="auto" w:fill="auto"/>
        <w:adjustRightInd w:val="0"/>
        <w:snapToGrid w:val="0"/>
        <w:ind w:firstLineChars="200" w:firstLine="624"/>
        <w:rPr>
          <w:rFonts w:cs="方正仿宋_GBK"/>
          <w:shd w:val="clear" w:color="auto" w:fill="auto"/>
        </w:rPr>
      </w:pPr>
      <w:r>
        <w:rPr>
          <w:rFonts w:cs="方正仿宋_GBK" w:hint="eastAsia"/>
          <w:bCs/>
          <w:shd w:val="clear" w:color="auto" w:fill="auto"/>
        </w:rPr>
        <w:t>上述问题在2024年均已采取措施完成整改：</w:t>
      </w:r>
      <w:r>
        <w:rPr>
          <w:rFonts w:cs="方正仿宋_GBK" w:hint="eastAsia"/>
          <w:shd w:val="clear" w:color="auto" w:fill="auto"/>
        </w:rPr>
        <w:t>建立定期巡网检查机制，针对发现的问题第一时间沟通</w:t>
      </w:r>
      <w:r>
        <w:rPr>
          <w:rFonts w:cs="方正仿宋_GBK"/>
          <w:shd w:val="clear" w:color="auto" w:fill="auto"/>
        </w:rPr>
        <w:t>调整。</w:t>
      </w:r>
      <w:r>
        <w:rPr>
          <w:rFonts w:cs="方正仿宋_GBK" w:hint="eastAsia"/>
          <w:shd w:val="clear" w:color="auto" w:fill="auto"/>
        </w:rPr>
        <w:t>通过开展培训、线上线下提醒等方式敦促相关岗位</w:t>
      </w:r>
      <w:r>
        <w:rPr>
          <w:rFonts w:cs="方正仿宋_GBK"/>
          <w:shd w:val="clear" w:color="auto" w:fill="auto"/>
        </w:rPr>
        <w:t>人员</w:t>
      </w:r>
      <w:r>
        <w:rPr>
          <w:rFonts w:cs="方正仿宋_GBK" w:hint="eastAsia"/>
          <w:shd w:val="clear" w:color="auto" w:fill="auto"/>
        </w:rPr>
        <w:t>严格按规范落实“双公示”信息的上传、审核、发布工作。</w:t>
      </w:r>
    </w:p>
    <w:p>
      <w:pPr>
        <w:pStyle w:val="18"/>
        <w:shd w:val="clear" w:color="auto" w:fill="auto"/>
        <w:adjustRightInd w:val="0"/>
        <w:snapToGrid w:val="0"/>
        <w:ind w:firstLineChars="200" w:firstLine="640"/>
        <w:rPr>
          <w:rFonts w:eastAsia="方正仿宋_GBK" w:cs="方正仿宋_GBK"/>
          <w:bCs/>
          <w:spacing w:val="-4"/>
          <w:kern w:val="2"/>
          <w:sz w:val="32"/>
          <w:szCs w:val="32"/>
          <w:shd w:val="clear" w:color="auto" w:fill="auto"/>
        </w:rPr>
      </w:pPr>
      <w:r>
        <w:rPr>
          <w:rFonts w:ascii="方正楷体_GBK" w:eastAsia="方正楷体_GBK" w:cs="方正楷体_GBK" w:hint="eastAsia"/>
          <w:b/>
          <w:bCs/>
          <w:spacing w:val="0"/>
          <w:shd w:val="clear" w:color="auto" w:fill="auto"/>
        </w:rPr>
        <w:t>（二）目前存在问题。</w:t>
      </w:r>
    </w:p>
    <w:p>
      <w:pPr>
        <w:pStyle w:val="15"/>
        <w:widowControl/>
        <w:shd w:val="clear" w:color="auto" w:fill="auto"/>
        <w:spacing w:before="0" w:beforeAutospacing="0" w:after="0" w:afterAutospacing="0" w:line="560" w:lineRule="exact"/>
        <w:ind w:firstLineChars="200" w:firstLine="624"/>
        <w:jc w:val="both"/>
        <w:rPr>
          <w:rFonts w:eastAsia="方正仿宋_GBK" w:cs="方正仿宋_GBK"/>
          <w:bCs/>
          <w:spacing w:val="-4"/>
          <w:kern w:val="2"/>
          <w:sz w:val="32"/>
          <w:szCs w:val="32"/>
          <w:shd w:val="clear" w:color="auto" w:fill="auto"/>
        </w:rPr>
      </w:pPr>
      <w:r>
        <w:rPr>
          <w:rFonts w:eastAsia="方正仿宋_GBK" w:cs="方正仿宋_GBK" w:hint="eastAsia"/>
          <w:bCs/>
          <w:spacing w:val="-4"/>
          <w:kern w:val="2"/>
          <w:sz w:val="32"/>
          <w:szCs w:val="32"/>
          <w:shd w:val="clear" w:color="auto" w:fill="auto"/>
        </w:rPr>
        <w:t>对《中华人民共和国政府信息公开条例》</w:t>
      </w:r>
      <w:r>
        <w:rPr>
          <w:rFonts w:eastAsia="方正仿宋_GBK" w:cs="方正仿宋_GBK"/>
          <w:bCs/>
          <w:spacing w:val="-4"/>
          <w:kern w:val="2"/>
          <w:sz w:val="32"/>
          <w:szCs w:val="32"/>
          <w:shd w:val="clear" w:color="auto" w:fill="auto"/>
        </w:rPr>
        <w:t>的</w:t>
      </w:r>
      <w:r>
        <w:rPr>
          <w:rFonts w:eastAsia="方正仿宋_GBK" w:cs="方正仿宋_GBK" w:hint="eastAsia"/>
          <w:bCs/>
          <w:spacing w:val="-4"/>
          <w:kern w:val="2"/>
          <w:sz w:val="32"/>
          <w:szCs w:val="32"/>
          <w:shd w:val="clear" w:color="auto" w:fill="auto"/>
        </w:rPr>
        <w:t>理解</w:t>
      </w:r>
      <w:r>
        <w:rPr>
          <w:rFonts w:eastAsia="方正仿宋_GBK" w:cs="方正仿宋_GBK"/>
          <w:bCs/>
          <w:spacing w:val="-4"/>
          <w:kern w:val="2"/>
          <w:sz w:val="32"/>
          <w:szCs w:val="32"/>
          <w:shd w:val="clear" w:color="auto" w:fill="auto"/>
        </w:rPr>
        <w:t>不够</w:t>
      </w:r>
      <w:r>
        <w:rPr>
          <w:rFonts w:eastAsia="方正仿宋_GBK" w:cs="方正仿宋_GBK" w:hint="eastAsia"/>
          <w:bCs/>
          <w:spacing w:val="-4"/>
          <w:kern w:val="2"/>
          <w:sz w:val="32"/>
          <w:szCs w:val="32"/>
          <w:shd w:val="clear" w:color="auto" w:fill="auto"/>
        </w:rPr>
        <w:t>透彻</w:t>
      </w:r>
      <w:r>
        <w:rPr>
          <w:rFonts w:eastAsia="方正仿宋_GBK" w:cs="方正仿宋_GBK"/>
          <w:bCs/>
          <w:spacing w:val="-4"/>
          <w:kern w:val="2"/>
          <w:sz w:val="32"/>
          <w:szCs w:val="32"/>
          <w:shd w:val="clear" w:color="auto" w:fill="auto"/>
        </w:rPr>
        <w:t>，</w:t>
      </w:r>
      <w:r>
        <w:rPr>
          <w:rFonts w:eastAsia="方正仿宋_GBK" w:cs="方正仿宋_GBK" w:hint="eastAsia"/>
          <w:bCs/>
          <w:spacing w:val="-4"/>
          <w:kern w:val="2"/>
          <w:sz w:val="32"/>
          <w:szCs w:val="32"/>
          <w:shd w:val="clear" w:color="auto" w:fill="auto"/>
        </w:rPr>
        <w:t>运用</w:t>
      </w:r>
      <w:r>
        <w:rPr>
          <w:rFonts w:eastAsia="方正仿宋_GBK" w:cs="方正仿宋_GBK"/>
          <w:bCs/>
          <w:spacing w:val="-4"/>
          <w:kern w:val="2"/>
          <w:sz w:val="32"/>
          <w:szCs w:val="32"/>
          <w:shd w:val="clear" w:color="auto" w:fill="auto"/>
        </w:rPr>
        <w:t>上还不够</w:t>
      </w:r>
      <w:r>
        <w:rPr>
          <w:rFonts w:eastAsia="方正仿宋_GBK" w:cs="方正仿宋_GBK" w:hint="eastAsia"/>
          <w:bCs/>
          <w:spacing w:val="-4"/>
          <w:kern w:val="2"/>
          <w:sz w:val="32"/>
          <w:szCs w:val="32"/>
          <w:shd w:val="clear" w:color="auto" w:fill="auto"/>
        </w:rPr>
        <w:t>熟练</w:t>
      </w:r>
      <w:r>
        <w:rPr>
          <w:rFonts w:eastAsia="方正仿宋_GBK" w:cs="方正仿宋_GBK"/>
          <w:bCs/>
          <w:spacing w:val="-4"/>
          <w:kern w:val="2"/>
          <w:sz w:val="32"/>
          <w:szCs w:val="32"/>
          <w:shd w:val="clear" w:color="auto" w:fill="auto"/>
        </w:rPr>
        <w:t>，</w:t>
      </w:r>
      <w:r>
        <w:rPr>
          <w:rFonts w:eastAsia="方正仿宋_GBK" w:cs="方正仿宋_GBK" w:hint="eastAsia"/>
          <w:bCs/>
          <w:spacing w:val="-4"/>
          <w:kern w:val="2"/>
          <w:sz w:val="32"/>
          <w:szCs w:val="32"/>
          <w:shd w:val="clear" w:color="auto" w:fill="auto"/>
        </w:rPr>
        <w:t>依申请公开办理能力</w:t>
      </w:r>
      <w:r>
        <w:rPr>
          <w:rFonts w:eastAsia="方正仿宋_GBK" w:cs="方正仿宋_GBK"/>
          <w:bCs/>
          <w:spacing w:val="-4"/>
          <w:kern w:val="2"/>
          <w:sz w:val="32"/>
          <w:szCs w:val="32"/>
          <w:shd w:val="clear" w:color="auto" w:fill="auto"/>
        </w:rPr>
        <w:t>需</w:t>
      </w:r>
      <w:r>
        <w:rPr>
          <w:rFonts w:eastAsia="方正仿宋_GBK" w:cs="方正仿宋_GBK" w:hint="eastAsia"/>
          <w:bCs/>
          <w:spacing w:val="-4"/>
          <w:kern w:val="2"/>
          <w:sz w:val="32"/>
          <w:szCs w:val="32"/>
          <w:shd w:val="clear" w:color="auto" w:fill="auto"/>
        </w:rPr>
        <w:t>进一步提升</w:t>
      </w:r>
      <w:r>
        <w:rPr>
          <w:rFonts w:eastAsia="方正仿宋_GBK" w:cs="方正仿宋_GBK"/>
          <w:bCs/>
          <w:spacing w:val="-4"/>
          <w:kern w:val="2"/>
          <w:sz w:val="32"/>
          <w:szCs w:val="32"/>
          <w:shd w:val="clear" w:color="auto" w:fill="auto"/>
        </w:rPr>
        <w:t>。</w:t>
      </w:r>
    </w:p>
    <w:p>
      <w:pPr>
        <w:pStyle w:val="15"/>
        <w:widowControl/>
        <w:shd w:val="clear" w:color="auto" w:fill="auto"/>
        <w:spacing w:before="0" w:beforeAutospacing="0" w:after="0" w:afterAutospacing="0" w:line="560" w:lineRule="exact"/>
        <w:ind w:firstLineChars="200" w:firstLine="640"/>
        <w:jc w:val="both"/>
        <w:rPr>
          <w:rFonts w:ascii="方正黑体_GBK" w:eastAsia="方正黑体_GBK"/>
          <w:sz w:val="32"/>
          <w:szCs w:val="32"/>
          <w:shd w:val="clear" w:color="auto" w:fill="auto"/>
        </w:rPr>
      </w:pPr>
      <w:r>
        <w:rPr>
          <w:rFonts w:ascii="方正黑体_GBK" w:eastAsia="方正黑体_GBK" w:cs="方正黑体_GBK" w:hint="eastAsia"/>
          <w:sz w:val="32"/>
          <w:szCs w:val="32"/>
          <w:shd w:val="clear" w:color="auto" w:fill="auto"/>
        </w:rPr>
        <w:t>六、其他需要报告的事项</w:t>
      </w:r>
      <w:bookmarkEnd w:id="1"/>
    </w:p>
    <w:p>
      <w:pPr>
        <w:pStyle w:val="24"/>
        <w:shd w:val="clear" w:color="auto" w:fill="auto"/>
        <w:tabs>
          <w:tab w:val="center" w:pos="4153"/>
          <w:tab w:val="right" w:pos="8306"/>
        </w:tabs>
        <w:spacing w:line="560" w:lineRule="exact"/>
        <w:ind w:firstLine="629"/>
        <w:jc w:val="both"/>
        <w:rPr>
          <w:rFonts w:ascii="方正楷体_GBK" w:eastAsia="方正楷体_GBK"/>
          <w:b/>
          <w:spacing w:val="-4"/>
          <w:sz w:val="32"/>
          <w:szCs w:val="20"/>
          <w:shd w:val="clear" w:color="auto" w:fill="auto"/>
        </w:rPr>
      </w:pPr>
      <w:r>
        <w:rPr>
          <w:rFonts w:ascii="方正楷体_GBK" w:eastAsia="方正楷体_GBK" w:hint="eastAsia"/>
          <w:b/>
          <w:spacing w:val="-4"/>
          <w:sz w:val="32"/>
          <w:szCs w:val="20"/>
          <w:shd w:val="clear" w:color="auto" w:fill="auto"/>
        </w:rPr>
        <w:t>（</w:t>
      </w:r>
      <w:r>
        <w:rPr>
          <w:rFonts w:ascii="方正楷体_GBK" w:eastAsia="方正楷体_GBK"/>
          <w:b/>
          <w:spacing w:val="-4"/>
          <w:sz w:val="32"/>
          <w:szCs w:val="20"/>
          <w:shd w:val="clear" w:color="auto" w:fill="auto"/>
        </w:rPr>
        <w:t>一</w:t>
      </w:r>
      <w:r>
        <w:rPr>
          <w:rFonts w:ascii="方正楷体_GBK" w:eastAsia="方正楷体_GBK" w:hint="eastAsia"/>
          <w:b/>
          <w:spacing w:val="-4"/>
          <w:sz w:val="32"/>
          <w:szCs w:val="20"/>
          <w:shd w:val="clear" w:color="auto" w:fill="auto"/>
        </w:rPr>
        <w:t>）政府信息公开信息处理费收</w:t>
      </w:r>
      <w:r>
        <w:rPr>
          <w:rFonts w:ascii="方正楷体_GBK" w:eastAsia="方正楷体_GBK"/>
          <w:b/>
          <w:spacing w:val="-4"/>
          <w:sz w:val="32"/>
          <w:szCs w:val="20"/>
          <w:shd w:val="clear" w:color="auto" w:fill="auto"/>
        </w:rPr>
        <w:t>取</w:t>
      </w:r>
      <w:r>
        <w:rPr>
          <w:rFonts w:ascii="方正楷体_GBK" w:eastAsia="方正楷体_GBK" w:hint="eastAsia"/>
          <w:b/>
          <w:spacing w:val="-4"/>
          <w:sz w:val="32"/>
          <w:szCs w:val="20"/>
          <w:shd w:val="clear" w:color="auto" w:fill="auto"/>
        </w:rPr>
        <w:t>情况。</w:t>
      </w:r>
    </w:p>
    <w:p>
      <w:pPr>
        <w:pStyle w:val="24"/>
        <w:shd w:val="clear" w:color="auto" w:fill="auto"/>
        <w:tabs>
          <w:tab w:val="center" w:pos="4153"/>
          <w:tab w:val="right" w:pos="8306"/>
        </w:tabs>
        <w:spacing w:line="560" w:lineRule="exact"/>
        <w:ind w:firstLine="629"/>
        <w:jc w:val="both"/>
        <w:rPr>
          <w:rFonts w:cs="方正仿宋_GBK"/>
          <w:sz w:val="32"/>
          <w:szCs w:val="32"/>
          <w:shd w:val="clear" w:color="auto" w:fill="auto"/>
        </w:rPr>
      </w:pPr>
      <w:r>
        <w:rPr>
          <w:rFonts w:cs="方正仿宋_GBK" w:hint="eastAsia"/>
          <w:sz w:val="32"/>
          <w:szCs w:val="32"/>
          <w:shd w:val="clear" w:color="auto" w:fill="auto"/>
        </w:rPr>
        <w:t>佛山海关严格按照《国务院办公厅关于印发〈政府信息公开信息处理费管理办法〉的通知》，规范政府信息公开信息处理费收取工作，2024年未收取政府信息公开信息处理费。</w:t>
      </w:r>
    </w:p>
    <w:p>
      <w:pPr>
        <w:pStyle w:val="24"/>
        <w:shd w:val="clear" w:color="auto" w:fill="auto"/>
        <w:tabs>
          <w:tab w:val="center" w:pos="4153"/>
          <w:tab w:val="right" w:pos="8306"/>
        </w:tabs>
        <w:spacing w:line="560" w:lineRule="exact"/>
        <w:ind w:firstLine="629"/>
        <w:jc w:val="both"/>
        <w:rPr>
          <w:rFonts w:ascii="方正楷体_GBK" w:eastAsia="方正楷体_GBK"/>
          <w:b/>
          <w:spacing w:val="-4"/>
          <w:sz w:val="32"/>
          <w:szCs w:val="20"/>
          <w:shd w:val="clear" w:color="auto" w:fill="auto"/>
        </w:rPr>
      </w:pPr>
      <w:r>
        <w:rPr>
          <w:rFonts w:ascii="方正楷体_GBK" w:eastAsia="方正楷体_GBK" w:hint="eastAsia"/>
          <w:b/>
          <w:spacing w:val="-4"/>
          <w:sz w:val="32"/>
          <w:szCs w:val="20"/>
          <w:shd w:val="clear" w:color="auto" w:fill="auto"/>
        </w:rPr>
        <w:t>（</w:t>
      </w:r>
      <w:r>
        <w:rPr>
          <w:rFonts w:ascii="方正楷体_GBK" w:eastAsia="方正楷体_GBK"/>
          <w:b/>
          <w:spacing w:val="-4"/>
          <w:sz w:val="32"/>
          <w:szCs w:val="20"/>
          <w:shd w:val="clear" w:color="auto" w:fill="auto"/>
        </w:rPr>
        <w:t>二</w:t>
      </w:r>
      <w:r>
        <w:rPr>
          <w:rFonts w:ascii="方正楷体_GBK" w:eastAsia="方正楷体_GBK" w:hint="eastAsia"/>
          <w:b/>
          <w:spacing w:val="-4"/>
          <w:sz w:val="32"/>
          <w:szCs w:val="20"/>
          <w:shd w:val="clear" w:color="auto" w:fill="auto"/>
        </w:rPr>
        <w:t>）</w:t>
      </w:r>
      <w:r>
        <w:rPr>
          <w:rFonts w:ascii="方正楷体_GBK" w:eastAsia="方正楷体_GBK"/>
          <w:b/>
          <w:spacing w:val="-4"/>
          <w:sz w:val="32"/>
          <w:szCs w:val="20"/>
          <w:shd w:val="clear" w:color="auto" w:fill="auto"/>
        </w:rPr>
        <w:t>获评荣誉</w:t>
      </w:r>
      <w:r>
        <w:rPr>
          <w:rFonts w:ascii="方正楷体_GBK" w:eastAsia="方正楷体_GBK" w:hint="eastAsia"/>
          <w:b/>
          <w:spacing w:val="-4"/>
          <w:sz w:val="32"/>
          <w:szCs w:val="20"/>
          <w:shd w:val="clear" w:color="auto" w:fill="auto"/>
        </w:rPr>
        <w:t>情况。</w:t>
      </w:r>
    </w:p>
    <w:p>
      <w:pPr>
        <w:pStyle w:val="60"/>
        <w:shd w:val="clear" w:color="auto" w:fill="auto"/>
        <w:tabs>
          <w:tab w:val="center" w:pos="4153"/>
          <w:tab w:val="right" w:pos="8306"/>
        </w:tabs>
        <w:spacing w:line="560" w:lineRule="exact"/>
        <w:ind w:firstLine="629"/>
        <w:jc w:val="both"/>
        <w:rPr>
          <w:rFonts w:cs="方正仿宋_GBK" w:hint="eastAsia"/>
          <w:sz w:val="32"/>
          <w:szCs w:val="32"/>
          <w:shd w:val="clear" w:color="auto" w:fill="auto"/>
        </w:rPr>
      </w:pPr>
      <w:r>
        <w:rPr>
          <w:rFonts w:cs="方正仿宋_GBK" w:hint="eastAsia"/>
          <w:sz w:val="32"/>
          <w:szCs w:val="32"/>
          <w:shd w:val="clear" w:color="auto" w:fill="auto"/>
        </w:rPr>
        <w:t>2024年，佛山海关邹淑敏科普工作室代表队在第七届全国科学实验展演汇演活动中荣获特等奖、“全国十佳科学实验展演人员”</w:t>
      </w:r>
      <w:r>
        <w:rPr>
          <w:rFonts w:cs="方正仿宋_GBK"/>
          <w:sz w:val="32"/>
          <w:szCs w:val="32"/>
          <w:shd w:val="clear" w:color="auto" w:fill="auto"/>
        </w:rPr>
        <w:t>、</w:t>
      </w:r>
      <w:r>
        <w:rPr>
          <w:rFonts w:cs="方正仿宋_GBK" w:hint="eastAsia"/>
          <w:sz w:val="32"/>
          <w:szCs w:val="32"/>
          <w:shd w:val="clear" w:color="auto" w:fill="auto"/>
        </w:rPr>
        <w:t>“最佳实验创意奖”等3个奖项。</w:t>
      </w:r>
    </w:p>
    <w:p>
      <w:pPr>
        <w:pStyle w:val="24"/>
        <w:shd w:val="clear" w:color="auto" w:fill="auto"/>
        <w:tabs>
          <w:tab w:val="center" w:pos="4153"/>
          <w:tab w:val="right" w:pos="8306"/>
        </w:tabs>
        <w:spacing w:line="560" w:lineRule="exact"/>
        <w:ind w:firstLine="629"/>
        <w:jc w:val="both"/>
        <w:rPr>
          <w:rFonts w:cs="方正仿宋_GBK"/>
          <w:sz w:val="32"/>
          <w:szCs w:val="32"/>
          <w:shd w:val="clear" w:color="auto" w:fill="auto"/>
        </w:rPr>
      </w:pPr>
    </w:p>
    <w:p>
      <w:pPr>
        <w:shd w:val="clear" w:color="auto" w:fill="auto"/>
        <w:rPr>
          <w:shd w:val="clear" w:color="auto" w:fill="auto"/>
        </w:rPr>
      </w:pPr>
    </w:p>
    <w:sectPr>
      <w:pgSz w:w="11907" w:h="16840"/>
      <w:pgMar w:top="1928" w:right="1588" w:bottom="1588"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36DECCAC"/>
    <w:multiLevelType w:val="singleLevel"/>
    <w:tmpl w:val="00000000"/>
    <w:lvl w:ilvl="0">
      <w:start w:val="1"/>
      <w:numFmt w:val="bullet"/>
      <w:lvlRestart w:val="0"/>
      <w:lvlText w:val=""/>
      <w:lvlJc w:val="left"/>
      <w:pPr>
        <w:tabs>
          <w:tab w:val="num" w:pos="780"/>
        </w:tabs>
        <w:ind w:left="780" w:hanging="360"/>
      </w:pPr>
      <w:rPr>
        <w:rFonts w:ascii="Wingdings" w:hAnsi="Wingdings" w:hint="default"/>
      </w:rPr>
    </w:lvl>
  </w:abstractNum>
  <w:abstractNum w:abstractNumId="1">
    <w:nsid w:val="718A590C"/>
    <w:multiLevelType w:val="singleLevel"/>
    <w:tmpl w:val="00000000"/>
    <w:lvl w:ilvl="0">
      <w:start w:val="1"/>
      <w:numFmt w:val="decimal"/>
      <w:lvlRestart w:val="0"/>
      <w:lvlText w:val="%1."/>
      <w:lvlJc w:val="left"/>
      <w:pPr>
        <w:tabs>
          <w:tab w:val="num" w:pos="780"/>
        </w:tabs>
        <w:ind w:left="780" w:hanging="36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bordersDoNotSurroundHeader/>
  <w:bordersDoNotSurroundFooter/>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32"/>
      <w:lang w:val="en-US" w:eastAsia="zh-CN" w:bidi="ar-SA"/>
    </w:rPr>
  </w:style>
  <w:style w:type="character" w:default="1" w:styleId="10">
    <w:name w:val="Default Paragraph Font"/>
  </w:style>
  <w:style w:type="paragraph" w:styleId="15">
    <w:name w:val="Normal (Web)"/>
    <w:basedOn w:val="0"/>
    <w:next w:val="29"/>
    <w:pPr>
      <w:spacing w:before="100" w:beforeAutospacing="1" w:after="100" w:afterAutospacing="1"/>
      <w:jc w:val="left"/>
    </w:pPr>
    <w:rPr>
      <w:rFonts w:eastAsia="宋体"/>
      <w:kern w:val="0"/>
      <w:sz w:val="24"/>
      <w:szCs w:val="24"/>
    </w:rPr>
  </w:style>
  <w:style w:type="paragraph" w:customStyle="1" w:styleId="16">
    <w:name w:val="样式 小三"/>
    <w:next w:val="30"/>
    <w:pPr>
      <w:widowControl w:val="0"/>
      <w:jc w:val="both"/>
    </w:pPr>
    <w:rPr>
      <w:rFonts w:ascii="Times New Roman" w:eastAsia="宋体" w:cs="Times New Roman" w:hAnsi="Times New Roman"/>
      <w:kern w:val="2"/>
      <w:sz w:val="30"/>
      <w:szCs w:val="30"/>
      <w:lang w:val="en-US" w:eastAsia="zh-CN" w:bidi="ar-SA"/>
    </w:rPr>
  </w:style>
  <w:style w:type="paragraph" w:customStyle="1" w:styleId="17">
    <w:name w:val="样式 50 三号"/>
    <w:next w:val="31"/>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18">
    <w:name w:val="样式 8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19">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20">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21">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22">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23">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24">
    <w:name w:val="样式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25">
    <w:name w:val="样式 10 磅"/>
    <w:pPr>
      <w:widowControl w:val="0"/>
      <w:jc w:val="both"/>
    </w:pPr>
    <w:rPr>
      <w:rFonts w:ascii="Calibri" w:eastAsia="宋体" w:cs="Calibri" w:hAnsi="Calibri"/>
      <w:kern w:val="2"/>
      <w:sz w:val="21"/>
      <w:szCs w:val="21"/>
      <w:lang w:val="en-US" w:eastAsia="zh-CN" w:bidi="ar-SA"/>
    </w:rPr>
  </w:style>
  <w:style w:type="paragraph" w:customStyle="1" w:styleId="26">
    <w:name w:val="样式 39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1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character" w:customStyle="1" w:styleId="28">
    <w:name w:val="h-control-text-cont1"/>
    <w:basedOn w:val="10"/>
  </w:style>
  <w:style w:type="paragraph" w:styleId="29">
    <w:name w:val="footer"/>
    <w:basedOn w:val="0"/>
    <w:pPr>
      <w:tabs>
        <w:tab w:val="center" w:pos="4153"/>
        <w:tab w:val="right" w:pos="8306"/>
      </w:tabs>
      <w:snapToGrid w:val="0"/>
      <w:jc w:val="left"/>
    </w:pPr>
    <w:rPr>
      <w:sz w:val="18"/>
      <w:szCs w:val="18"/>
    </w:rPr>
  </w:style>
  <w:style w:type="paragraph" w:styleId="30">
    <w:name w:val="toc 2"/>
    <w:basedOn w:val="0"/>
    <w:autoRedefine/>
    <w:next w:val="0"/>
    <w:pPr>
      <w:ind w:leftChars="200" w:left="200"/>
    </w:pPr>
  </w:style>
  <w:style w:type="paragraph" w:styleId="31">
    <w:name w:val="index 6"/>
    <w:basedOn w:val="0"/>
    <w:autoRedefine/>
    <w:next w:val="0"/>
    <w:pPr>
      <w:ind w:leftChars="1000" w:left="1000"/>
    </w:pPr>
  </w:style>
  <w:style w:type="paragraph" w:customStyle="1" w:styleId="32">
    <w:name w:val="样式 4 小四"/>
    <w:pPr>
      <w:widowControl w:val="0"/>
      <w:jc w:val="left"/>
    </w:pPr>
    <w:rPr>
      <w:rFonts w:ascii="宋体" w:eastAsia="宋体" w:cs="Times New Roman"/>
      <w:kern w:val="2"/>
      <w:sz w:val="24"/>
      <w:szCs w:val="21"/>
      <w:lang w:val="en-US" w:eastAsia="zh-CN" w:bidi="ar-SA"/>
    </w:rPr>
  </w:style>
  <w:style w:type="paragraph" w:styleId="33">
    <w:name w:val="header"/>
    <w:basedOn w:val="0"/>
    <w:pPr>
      <w:tabs>
        <w:tab w:val="center" w:pos="4153"/>
        <w:tab w:val="right" w:pos="8306"/>
      </w:tabs>
      <w:snapToGrid w:val="0"/>
      <w:jc w:val="center"/>
    </w:pPr>
    <w:rPr>
      <w:sz w:val="18"/>
      <w:szCs w:val="18"/>
    </w:rPr>
  </w:style>
  <w:style w:type="character" w:styleId="34">
    <w:name w:val="Hyperlink"/>
    <w:basedOn w:val="10"/>
    <w:rPr>
      <w:color w:val="0563C1"/>
      <w:u w:val="single"/>
    </w:rPr>
  </w:style>
  <w:style w:type="character" w:customStyle="1" w:styleId="35">
    <w:name w:val="Unresolved Mention"/>
    <w:basedOn w:val="10"/>
    <w:rPr>
      <w:color w:val="605E5C"/>
      <w:shd w:val="clear" w:color="auto" w:fill="E1DFDD"/>
    </w:rPr>
  </w:style>
  <w:style w:type="paragraph" w:customStyle="1" w:styleId="36">
    <w:name w:val="Revision"/>
    <w:pPr>
      <w:widowControl/>
      <w:jc w:val="left"/>
    </w:pPr>
    <w:rPr>
      <w:rFonts w:ascii="Times New Roman" w:eastAsia="方正仿宋_GBK" w:cs="Times New Roman" w:hAnsi="Times New Roman"/>
      <w:kern w:val="2"/>
      <w:sz w:val="32"/>
      <w:szCs w:val="32"/>
      <w:lang w:val="en-US" w:eastAsia="zh-CN" w:bidi="ar-SA"/>
    </w:rPr>
  </w:style>
  <w:style w:type="paragraph" w:customStyle="1" w:styleId="37">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38">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39">
    <w:name w:val="样式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40">
    <w:name w:val="样式 1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41">
    <w:name w:val="样式 2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42">
    <w:name w:val="样式 1 10 磅"/>
    <w:pPr>
      <w:widowControl w:val="0"/>
      <w:jc w:val="both"/>
    </w:pPr>
    <w:rPr>
      <w:rFonts w:ascii="Calibri" w:eastAsia="宋体" w:cs="Times New Roman" w:hAnsi="Calibri"/>
      <w:kern w:val="2"/>
      <w:sz w:val="21"/>
      <w:szCs w:val="22"/>
      <w:lang w:val="en-US" w:eastAsia="zh-CN" w:bidi="ar-SA"/>
    </w:rPr>
  </w:style>
  <w:style w:type="paragraph" w:customStyle="1" w:styleId="43">
    <w:name w:val="样式 3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44">
    <w:name w:val="样式 4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45">
    <w:name w:val="样式 5 三号"/>
    <w:pPr>
      <w:widowControl w:val="0"/>
      <w:jc w:val="both"/>
    </w:pPr>
    <w:rPr>
      <w:rFonts w:ascii="Times New Roman" w:eastAsia="方正仿宋_GBK" w:cs="Times New Roman" w:hAnsi="Times New Roman"/>
      <w:kern w:val="2"/>
      <w:sz w:val="32"/>
      <w:szCs w:val="32"/>
      <w:lang w:val="en-US" w:eastAsia="zh-CN" w:bidi="ar-SA"/>
    </w:rPr>
  </w:style>
  <w:style w:type="paragraph" w:styleId="46">
    <w:name w:val="Signature"/>
    <w:basedOn w:val="0"/>
    <w:pPr>
      <w:ind w:left="4320"/>
    </w:pPr>
  </w:style>
  <w:style w:type="paragraph" w:styleId="47">
    <w:name w:val="annotation text"/>
    <w:basedOn w:val="0"/>
    <w:pPr>
      <w:jc w:val="left"/>
    </w:pPr>
  </w:style>
  <w:style w:type="paragraph" w:styleId="48">
    <w:name w:val="List Bullet 2"/>
    <w:basedOn w:val="0"/>
    <w:pPr>
      <w:numPr>
        <w:ilvl w:val="0"/>
        <w:numId w:val="1"/>
      </w:numPr>
    </w:pPr>
  </w:style>
  <w:style w:type="paragraph" w:styleId="49">
    <w:name w:val="List Number 2"/>
    <w:basedOn w:val="0"/>
    <w:pPr>
      <w:numPr>
        <w:ilvl w:val="0"/>
        <w:numId w:val="2"/>
      </w:numPr>
    </w:pPr>
  </w:style>
  <w:style w:type="paragraph" w:styleId="50">
    <w:name w:val="annotation subject"/>
    <w:basedOn w:val="47"/>
    <w:next w:val="47"/>
    <w:rPr>
      <w:b/>
    </w:rPr>
  </w:style>
  <w:style w:type="paragraph" w:customStyle="1" w:styleId="51">
    <w:name w:val="样式 5 小四"/>
    <w:next w:val="4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52">
    <w:name w:val="样式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53">
    <w:name w:val="样式 6 三号"/>
    <w:pPr>
      <w:widowControl w:val="0"/>
      <w:jc w:val="left"/>
    </w:pPr>
    <w:rPr>
      <w:rFonts w:ascii="Times New Roman" w:eastAsia="方正仿宋_GBK" w:cs="Times New Roman" w:hAnsi="Times New Roman"/>
      <w:kern w:val="2"/>
      <w:sz w:val="32"/>
      <w:szCs w:val="22"/>
      <w:lang w:val="en-US" w:eastAsia="zh-CN" w:bidi="ar-SA"/>
    </w:rPr>
  </w:style>
  <w:style w:type="paragraph" w:customStyle="1" w:styleId="54">
    <w:name w:val="样式 7 三号"/>
    <w:pPr>
      <w:widowControl w:val="0"/>
      <w:jc w:val="left"/>
    </w:pPr>
    <w:rPr>
      <w:rFonts w:ascii="Times New Roman" w:eastAsia="方正仿宋_GBK" w:cs="Times New Roman" w:hAnsi="Times New Roman"/>
      <w:b/>
      <w:kern w:val="2"/>
      <w:sz w:val="32"/>
      <w:szCs w:val="22"/>
      <w:lang w:val="en-US" w:eastAsia="zh-CN" w:bidi="ar-SA"/>
    </w:rPr>
  </w:style>
  <w:style w:type="paragraph" w:customStyle="1" w:styleId="55">
    <w:name w:val="样式 2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56">
    <w:name w:val="样式 9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57">
    <w:name w:val="样式 10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58">
    <w:name w:val="样式 11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59">
    <w:name w:val="样式 1 小四"/>
    <w:next w:val="23"/>
    <w:pPr>
      <w:widowControl w:val="0"/>
    </w:pPr>
    <w:rPr>
      <w:rFonts w:ascii="宋体" w:eastAsia="宋体" w:cs="Times New Roman"/>
      <w:kern w:val="2"/>
      <w:sz w:val="24"/>
      <w:lang w:val="en-US" w:eastAsia="zh-CN" w:bidi="ar-SA"/>
    </w:rPr>
  </w:style>
  <w:style w:type="paragraph" w:customStyle="1" w:styleId="60">
    <w:name w:val="样式 3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61">
    <w:name w:val="样式 12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62">
    <w:name w:val="样式 13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63">
    <w:name w:val="样式 14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64">
    <w:name w:val="样式 15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65">
    <w:name w:val="样式 2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650</TotalTime>
  <Application>Yozo_Office</Application>
  <Pages>6</Pages>
  <Words>2735</Words>
  <Characters>2848</Characters>
  <Lines>448</Lines>
  <Paragraphs>316</Paragraphs>
  <CharactersWithSpaces>2848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yanlan huang</dc:creator>
  <cp:lastModifiedBy>刘书华</cp:lastModifiedBy>
  <cp:revision>27</cp:revision>
  <cp:lastPrinted>2025-01-14T01:19:07Z</cp:lastPrinted>
  <dcterms:created xsi:type="dcterms:W3CDTF">2025-01-06T02:52:00Z</dcterms:created>
  <dcterms:modified xsi:type="dcterms:W3CDTF">2025-01-26T07:51:18Z</dcterms:modified>
</cp:coreProperties>
</file>