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5"/>
        <w:widowControl/>
        <w:shd w:val="clear" w:color="auto" w:fill="FFFFFF"/>
        <w:spacing w:line="560" w:lineRule="exact"/>
        <w:jc w:val="center"/>
        <w:rPr>
          <w:rFonts w:ascii="方正小标宋_GBK" w:eastAsia="方正小标宋_GBK" w:cs="宋体"/>
          <w:color w:val="000000"/>
          <w:sz w:val="44"/>
          <w:szCs w:val="44"/>
          <w:shd w:val="clear" w:color="auto" w:fill="FFFFFF"/>
        </w:rPr>
      </w:pPr>
      <w:bookmarkStart w:id="0" w:name="_GoBack"/>
      <w:bookmarkEnd w:id="0"/>
      <w:r>
        <w:rPr>
          <w:rFonts w:ascii="方正小标宋_GBK" w:eastAsia="方正小标宋_GBK" w:cs="宋体" w:hint="eastAsia"/>
          <w:color w:val="000000"/>
          <w:sz w:val="44"/>
          <w:szCs w:val="44"/>
          <w:shd w:val="clear" w:color="auto" w:fill="FFFFFF"/>
        </w:rPr>
        <w:t>花都海关2023年政府信息公开工作年度报告</w:t>
      </w:r>
    </w:p>
    <w:p>
      <w:pPr>
        <w:pStyle w:val="15"/>
        <w:widowControl/>
        <w:shd w:val="clear" w:color="auto" w:fill="FFFFFF"/>
        <w:spacing w:before="0" w:beforeAutospacing="0" w:after="0" w:afterAutospacing="0" w:line="560" w:lineRule="exact"/>
        <w:jc w:val="center"/>
        <w:rPr>
          <w:rFonts w:ascii="方正小标宋_GBK" w:eastAsia="方正小标宋_GBK" w:cs="宋体"/>
          <w:color w:val="000000"/>
          <w:sz w:val="44"/>
          <w:szCs w:val="44"/>
        </w:rPr>
      </w:pPr>
    </w:p>
    <w:p>
      <w:pPr>
        <w:pStyle w:val="16"/>
        <w:adjustRightInd w:val="0"/>
        <w:snapToGrid w:val="0"/>
        <w:ind w:firstLineChars="200" w:firstLine="640"/>
        <w:rPr>
          <w:color w:val="000000"/>
          <w:spacing w:val="0"/>
          <w:kern w:val="0"/>
          <w:szCs w:val="32"/>
          <w:shd w:val="clear" w:color="auto" w:fill="FFFFFF"/>
        </w:rPr>
      </w:pPr>
      <w:r>
        <w:rPr>
          <w:rFonts w:hint="eastAsia"/>
          <w:color w:val="000000"/>
          <w:spacing w:val="0"/>
          <w:kern w:val="0"/>
          <w:szCs w:val="32"/>
          <w:shd w:val="clear" w:color="auto" w:fill="FFFFFF"/>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梳理编制花都海关2023年政府信息公开工作年报。年报中所列数据的统计期限，自2023年1月1日起至2023年12月31日止。如对本年报有疑问或有任何意见、建议，请联系花都海关办公室。地址：广东省广州市花都区建设北路79号，邮编：510800；电话：020-36913360；电子邮箱：huadu@customs.gov.cn。</w:t>
      </w:r>
    </w:p>
    <w:p>
      <w:pPr>
        <w:pStyle w:val="16"/>
        <w:adjustRightInd w:val="0"/>
        <w:snapToGrid w:val="0"/>
        <w:ind w:firstLineChars="200" w:firstLine="640"/>
        <w:rPr>
          <w:rFonts w:ascii="方正黑体_GBK" w:eastAsia="方正黑体_GBK"/>
          <w:color w:val="000000"/>
          <w:spacing w:val="0"/>
          <w:kern w:val="0"/>
          <w:szCs w:val="32"/>
          <w:shd w:val="clear" w:color="auto" w:fill="FFFFFF"/>
        </w:rPr>
      </w:pPr>
      <w:r>
        <w:rPr>
          <w:rFonts w:ascii="方正黑体_GBK" w:eastAsia="方正黑体_GBK" w:hint="eastAsia"/>
          <w:color w:val="000000"/>
          <w:spacing w:val="0"/>
          <w:kern w:val="0"/>
          <w:szCs w:val="32"/>
          <w:shd w:val="clear" w:color="auto" w:fill="FFFFFF"/>
        </w:rPr>
        <w:t>一、总体情况</w:t>
      </w:r>
    </w:p>
    <w:p>
      <w:pPr>
        <w:pStyle w:val="16"/>
        <w:adjustRightInd w:val="0"/>
        <w:snapToGrid w:val="0"/>
        <w:ind w:firstLineChars="200" w:firstLine="640"/>
        <w:rPr>
          <w:color w:val="000000"/>
          <w:spacing w:val="0"/>
          <w:kern w:val="0"/>
          <w:szCs w:val="32"/>
          <w:shd w:val="clear" w:color="auto" w:fill="FFFFFF"/>
        </w:rPr>
      </w:pPr>
      <w:r>
        <w:rPr>
          <w:rFonts w:hint="eastAsia"/>
          <w:color w:val="000000"/>
          <w:spacing w:val="0"/>
          <w:kern w:val="0"/>
          <w:szCs w:val="32"/>
          <w:shd w:val="clear" w:color="auto" w:fill="FFFFFF"/>
        </w:rPr>
        <w:t>2023年，花都海关以习近平新时代中国特色社会主义思想为指引，深入学习贯彻习近平总书记给红其拉甫海关全体关员的重要回信精神，全面落实国务院</w:t>
      </w:r>
      <w:r>
        <w:rPr>
          <w:color w:val="000000"/>
          <w:spacing w:val="0"/>
          <w:kern w:val="0"/>
          <w:szCs w:val="32"/>
          <w:shd w:val="clear" w:color="auto" w:fill="FFFFFF"/>
        </w:rPr>
        <w:t>、海关总署</w:t>
      </w:r>
      <w:r>
        <w:rPr>
          <w:rFonts w:hint="eastAsia"/>
          <w:color w:val="000000"/>
          <w:spacing w:val="0"/>
          <w:kern w:val="0"/>
          <w:szCs w:val="32"/>
          <w:shd w:val="clear" w:color="auto" w:fill="FFFFFF"/>
        </w:rPr>
        <w:t>关于推进政务公开工作的系列部署，严格执行《中华人民共和国政府信息公开条例》，结合关区实际，认真组织开展基层海关政府信息公开工作，提升政务服务工作实效，保障行政权力公开透明运行。</w:t>
      </w:r>
      <w:r>
        <w:rPr>
          <w:color w:val="000000"/>
          <w:spacing w:val="0"/>
          <w:kern w:val="0"/>
          <w:szCs w:val="32"/>
          <w:shd w:val="clear" w:color="auto" w:fill="FFFFFF"/>
        </w:rPr>
        <w:t>现将工作情况报告如下：</w:t>
      </w:r>
    </w:p>
    <w:p>
      <w:pPr>
        <w:pStyle w:val="16"/>
        <w:adjustRightInd w:val="0"/>
        <w:snapToGrid w:val="0"/>
        <w:rPr>
          <w:rFonts w:ascii="方正楷体_GBK" w:eastAsia="方正楷体_GBK"/>
          <w:b/>
          <w:color w:val="000000"/>
          <w:spacing w:val="0"/>
          <w:kern w:val="0"/>
          <w:szCs w:val="32"/>
          <w:shd w:val="clear" w:color="auto" w:fill="FFFFFF"/>
        </w:rPr>
      </w:pPr>
      <w:r>
        <w:rPr>
          <w:rFonts w:hint="eastAsia"/>
          <w:color w:val="000000"/>
          <w:spacing w:val="0"/>
          <w:kern w:val="0"/>
          <w:szCs w:val="32"/>
          <w:shd w:val="clear" w:color="auto" w:fill="FFFFFF"/>
        </w:rPr>
        <w:t>　　</w:t>
      </w:r>
      <w:r>
        <w:rPr>
          <w:rFonts w:ascii="方正楷体_GBK" w:eastAsia="方正楷体_GBK" w:hint="eastAsia"/>
          <w:b/>
          <w:color w:val="000000"/>
          <w:spacing w:val="0"/>
          <w:kern w:val="0"/>
          <w:szCs w:val="32"/>
          <w:shd w:val="clear" w:color="auto" w:fill="FFFFFF"/>
        </w:rPr>
        <w:t>（一）落实主动公开要求，提升执法透明度。</w:t>
      </w:r>
    </w:p>
    <w:p>
      <w:pPr>
        <w:pStyle w:val="16"/>
        <w:adjustRightInd w:val="0"/>
        <w:snapToGrid w:val="0"/>
        <w:ind w:firstLine="660"/>
        <w:rPr>
          <w:color w:val="000000"/>
          <w:spacing w:val="0"/>
          <w:kern w:val="0"/>
          <w:szCs w:val="32"/>
          <w:shd w:val="clear" w:color="auto" w:fill="FFFFFF"/>
        </w:rPr>
      </w:pPr>
      <w:r>
        <w:rPr>
          <w:rFonts w:hint="eastAsia"/>
          <w:color w:val="000000"/>
          <w:spacing w:val="0"/>
          <w:kern w:val="0"/>
          <w:szCs w:val="32"/>
          <w:shd w:val="clear" w:color="auto" w:fill="FFFFFF"/>
        </w:rPr>
        <w:t>花都海关严格执行政务公开工作部署，落实“双随机、一公开”要求，按照“谁主管、谁公示”原则，在广州海关门户网站主动公开花都海关职能信息、业务咨询渠道、财务预决算、行政执法决定等相关信息，</w:t>
      </w:r>
      <w:r>
        <w:rPr>
          <w:color w:val="000000"/>
          <w:spacing w:val="0"/>
          <w:kern w:val="0"/>
          <w:szCs w:val="32"/>
          <w:shd w:val="clear" w:color="auto" w:fill="FFFFFF"/>
        </w:rPr>
        <w:t>全</w:t>
      </w:r>
      <w:r>
        <w:rPr>
          <w:rFonts w:hint="eastAsia"/>
          <w:color w:val="000000"/>
          <w:spacing w:val="0"/>
          <w:kern w:val="0"/>
          <w:szCs w:val="32"/>
          <w:shd w:val="clear" w:color="auto" w:fill="FFFFFF"/>
        </w:rPr>
        <w:t>年</w:t>
      </w:r>
      <w:r>
        <w:rPr>
          <w:color w:val="000000"/>
          <w:spacing w:val="0"/>
          <w:kern w:val="0"/>
          <w:szCs w:val="32"/>
          <w:shd w:val="clear" w:color="auto" w:fill="FFFFFF"/>
        </w:rPr>
        <w:t>共</w:t>
      </w:r>
      <w:r>
        <w:rPr>
          <w:rFonts w:hint="eastAsia"/>
          <w:color w:val="000000"/>
          <w:spacing w:val="0"/>
          <w:kern w:val="0"/>
          <w:szCs w:val="32"/>
          <w:shd w:val="clear" w:color="auto" w:fill="FFFFFF"/>
        </w:rPr>
        <w:t>公示行政执法公示信息30条</w:t>
      </w:r>
      <w:r>
        <w:rPr>
          <w:color w:val="000000"/>
          <w:spacing w:val="0"/>
          <w:kern w:val="0"/>
          <w:szCs w:val="32"/>
          <w:shd w:val="clear" w:color="auto" w:fill="FFFFFF"/>
        </w:rPr>
        <w:t>、</w:t>
      </w:r>
      <w:r>
        <w:rPr>
          <w:rFonts w:hint="eastAsia"/>
          <w:color w:val="000000"/>
          <w:spacing w:val="0"/>
          <w:kern w:val="0"/>
          <w:szCs w:val="32"/>
          <w:shd w:val="clear" w:color="auto" w:fill="FFFFFF"/>
        </w:rPr>
        <w:t>财政信息4条。</w:t>
      </w:r>
      <w:r>
        <w:rPr>
          <w:color w:val="000000"/>
          <w:spacing w:val="0"/>
          <w:kern w:val="0"/>
          <w:szCs w:val="32"/>
          <w:shd w:val="clear" w:color="auto" w:fill="FFFFFF"/>
        </w:rPr>
        <w:t>年内</w:t>
      </w:r>
      <w:r>
        <w:rPr>
          <w:rFonts w:hint="eastAsia"/>
          <w:color w:val="000000"/>
          <w:spacing w:val="0"/>
          <w:kern w:val="0"/>
          <w:szCs w:val="32"/>
          <w:shd w:val="clear" w:color="auto" w:fill="FFFFFF"/>
        </w:rPr>
        <w:t>中央电视台、新华社、南方日报等各级媒体报道花都海关在强化监管优化服务、促进外贸高质量发展、提升跨境贸易便利化水平、RCEP政策宣贯等方面的工作成效160余次。</w:t>
      </w:r>
    </w:p>
    <w:p>
      <w:pPr>
        <w:pStyle w:val="16"/>
        <w:adjustRightInd w:val="0"/>
        <w:snapToGrid w:val="0"/>
        <w:ind w:firstLine="660"/>
        <w:rPr>
          <w:rFonts w:ascii="方正楷体_GBK" w:eastAsia="方正楷体_GBK"/>
          <w:b/>
          <w:color w:val="000000"/>
          <w:spacing w:val="0"/>
          <w:kern w:val="0"/>
          <w:szCs w:val="32"/>
          <w:shd w:val="clear" w:color="auto" w:fill="FFFFFF"/>
        </w:rPr>
      </w:pPr>
      <w:r>
        <w:rPr>
          <w:rFonts w:ascii="方正楷体_GBK" w:eastAsia="方正楷体_GBK" w:hint="eastAsia"/>
          <w:b/>
          <w:color w:val="000000"/>
          <w:spacing w:val="0"/>
          <w:kern w:val="0"/>
          <w:szCs w:val="32"/>
          <w:shd w:val="clear" w:color="auto" w:fill="FFFFFF"/>
        </w:rPr>
        <w:t>（二）畅顺依申请公开渠道，促进流程标准化。</w:t>
      </w:r>
    </w:p>
    <w:p>
      <w:pPr>
        <w:pStyle w:val="16"/>
        <w:adjustRightInd w:val="0"/>
        <w:snapToGrid w:val="0"/>
        <w:ind w:firstLineChars="200" w:firstLine="640"/>
        <w:rPr>
          <w:color w:val="000000"/>
          <w:spacing w:val="0"/>
          <w:kern w:val="0"/>
          <w:szCs w:val="32"/>
          <w:shd w:val="clear" w:color="auto" w:fill="FFFFFF"/>
        </w:rPr>
      </w:pPr>
      <w:r>
        <w:rPr>
          <w:rFonts w:hint="eastAsia"/>
          <w:color w:val="000000"/>
          <w:spacing w:val="0"/>
          <w:kern w:val="0"/>
          <w:szCs w:val="32"/>
          <w:shd w:val="clear" w:color="auto" w:fill="FFFFFF"/>
        </w:rPr>
        <w:t>畅顺电子邮箱、电话、快递等政府信息公开申请</w:t>
      </w:r>
      <w:r>
        <w:rPr>
          <w:color w:val="000000"/>
          <w:spacing w:val="0"/>
          <w:kern w:val="0"/>
          <w:szCs w:val="32"/>
          <w:shd w:val="clear" w:color="auto" w:fill="FFFFFF"/>
        </w:rPr>
        <w:t>受理</w:t>
      </w:r>
      <w:r>
        <w:rPr>
          <w:rFonts w:hint="eastAsia"/>
          <w:color w:val="000000"/>
          <w:spacing w:val="0"/>
          <w:kern w:val="0"/>
          <w:szCs w:val="32"/>
          <w:shd w:val="clear" w:color="auto" w:fill="FFFFFF"/>
        </w:rPr>
        <w:t>渠道，确保及时接收。</w:t>
      </w:r>
      <w:r>
        <w:rPr>
          <w:color w:val="000000"/>
          <w:spacing w:val="0"/>
          <w:kern w:val="0"/>
          <w:szCs w:val="32"/>
          <w:shd w:val="clear" w:color="auto" w:fill="FFFFFF"/>
        </w:rPr>
        <w:t>认真梳理</w:t>
      </w:r>
      <w:r>
        <w:rPr>
          <w:rFonts w:hint="eastAsia"/>
          <w:color w:val="000000"/>
          <w:spacing w:val="0"/>
          <w:kern w:val="0"/>
          <w:szCs w:val="32"/>
          <w:shd w:val="clear" w:color="auto" w:fill="FFFFFF"/>
        </w:rPr>
        <w:t>总结2022年依申请公开办理经验和不足，认真学习相关法律、文件，进一步梳理</w:t>
      </w:r>
      <w:r>
        <w:rPr>
          <w:color w:val="000000"/>
          <w:spacing w:val="0"/>
          <w:kern w:val="0"/>
          <w:szCs w:val="32"/>
          <w:shd w:val="clear" w:color="auto" w:fill="FFFFFF"/>
        </w:rPr>
        <w:t>并</w:t>
      </w:r>
      <w:r>
        <w:rPr>
          <w:rFonts w:hint="eastAsia"/>
          <w:color w:val="000000"/>
          <w:spacing w:val="0"/>
          <w:kern w:val="0"/>
          <w:szCs w:val="32"/>
          <w:shd w:val="clear" w:color="auto" w:fill="FFFFFF"/>
        </w:rPr>
        <w:t>规范依申请公开工作流程，明确</w:t>
      </w:r>
      <w:r>
        <w:rPr>
          <w:color w:val="000000"/>
          <w:spacing w:val="0"/>
          <w:kern w:val="0"/>
          <w:szCs w:val="32"/>
          <w:shd w:val="clear" w:color="auto" w:fill="FFFFFF"/>
        </w:rPr>
        <w:t>岗位</w:t>
      </w:r>
      <w:r>
        <w:rPr>
          <w:rFonts w:hint="eastAsia"/>
          <w:color w:val="000000"/>
          <w:spacing w:val="0"/>
          <w:kern w:val="0"/>
          <w:szCs w:val="32"/>
          <w:shd w:val="clear" w:color="auto" w:fill="FFFFFF"/>
        </w:rPr>
        <w:t>人员工作职责</w:t>
      </w:r>
      <w:r>
        <w:rPr>
          <w:color w:val="000000"/>
          <w:spacing w:val="0"/>
          <w:kern w:val="0"/>
          <w:szCs w:val="32"/>
          <w:shd w:val="clear" w:color="auto" w:fill="FFFFFF"/>
        </w:rPr>
        <w:t>。</w:t>
      </w:r>
      <w:r>
        <w:rPr>
          <w:rFonts w:hint="eastAsia"/>
          <w:color w:val="000000"/>
          <w:spacing w:val="0"/>
          <w:kern w:val="0"/>
          <w:szCs w:val="32"/>
          <w:shd w:val="clear" w:color="auto" w:fill="FFFFFF"/>
        </w:rPr>
        <w:t>2023年未收到政府信息公开申请事项。</w:t>
      </w:r>
    </w:p>
    <w:p>
      <w:pPr>
        <w:pStyle w:val="16"/>
        <w:adjustRightInd w:val="0"/>
        <w:snapToGrid w:val="0"/>
        <w:ind w:firstLineChars="200" w:firstLine="640"/>
        <w:rPr>
          <w:rFonts w:ascii="方正楷体_GBK" w:eastAsia="方正楷体_GBK"/>
          <w:b/>
          <w:color w:val="000000"/>
          <w:spacing w:val="0"/>
          <w:kern w:val="0"/>
          <w:szCs w:val="32"/>
          <w:shd w:val="clear" w:color="auto" w:fill="FFFFFF"/>
        </w:rPr>
      </w:pPr>
      <w:r>
        <w:rPr>
          <w:rFonts w:ascii="方正楷体_GBK" w:eastAsia="方正楷体_GBK" w:hint="eastAsia"/>
          <w:b/>
          <w:color w:val="000000"/>
          <w:spacing w:val="0"/>
          <w:kern w:val="0"/>
          <w:szCs w:val="32"/>
          <w:shd w:val="clear" w:color="auto" w:fill="FFFFFF"/>
        </w:rPr>
        <w:t>（三）严格政府信息管理，确保公开规范性。</w:t>
      </w:r>
    </w:p>
    <w:p>
      <w:pPr>
        <w:pStyle w:val="16"/>
        <w:adjustRightInd w:val="0"/>
        <w:snapToGrid w:val="0"/>
        <w:ind w:firstLineChars="200" w:firstLine="640"/>
        <w:rPr>
          <w:color w:val="000000"/>
          <w:spacing w:val="0"/>
          <w:kern w:val="0"/>
          <w:szCs w:val="32"/>
          <w:shd w:val="clear" w:color="auto" w:fill="FFFFFF"/>
        </w:rPr>
      </w:pPr>
      <w:r>
        <w:rPr>
          <w:rFonts w:hint="eastAsia"/>
          <w:color w:val="000000"/>
          <w:spacing w:val="0"/>
          <w:kern w:val="0"/>
          <w:szCs w:val="32"/>
          <w:shd w:val="clear" w:color="auto" w:fill="FFFFFF"/>
        </w:rPr>
        <w:t>压紧压实政府信息公开主体责任，准确判定信息属性，严格落实信息公开发布审查制度，对审查材料做好归档，按照时限要求规范公开信息。根据机构职能和人员设置变化情况，及时维护更新政务公开栏对外公告、标识牌、流程图，全年累计更新政务公开标识15次，张贴海关公告57份。</w:t>
      </w:r>
    </w:p>
    <w:p>
      <w:pPr>
        <w:pStyle w:val="16"/>
        <w:adjustRightInd w:val="0"/>
        <w:snapToGrid w:val="0"/>
        <w:ind w:firstLineChars="200" w:firstLine="640"/>
        <w:rPr>
          <w:rFonts w:ascii="方正楷体_GBK" w:eastAsia="方正楷体_GBK"/>
          <w:b/>
          <w:color w:val="000000"/>
          <w:spacing w:val="0"/>
          <w:kern w:val="0"/>
          <w:szCs w:val="32"/>
          <w:shd w:val="clear" w:color="auto" w:fill="FFFFFF"/>
        </w:rPr>
      </w:pPr>
      <w:r>
        <w:rPr>
          <w:rFonts w:ascii="方正楷体_GBK" w:eastAsia="方正楷体_GBK" w:hint="eastAsia"/>
          <w:b/>
          <w:color w:val="000000"/>
          <w:spacing w:val="0"/>
          <w:kern w:val="0"/>
          <w:szCs w:val="32"/>
          <w:shd w:val="clear" w:color="auto" w:fill="FFFFFF"/>
        </w:rPr>
        <w:t>（四）优化公开平台建设，搭建关企连心桥。</w:t>
      </w:r>
    </w:p>
    <w:p>
      <w:pPr>
        <w:spacing w:line="560" w:lineRule="exact"/>
        <w:ind w:firstLineChars="200" w:firstLine="640"/>
        <w:rPr>
          <w:rFonts w:ascii="Times New Roman" w:eastAsia="方正仿宋_GBK" w:cs="Times New Roman" w:hAnsi="Times New Roman"/>
          <w:color w:val="000000"/>
          <w:kern w:val="0"/>
          <w:sz w:val="32"/>
          <w:szCs w:val="32"/>
          <w:shd w:val="clear" w:color="auto" w:fill="FFFFFF"/>
        </w:rPr>
      </w:pPr>
      <w:r>
        <w:rPr>
          <w:rFonts w:ascii="Times New Roman" w:eastAsia="方正仿宋_GBK" w:cs="Times New Roman" w:hAnsi="Times New Roman" w:hint="eastAsia"/>
          <w:color w:val="000000"/>
          <w:kern w:val="0"/>
          <w:sz w:val="32"/>
          <w:szCs w:val="32"/>
          <w:shd w:val="clear" w:color="auto" w:fill="FFFFFF"/>
        </w:rPr>
        <w:t>花都海关以“为民、便民、利民”为出发点和落脚点，推进基层政府信息公开平台标准化规范化建设，将政务公开线上与线下、政务公开与政务服务相结合，以促进政务公开与政务服务深度融合为目标，创立</w:t>
      </w:r>
      <w:r>
        <w:rPr>
          <w:rFonts w:ascii="Times New Roman" w:eastAsia="方正仿宋_GBK" w:cs="Times New Roman" w:hAnsi="Times New Roman"/>
          <w:color w:val="000000"/>
          <w:kern w:val="0"/>
          <w:sz w:val="32"/>
          <w:szCs w:val="32"/>
          <w:shd w:val="clear" w:color="auto" w:fill="FFFFFF"/>
        </w:rPr>
        <w:t>花都海关</w:t>
      </w:r>
      <w:r>
        <w:rPr>
          <w:rFonts w:ascii="Times New Roman" w:eastAsia="方正仿宋_GBK" w:cs="Times New Roman" w:hAnsi="Times New Roman" w:hint="eastAsia"/>
          <w:color w:val="000000"/>
          <w:kern w:val="0"/>
          <w:sz w:val="32"/>
          <w:szCs w:val="32"/>
          <w:shd w:val="clear" w:color="auto" w:fill="FFFFFF"/>
        </w:rPr>
        <w:t>“关企连心桥”</w:t>
      </w:r>
      <w:r>
        <w:rPr>
          <w:rFonts w:ascii="Times New Roman" w:eastAsia="方正仿宋_GBK" w:cs="Times New Roman" w:hAnsi="Times New Roman"/>
          <w:color w:val="000000"/>
          <w:kern w:val="0"/>
          <w:sz w:val="32"/>
          <w:szCs w:val="32"/>
          <w:shd w:val="clear" w:color="auto" w:fill="FFFFFF"/>
        </w:rPr>
        <w:t>基层</w:t>
      </w:r>
      <w:r>
        <w:rPr>
          <w:rFonts w:ascii="Times New Roman" w:eastAsia="方正仿宋_GBK" w:cs="Times New Roman" w:hAnsi="Times New Roman" w:hint="eastAsia"/>
          <w:color w:val="000000"/>
          <w:kern w:val="0"/>
          <w:sz w:val="32"/>
          <w:szCs w:val="32"/>
          <w:shd w:val="clear" w:color="auto" w:fill="FFFFFF"/>
        </w:rPr>
        <w:t>政务公开品牌，完成政务公开专区建设，改进政务服务水平，大力提升群众的获得感和满意度。多种形式组织“海关进企业、海关进社区、海关进校园”——“三进”品牌活动，全年累计开展活动35次，服务企业、社区居民、学校师生数共计1763。持续拓展政策解读深度和广度，结合花都区汽车、化妆品、箱包皮具、声光电等重点产业企业需求，通过“线上+线下”方式开展政策宣讲120余次。对照主题教育活动要求深入开展调研，通过“关长联系企业”、企业协调员工作机制，调研企业145家、收集并解决企业诉求73项。</w:t>
      </w:r>
    </w:p>
    <w:p>
      <w:pPr>
        <w:pStyle w:val="16"/>
        <w:adjustRightInd w:val="0"/>
        <w:snapToGrid w:val="0"/>
        <w:ind w:firstLineChars="200" w:firstLine="640"/>
        <w:rPr>
          <w:rFonts w:ascii="方正楷体_GBK" w:eastAsia="方正楷体_GBK"/>
          <w:b/>
          <w:color w:val="000000"/>
          <w:spacing w:val="0"/>
          <w:kern w:val="0"/>
          <w:szCs w:val="32"/>
          <w:shd w:val="clear" w:color="auto" w:fill="FFFFFF"/>
        </w:rPr>
      </w:pPr>
      <w:r>
        <w:rPr>
          <w:rFonts w:ascii="方正楷体_GBK" w:eastAsia="方正楷体_GBK" w:hint="eastAsia"/>
          <w:b/>
          <w:color w:val="000000"/>
          <w:spacing w:val="0"/>
          <w:kern w:val="0"/>
          <w:szCs w:val="32"/>
          <w:shd w:val="clear" w:color="auto" w:fill="FFFFFF"/>
        </w:rPr>
        <w:t>（五）做好公开监督保障，提高公开准确率。</w:t>
      </w:r>
    </w:p>
    <w:p>
      <w:pPr>
        <w:spacing w:line="560" w:lineRule="exact"/>
        <w:ind w:firstLineChars="200" w:firstLine="640"/>
        <w:rPr>
          <w:rFonts w:ascii="Times New Roman" w:eastAsia="方正仿宋_GBK" w:cs="Times New Roman" w:hAnsi="Times New Roman"/>
          <w:color w:val="000000"/>
          <w:kern w:val="0"/>
          <w:sz w:val="32"/>
          <w:szCs w:val="32"/>
          <w:shd w:val="clear" w:color="auto" w:fill="FFFFFF"/>
        </w:rPr>
      </w:pPr>
      <w:r>
        <w:rPr>
          <w:rFonts w:ascii="Times New Roman" w:eastAsia="方正仿宋_GBK" w:cs="Times New Roman" w:hAnsi="Times New Roman" w:hint="eastAsia"/>
          <w:color w:val="000000"/>
          <w:kern w:val="0"/>
          <w:sz w:val="32"/>
          <w:szCs w:val="32"/>
          <w:shd w:val="clear" w:color="auto" w:fill="FFFFFF"/>
        </w:rPr>
        <w:t>不定期</w:t>
      </w:r>
      <w:r>
        <w:rPr>
          <w:rFonts w:ascii="Times New Roman" w:eastAsia="方正仿宋_GBK" w:cs="Times New Roman" w:hAnsi="Times New Roman"/>
          <w:color w:val="000000"/>
          <w:kern w:val="0"/>
          <w:sz w:val="32"/>
          <w:szCs w:val="32"/>
          <w:shd w:val="clear" w:color="auto" w:fill="FFFFFF"/>
        </w:rPr>
        <w:t>自查</w:t>
      </w:r>
      <w:r>
        <w:rPr>
          <w:rFonts w:ascii="Times New Roman" w:eastAsia="方正仿宋_GBK" w:cs="Times New Roman" w:hAnsi="Times New Roman" w:hint="eastAsia"/>
          <w:color w:val="000000"/>
          <w:kern w:val="0"/>
          <w:sz w:val="32"/>
          <w:szCs w:val="32"/>
          <w:shd w:val="clear" w:color="auto" w:fill="FFFFFF"/>
        </w:rPr>
        <w:t>信息公开发布审查制度执行情况、政府信息公开时效性</w:t>
      </w:r>
      <w:r>
        <w:rPr>
          <w:rFonts w:ascii="Times New Roman" w:eastAsia="方正仿宋_GBK" w:cs="Times New Roman" w:hAnsi="Times New Roman"/>
          <w:color w:val="000000"/>
          <w:kern w:val="0"/>
          <w:sz w:val="32"/>
          <w:szCs w:val="32"/>
          <w:shd w:val="clear" w:color="auto" w:fill="FFFFFF"/>
        </w:rPr>
        <w:t>及</w:t>
      </w:r>
      <w:r>
        <w:rPr>
          <w:rFonts w:ascii="Times New Roman" w:eastAsia="方正仿宋_GBK" w:cs="Times New Roman" w:hAnsi="Times New Roman" w:hint="eastAsia"/>
          <w:color w:val="000000"/>
          <w:kern w:val="0"/>
          <w:sz w:val="32"/>
          <w:szCs w:val="32"/>
          <w:shd w:val="clear" w:color="auto" w:fill="FFFFFF"/>
        </w:rPr>
        <w:t>准确性，提高对外发布信息的</w:t>
      </w:r>
      <w:r>
        <w:rPr>
          <w:rFonts w:ascii="Times New Roman" w:eastAsia="方正仿宋_GBK" w:cs="Times New Roman" w:hAnsi="Times New Roman"/>
          <w:color w:val="000000"/>
          <w:kern w:val="0"/>
          <w:sz w:val="32"/>
          <w:szCs w:val="32"/>
          <w:shd w:val="clear" w:color="auto" w:fill="FFFFFF"/>
        </w:rPr>
        <w:t>权威性</w:t>
      </w:r>
      <w:r>
        <w:rPr>
          <w:rFonts w:ascii="Times New Roman" w:eastAsia="方正仿宋_GBK" w:cs="Times New Roman" w:hAnsi="Times New Roman" w:hint="eastAsia"/>
          <w:color w:val="000000"/>
          <w:kern w:val="0"/>
          <w:sz w:val="32"/>
          <w:szCs w:val="32"/>
          <w:shd w:val="clear" w:color="auto" w:fill="FFFFFF"/>
        </w:rPr>
        <w:t>。强化政府信息公开业务培训，提升工作人员责任心，促使</w:t>
      </w:r>
      <w:r>
        <w:rPr>
          <w:rFonts w:ascii="Times New Roman" w:eastAsia="方正仿宋_GBK" w:cs="Times New Roman" w:hAnsi="Times New Roman"/>
          <w:color w:val="000000"/>
          <w:kern w:val="0"/>
          <w:sz w:val="32"/>
          <w:szCs w:val="32"/>
          <w:shd w:val="clear" w:color="auto" w:fill="FFFFFF"/>
        </w:rPr>
        <w:t>岗位</w:t>
      </w:r>
      <w:r>
        <w:rPr>
          <w:rFonts w:ascii="Times New Roman" w:eastAsia="方正仿宋_GBK" w:cs="Times New Roman" w:hAnsi="Times New Roman" w:hint="eastAsia"/>
          <w:color w:val="000000"/>
          <w:kern w:val="0"/>
          <w:sz w:val="32"/>
          <w:szCs w:val="32"/>
          <w:shd w:val="clear" w:color="auto" w:fill="FFFFFF"/>
        </w:rPr>
        <w:t>人员全面掌握政府信息管理要求。关领导定期听取政务公开工作情况报告，对优化政务公开提出具体指导意见，促使政务公开工作开展更加规范、有序。</w:t>
      </w:r>
    </w:p>
    <w:p>
      <w:pPr>
        <w:pStyle w:val="16"/>
        <w:adjustRightInd w:val="0"/>
        <w:snapToGrid w:val="0"/>
        <w:ind w:firstLineChars="200" w:firstLine="624"/>
        <w:rPr>
          <w:rFonts w:ascii="方正黑体_GBK" w:eastAsia="方正黑体_GBK" w:cs="楷体_GB2312"/>
          <w:bCs/>
          <w:szCs w:val="32"/>
          <w:shd w:val="clear" w:color="auto" w:fill="FFFFFF"/>
        </w:rPr>
      </w:pPr>
      <w:r>
        <w:rPr>
          <w:rFonts w:ascii="方正黑体_GBK" w:eastAsia="方正黑体_GBK" w:cs="楷体_GB2312" w:hint="eastAsia"/>
          <w:bCs/>
          <w:szCs w:val="32"/>
          <w:shd w:val="clear" w:color="auto" w:fill="FFFFFF"/>
        </w:rPr>
        <w:t>二、主动公开政府信息情况</w:t>
      </w:r>
    </w:p>
    <w:tbl>
      <w:tblPr>
        <w:jc w:val="center"/>
        <w:tblW w:w="899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2719"/>
        <w:gridCol w:w="2183"/>
        <w:gridCol w:w="1936"/>
        <w:gridCol w:w="2156"/>
      </w:tblGrid>
      <w:tr>
        <w:trPr>
          <w:trHeight w:val="495"/>
        </w:trPr>
        <w:tc>
          <w:tcPr>
            <w:tcW w:w="8994" w:type="dxa"/>
            <w:gridSpan w:val="4"/>
            <w:tcBorders>
              <w:top w:val="single" w:sz="8" w:space="0" w:color="auto"/>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第二十条第（一）项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信息内容</w:t>
            </w:r>
          </w:p>
        </w:tc>
        <w:tc>
          <w:tcPr>
            <w:tcW w:w="2183"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本年</w:t>
            </w:r>
            <w:r>
              <w:rPr>
                <w:kern w:val="0"/>
                <w:sz w:val="24"/>
                <w:szCs w:val="24"/>
              </w:rPr>
              <w:t>制发件数</w:t>
            </w:r>
          </w:p>
        </w:tc>
        <w:tc>
          <w:tcPr>
            <w:tcW w:w="1936"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本年废止件</w:t>
            </w:r>
            <w:r>
              <w:rPr>
                <w:kern w:val="0"/>
                <w:sz w:val="24"/>
                <w:szCs w:val="24"/>
              </w:rPr>
              <w:t>数</w:t>
            </w:r>
          </w:p>
        </w:tc>
        <w:tc>
          <w:tcPr>
            <w:tcW w:w="2156" w:type="dxa"/>
            <w:tcBorders>
              <w:top w:val="nil"/>
              <w:left w:val="nil"/>
              <w:bottom w:val="single" w:sz="8" w:space="0" w:color="auto"/>
              <w:right w:val="single" w:sz="8" w:space="0" w:color="auto"/>
            </w:tcBorders>
            <w:shd w:val="clear" w:color="auto" w:fill="auto"/>
            <w:vAlign w:val="center"/>
          </w:tcPr>
          <w:p>
            <w:pPr>
              <w:pStyle w:val="18"/>
              <w:widowControl/>
              <w:spacing w:line="560" w:lineRule="exact"/>
              <w:jc w:val="center"/>
              <w:rPr>
                <w:sz w:val="24"/>
                <w:szCs w:val="24"/>
              </w:rPr>
            </w:pPr>
            <w:r>
              <w:rPr>
                <w:rFonts w:ascii="宋体" w:cs="宋体" w:hint="eastAsia"/>
                <w:kern w:val="0"/>
                <w:sz w:val="24"/>
                <w:szCs w:val="24"/>
              </w:rPr>
              <w:t>现行有效件数</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djustRightInd w:val="0"/>
              <w:snapToGrid w:val="0"/>
              <w:spacing w:line="560" w:lineRule="exact"/>
              <w:jc w:val="center"/>
              <w:rPr>
                <w:sz w:val="24"/>
                <w:szCs w:val="24"/>
              </w:rPr>
            </w:pPr>
            <w:r>
              <w:rPr>
                <w:rFonts w:ascii="宋体" w:cs="宋体" w:hint="eastAsia"/>
                <w:kern w:val="0"/>
                <w:sz w:val="24"/>
                <w:szCs w:val="24"/>
              </w:rPr>
              <w:t>规章</w:t>
            </w:r>
          </w:p>
        </w:tc>
        <w:tc>
          <w:tcPr>
            <w:tcW w:w="2183"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pacing w:line="560" w:lineRule="exact"/>
              <w:jc w:val="center"/>
              <w:rPr>
                <w:rFonts w:eastAsia="方正仿宋_GBK"/>
                <w:sz w:val="24"/>
                <w:szCs w:val="24"/>
              </w:rPr>
            </w:pPr>
            <w:r>
              <w:rPr>
                <w:rFonts w:eastAsia="方正仿宋_GBK" w:hint="eastAsia"/>
                <w:sz w:val="24"/>
                <w:szCs w:val="24"/>
              </w:rPr>
              <w:t>0</w:t>
            </w:r>
          </w:p>
        </w:tc>
        <w:tc>
          <w:tcPr>
            <w:tcW w:w="193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pacing w:line="560" w:lineRule="exact"/>
              <w:jc w:val="center"/>
              <w:rPr>
                <w:rFonts w:eastAsia="方正仿宋_GBK"/>
                <w:sz w:val="24"/>
                <w:szCs w:val="24"/>
              </w:rPr>
            </w:pPr>
            <w:r>
              <w:rPr>
                <w:rFonts w:eastAsia="方正仿宋_GBK" w:hint="eastAsia"/>
                <w:sz w:val="24"/>
                <w:szCs w:val="24"/>
              </w:rPr>
              <w:t>0</w:t>
            </w:r>
          </w:p>
        </w:tc>
        <w:tc>
          <w:tcPr>
            <w:tcW w:w="2156" w:type="dxa"/>
            <w:tcBorders>
              <w:top w:val="nil"/>
              <w:left w:val="nil"/>
              <w:bottom w:val="single" w:sz="8" w:space="0" w:color="auto"/>
              <w:right w:val="single" w:sz="8" w:space="0" w:color="auto"/>
            </w:tcBorders>
            <w:shd w:val="clear" w:color="auto" w:fill="auto"/>
            <w:vAlign w:val="center"/>
          </w:tcPr>
          <w:p>
            <w:pPr>
              <w:pStyle w:val="18"/>
              <w:spacing w:line="560" w:lineRule="exact"/>
              <w:jc w:val="center"/>
              <w:rPr>
                <w:rFonts w:eastAsia="方正仿宋_GBK"/>
                <w:sz w:val="24"/>
                <w:szCs w:val="24"/>
              </w:rPr>
            </w:pPr>
            <w:r>
              <w:rPr>
                <w:rFonts w:eastAsia="方正仿宋_GBK" w:hint="eastAsia"/>
                <w:sz w:val="24"/>
                <w:szCs w:val="24"/>
              </w:rPr>
              <w:t>0</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djustRightInd w:val="0"/>
              <w:snapToGrid w:val="0"/>
              <w:spacing w:line="560" w:lineRule="exact"/>
              <w:jc w:val="center"/>
              <w:rPr>
                <w:sz w:val="24"/>
                <w:szCs w:val="24"/>
              </w:rPr>
            </w:pPr>
            <w:r>
              <w:rPr>
                <w:rFonts w:ascii="宋体" w:cs="宋体" w:hint="eastAsia"/>
                <w:kern w:val="0"/>
                <w:sz w:val="24"/>
                <w:szCs w:val="24"/>
              </w:rPr>
              <w:t>行政规范性文件</w:t>
            </w:r>
          </w:p>
        </w:tc>
        <w:tc>
          <w:tcPr>
            <w:tcW w:w="2183"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pacing w:line="560" w:lineRule="exact"/>
              <w:jc w:val="center"/>
              <w:rPr>
                <w:rFonts w:eastAsia="方正仿宋_GBK"/>
                <w:sz w:val="24"/>
                <w:szCs w:val="24"/>
              </w:rPr>
            </w:pPr>
            <w:r>
              <w:rPr>
                <w:rFonts w:eastAsia="方正仿宋_GBK" w:hint="eastAsia"/>
                <w:sz w:val="24"/>
                <w:szCs w:val="24"/>
              </w:rPr>
              <w:t>0</w:t>
            </w:r>
          </w:p>
        </w:tc>
        <w:tc>
          <w:tcPr>
            <w:tcW w:w="193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spacing w:line="560" w:lineRule="exact"/>
              <w:jc w:val="center"/>
              <w:rPr>
                <w:rFonts w:eastAsia="方正仿宋_GBK"/>
                <w:sz w:val="24"/>
                <w:szCs w:val="24"/>
              </w:rPr>
            </w:pPr>
            <w:r>
              <w:rPr>
                <w:rFonts w:eastAsia="方正仿宋_GBK" w:hint="eastAsia"/>
                <w:sz w:val="24"/>
                <w:szCs w:val="24"/>
              </w:rPr>
              <w:t>0</w:t>
            </w:r>
          </w:p>
        </w:tc>
        <w:tc>
          <w:tcPr>
            <w:tcW w:w="2156" w:type="dxa"/>
            <w:tcBorders>
              <w:top w:val="nil"/>
              <w:left w:val="nil"/>
              <w:bottom w:val="single" w:sz="8" w:space="0" w:color="auto"/>
              <w:right w:val="single" w:sz="8" w:space="0" w:color="auto"/>
            </w:tcBorders>
            <w:shd w:val="clear" w:color="auto" w:fill="auto"/>
            <w:vAlign w:val="center"/>
          </w:tcPr>
          <w:p>
            <w:pPr>
              <w:pStyle w:val="18"/>
              <w:spacing w:line="560" w:lineRule="exact"/>
              <w:jc w:val="center"/>
              <w:rPr>
                <w:rFonts w:eastAsia="方正仿宋_GBK"/>
                <w:sz w:val="24"/>
                <w:szCs w:val="24"/>
              </w:rPr>
            </w:pPr>
            <w:r>
              <w:rPr>
                <w:rFonts w:eastAsia="方正仿宋_GBK" w:hint="eastAsia"/>
                <w:sz w:val="24"/>
                <w:szCs w:val="24"/>
              </w:rPr>
              <w:t>0</w:t>
            </w:r>
          </w:p>
        </w:tc>
      </w:tr>
      <w:tr>
        <w:trPr>
          <w:trHeight w:val="435"/>
        </w:trPr>
        <w:tc>
          <w:tcPr>
            <w:tcW w:w="8994" w:type="dxa"/>
            <w:gridSpan w:val="4"/>
            <w:tcBorders>
              <w:top w:val="nil"/>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第二十条第（五）项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9"/>
              <w:widowControl/>
              <w:adjustRightInd w:val="0"/>
              <w:snapToGrid w:val="0"/>
              <w:spacing w:line="560" w:lineRule="exact"/>
              <w:jc w:val="center"/>
              <w:rPr>
                <w:sz w:val="24"/>
                <w:szCs w:val="24"/>
              </w:rPr>
            </w:pPr>
            <w:r>
              <w:rPr>
                <w:rFonts w:ascii="宋体" w:cs="宋体" w:hint="eastAsia"/>
                <w:kern w:val="0"/>
                <w:sz w:val="24"/>
                <w:szCs w:val="24"/>
              </w:rPr>
              <w:t>本年处理决定数量</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djustRightInd w:val="0"/>
              <w:snapToGrid w:val="0"/>
              <w:spacing w:line="560" w:lineRule="exact"/>
              <w:jc w:val="center"/>
              <w:rPr>
                <w:sz w:val="24"/>
                <w:szCs w:val="24"/>
              </w:rPr>
            </w:pPr>
            <w:r>
              <w:rPr>
                <w:rFonts w:ascii="宋体" w:cs="宋体" w:hint="eastAsia"/>
                <w:kern w:val="0"/>
                <w:sz w:val="24"/>
                <w:szCs w:val="24"/>
              </w:rPr>
              <w:t>行政许可</w:t>
            </w:r>
          </w:p>
        </w:tc>
        <w:tc>
          <w:tcPr>
            <w:tcW w:w="6275" w:type="dxa"/>
            <w:gridSpan w:val="3"/>
            <w:tcBorders>
              <w:top w:val="nil"/>
              <w:left w:val="nil"/>
              <w:bottom w:val="single" w:sz="8" w:space="0" w:color="auto"/>
              <w:right w:val="single" w:sz="8" w:space="0" w:color="auto"/>
            </w:tcBorders>
            <w:shd w:val="clear" w:color="auto" w:fill="auto"/>
            <w:tcMar>
              <w:left w:w="108" w:type="dxa"/>
              <w:right w:w="108" w:type="dxa"/>
            </w:tcMar>
            <w:vAlign w:val="center"/>
          </w:tcPr>
          <w:p>
            <w:pPr>
              <w:pStyle w:val="22"/>
              <w:spacing w:line="560" w:lineRule="exact"/>
              <w:jc w:val="center"/>
              <w:rPr>
                <w:rFonts w:eastAsia="方正仿宋_GBK" w:cs="宋体"/>
                <w:sz w:val="24"/>
                <w:szCs w:val="24"/>
              </w:rPr>
            </w:pPr>
            <w:r>
              <w:rPr>
                <w:rFonts w:eastAsia="方正仿宋_GBK" w:cs="宋体"/>
                <w:sz w:val="24"/>
                <w:szCs w:val="24"/>
              </w:rPr>
              <w:t>0</w:t>
            </w:r>
          </w:p>
        </w:tc>
      </w:tr>
      <w:tr>
        <w:trPr>
          <w:trHeight w:val="406"/>
        </w:trPr>
        <w:tc>
          <w:tcPr>
            <w:tcW w:w="8994" w:type="dxa"/>
            <w:gridSpan w:val="4"/>
            <w:tcBorders>
              <w:top w:val="nil"/>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第二十条第（六）项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20"/>
              <w:widowControl/>
              <w:adjustRightInd w:val="0"/>
              <w:snapToGrid w:val="0"/>
              <w:spacing w:line="560" w:lineRule="exact"/>
              <w:jc w:val="center"/>
              <w:rPr>
                <w:sz w:val="24"/>
                <w:szCs w:val="24"/>
              </w:rPr>
            </w:pPr>
            <w:r>
              <w:rPr>
                <w:rFonts w:ascii="宋体" w:cs="宋体" w:hint="eastAsia"/>
                <w:kern w:val="0"/>
                <w:sz w:val="24"/>
                <w:szCs w:val="24"/>
              </w:rPr>
              <w:t>本年处理决定数量</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djustRightInd w:val="0"/>
              <w:snapToGrid w:val="0"/>
              <w:spacing w:line="560" w:lineRule="exact"/>
              <w:jc w:val="center"/>
              <w:rPr>
                <w:sz w:val="24"/>
                <w:szCs w:val="24"/>
              </w:rPr>
            </w:pPr>
            <w:r>
              <w:rPr>
                <w:rFonts w:ascii="宋体" w:cs="宋体" w:hint="eastAsia"/>
                <w:kern w:val="0"/>
                <w:sz w:val="24"/>
                <w:szCs w:val="24"/>
              </w:rPr>
              <w:t>行政处罚</w:t>
            </w:r>
          </w:p>
        </w:tc>
        <w:tc>
          <w:tcPr>
            <w:tcW w:w="6275" w:type="dxa"/>
            <w:gridSpan w:val="3"/>
            <w:tcBorders>
              <w:top w:val="nil"/>
              <w:left w:val="nil"/>
              <w:bottom w:val="single" w:sz="8" w:space="0" w:color="auto"/>
              <w:right w:val="single" w:sz="8" w:space="0" w:color="auto"/>
            </w:tcBorders>
            <w:shd w:val="clear" w:color="auto" w:fill="auto"/>
            <w:tcMar>
              <w:left w:w="108" w:type="dxa"/>
              <w:right w:w="108" w:type="dxa"/>
            </w:tcMar>
            <w:vAlign w:val="center"/>
          </w:tcPr>
          <w:p>
            <w:pPr>
              <w:pStyle w:val="18"/>
              <w:spacing w:line="560" w:lineRule="exact"/>
              <w:jc w:val="center"/>
              <w:rPr>
                <w:rFonts w:eastAsia="方正仿宋_GBK" w:cs="宋体"/>
                <w:sz w:val="24"/>
                <w:szCs w:val="24"/>
              </w:rPr>
            </w:pPr>
            <w:r>
              <w:rPr>
                <w:rFonts w:eastAsia="方正仿宋_GBK" w:cs="宋体"/>
                <w:sz w:val="24"/>
                <w:szCs w:val="24"/>
              </w:rPr>
              <w:t>300</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djustRightInd w:val="0"/>
              <w:snapToGrid w:val="0"/>
              <w:spacing w:line="560" w:lineRule="exact"/>
              <w:jc w:val="center"/>
              <w:rPr>
                <w:sz w:val="24"/>
                <w:szCs w:val="24"/>
              </w:rPr>
            </w:pPr>
            <w:r>
              <w:rPr>
                <w:rFonts w:ascii="宋体" w:cs="宋体" w:hint="eastAsia"/>
                <w:kern w:val="0"/>
                <w:sz w:val="24"/>
                <w:szCs w:val="24"/>
              </w:rPr>
              <w:t>行政强制</w:t>
            </w:r>
          </w:p>
        </w:tc>
        <w:tc>
          <w:tcPr>
            <w:tcW w:w="6275" w:type="dxa"/>
            <w:gridSpan w:val="3"/>
            <w:tcBorders>
              <w:top w:val="nil"/>
              <w:left w:val="nil"/>
              <w:bottom w:val="single" w:sz="8" w:space="0" w:color="auto"/>
              <w:right w:val="single" w:sz="8" w:space="0" w:color="auto"/>
            </w:tcBorders>
            <w:shd w:val="clear" w:color="auto" w:fill="auto"/>
            <w:tcMar>
              <w:left w:w="108" w:type="dxa"/>
              <w:right w:w="108" w:type="dxa"/>
            </w:tcMar>
            <w:vAlign w:val="center"/>
          </w:tcPr>
          <w:p>
            <w:pPr>
              <w:pStyle w:val="23"/>
              <w:spacing w:line="560" w:lineRule="exact"/>
              <w:jc w:val="center"/>
              <w:rPr>
                <w:rFonts w:eastAsia="方正仿宋_GBK" w:cs="宋体"/>
                <w:sz w:val="24"/>
                <w:szCs w:val="24"/>
              </w:rPr>
            </w:pPr>
            <w:r>
              <w:rPr>
                <w:rFonts w:eastAsia="方正仿宋_GBK" w:cs="宋体"/>
                <w:sz w:val="24"/>
                <w:szCs w:val="24"/>
              </w:rPr>
              <w:t>6</w:t>
            </w:r>
          </w:p>
        </w:tc>
      </w:tr>
      <w:tr>
        <w:trPr>
          <w:trHeight w:val="474"/>
        </w:trPr>
        <w:tc>
          <w:tcPr>
            <w:tcW w:w="8994" w:type="dxa"/>
            <w:gridSpan w:val="4"/>
            <w:tcBorders>
              <w:top w:val="nil"/>
              <w:left w:val="single" w:sz="8" w:space="0" w:color="auto"/>
              <w:bottom w:val="single" w:sz="8" w:space="0" w:color="auto"/>
              <w:right w:val="single" w:sz="8" w:space="0" w:color="auto"/>
            </w:tcBorders>
            <w:shd w:val="clear" w:color="auto" w:fill="C6D9F1"/>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第二十条第（八）项</w:t>
            </w:r>
          </w:p>
        </w:tc>
      </w:tr>
      <w:tr>
        <w:trPr>
          <w:trHeight w:val="68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djustRightInd w:val="0"/>
              <w:snapToGrid w:val="0"/>
              <w:spacing w:line="560" w:lineRule="exact"/>
              <w:jc w:val="center"/>
              <w:rPr>
                <w:sz w:val="24"/>
                <w:szCs w:val="24"/>
              </w:rPr>
            </w:pPr>
            <w:r>
              <w:rPr>
                <w:rFonts w:ascii="宋体" w:cs="宋体" w:hint="eastAsia"/>
                <w:kern w:val="0"/>
                <w:sz w:val="24"/>
                <w:szCs w:val="24"/>
              </w:rPr>
              <w:t>信息内容</w:t>
            </w:r>
          </w:p>
        </w:tc>
        <w:tc>
          <w:tcPr>
            <w:tcW w:w="6275" w:type="dxa"/>
            <w:gridSpan w:val="3"/>
            <w:tcBorders>
              <w:top w:val="nil"/>
              <w:left w:val="nil"/>
              <w:bottom w:val="single" w:sz="8" w:space="0" w:color="auto"/>
              <w:right w:val="single" w:sz="8" w:space="0" w:color="000000"/>
            </w:tcBorders>
            <w:shd w:val="clear" w:color="auto" w:fill="auto"/>
            <w:tcMar>
              <w:left w:w="108" w:type="dxa"/>
              <w:right w:w="108" w:type="dxa"/>
            </w:tcMar>
            <w:vAlign w:val="center"/>
          </w:tcPr>
          <w:p>
            <w:pPr>
              <w:pStyle w:val="21"/>
              <w:widowControl/>
              <w:adjustRightInd w:val="0"/>
              <w:snapToGrid w:val="0"/>
              <w:spacing w:line="560" w:lineRule="exact"/>
              <w:jc w:val="center"/>
              <w:rPr>
                <w:sz w:val="24"/>
                <w:szCs w:val="24"/>
              </w:rPr>
            </w:pPr>
            <w:r>
              <w:rPr>
                <w:rFonts w:ascii="宋体" w:cs="宋体" w:hint="eastAsia"/>
                <w:kern w:val="0"/>
                <w:sz w:val="24"/>
                <w:szCs w:val="24"/>
              </w:rPr>
              <w:t>本年收费金额（单位：万元）</w:t>
            </w:r>
          </w:p>
        </w:tc>
      </w:tr>
      <w:tr>
        <w:trPr>
          <w:trHeight w:val="510"/>
        </w:trPr>
        <w:tc>
          <w:tcPr>
            <w:tcW w:w="2719"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adjustRightInd w:val="0"/>
              <w:snapToGrid w:val="0"/>
              <w:spacing w:line="560" w:lineRule="exact"/>
              <w:jc w:val="center"/>
            </w:pPr>
            <w:r>
              <w:rPr>
                <w:rFonts w:ascii="宋体" w:cs="宋体" w:hint="eastAsia"/>
                <w:kern w:val="0"/>
                <w:sz w:val="24"/>
                <w:szCs w:val="24"/>
              </w:rPr>
              <w:t>行政事业性收费</w:t>
            </w:r>
          </w:p>
        </w:tc>
        <w:tc>
          <w:tcPr>
            <w:tcW w:w="6275" w:type="dxa"/>
            <w:gridSpan w:val="3"/>
            <w:tcBorders>
              <w:top w:val="nil"/>
              <w:left w:val="nil"/>
              <w:bottom w:val="single" w:sz="8" w:space="0" w:color="auto"/>
              <w:right w:val="single" w:sz="8" w:space="0" w:color="000000"/>
            </w:tcBorders>
            <w:shd w:val="clear" w:color="auto" w:fill="auto"/>
            <w:tcMar>
              <w:left w:w="108" w:type="dxa"/>
              <w:right w:w="108" w:type="dxa"/>
            </w:tcMar>
            <w:vAlign w:val="center"/>
          </w:tcPr>
          <w:p>
            <w:pPr>
              <w:pStyle w:val="18"/>
              <w:spacing w:line="560" w:lineRule="exact"/>
              <w:jc w:val="center"/>
              <w:rPr>
                <w:rFonts w:eastAsia="方正仿宋_GBK" w:cs="宋体"/>
                <w:sz w:val="24"/>
                <w:szCs w:val="24"/>
              </w:rPr>
            </w:pPr>
            <w:r>
              <w:rPr>
                <w:rFonts w:eastAsia="方正仿宋_GBK" w:cs="宋体" w:hint="eastAsia"/>
                <w:sz w:val="24"/>
                <w:szCs w:val="24"/>
              </w:rPr>
              <w:t>0</w:t>
            </w:r>
          </w:p>
        </w:tc>
      </w:tr>
    </w:tbl>
    <w:p>
      <w:pPr>
        <w:pStyle w:val="34"/>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suppressAutoHyphens w:val="0"/>
        <w:adjustRightInd w:val="0"/>
        <w:snapToGrid w:val="0"/>
        <w:spacing w:afterLines="50" w:after="156" w:afterAutospacing="0" w:line="560" w:lineRule="exact"/>
        <w:ind w:firstLineChars="200" w:firstLine="640"/>
        <w:contextualSpacing w:val="0"/>
        <w:jc w:val="both"/>
        <w:rPr>
          <w:rFonts w:ascii="方正黑体_GBK" w:eastAsia="方正黑体_GBK" w:cs="楷体_GB2312" w:hint="eastAsia"/>
          <w:bCs/>
          <w:vanish w:val="0"/>
          <w:sz w:val="32"/>
          <w:szCs w:val="32"/>
          <w:shd w:val="clear" w:color="auto" w:fill="FFFFFF"/>
        </w:rPr>
      </w:pPr>
      <w:r>
        <w:rPr>
          <w:rFonts w:ascii="方正黑体_GBK" w:eastAsia="方正黑体_GBK" w:cs="楷体_GB2312" w:hint="eastAsia"/>
          <w:bCs/>
          <w:vanish w:val="0"/>
          <w:sz w:val="32"/>
          <w:szCs w:val="32"/>
          <w:shd w:val="clear" w:color="auto" w:fill="FFFFFF"/>
        </w:rPr>
        <w:t>三、收到和处理政府信息公开申请情况</w:t>
      </w:r>
    </w:p>
    <w:tbl>
      <w:tblPr>
        <w:jc w:val="center"/>
        <w:tblW w:w="9075"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696"/>
        <w:gridCol w:w="936"/>
        <w:gridCol w:w="2670"/>
        <w:gridCol w:w="635"/>
        <w:gridCol w:w="675"/>
        <w:gridCol w:w="750"/>
        <w:gridCol w:w="765"/>
        <w:gridCol w:w="765"/>
        <w:gridCol w:w="497"/>
        <w:gridCol w:w="682"/>
      </w:tblGrid>
      <w:tr>
        <w:trPr>
          <w:tblHeader/>
        </w:trPr>
        <w:tc>
          <w:tcPr>
            <w:tcW w:w="4302" w:type="dxa"/>
            <w:gridSpan w:val="3"/>
            <w:vMerge w:val="restart"/>
            <w:tcBorders>
              <w:top w:val="single" w:sz="8" w:space="0" w:color="auto"/>
              <w:left w:val="single" w:sz="8" w:space="0" w:color="auto"/>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rPr>
            </w:pPr>
            <w:r>
              <w:rPr>
                <w:rFonts w:ascii="宋体" w:eastAsia="宋体" w:cs="宋体" w:hint="eastAsia"/>
                <w:vanish w:val="0"/>
                <w:kern w:val="0"/>
                <w:sz w:val="20"/>
                <w:szCs w:val="20"/>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rPr>
            </w:pPr>
            <w:r>
              <w:rPr>
                <w:rFonts w:ascii="宋体" w:eastAsia="宋体" w:cs="宋体" w:hint="eastAsia"/>
                <w:vanish w:val="0"/>
                <w:kern w:val="0"/>
                <w:sz w:val="20"/>
                <w:szCs w:val="20"/>
              </w:rPr>
              <w:t>申请人情况</w:t>
            </w:r>
          </w:p>
        </w:tc>
      </w:tr>
      <w:tr>
        <w:trPr>
          <w:tblHeader/>
        </w:trPr>
        <w:tc>
          <w:tcPr>
            <w:gridSpan w:val="3"/>
            <w:vMerge/>
            <w:tcBorders>
              <w:top w:val="single" w:sz="8" w:space="0" w:color="auto"/>
              <w:left w:val="single" w:sz="8" w:space="0" w:color="auto"/>
              <w:bottom w:val="single" w:sz="8" w:space="0" w:color="auto"/>
              <w:right w:val="single" w:sz="8" w:space="0" w:color="auto"/>
              <w:tl2br w:val="nil"/>
              <w:tr2bl w:val="nil"/>
            </w:tcBorders>
            <w:vAlign w:val="center"/>
          </w:tcPr>
          <w:p/>
        </w:tc>
        <w:tc>
          <w:tcPr>
            <w:tcW w:w="635"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rPr>
            </w:pPr>
            <w:r>
              <w:rPr>
                <w:rFonts w:ascii="宋体" w:eastAsia="宋体" w:cs="宋体" w:hint="eastAsia"/>
                <w:vanish w:val="0"/>
                <w:kern w:val="0"/>
                <w:sz w:val="20"/>
                <w:szCs w:val="20"/>
              </w:rPr>
              <w:t>自然人</w:t>
            </w:r>
          </w:p>
        </w:tc>
        <w:tc>
          <w:tcPr>
            <w:tcW w:w="3452" w:type="dxa"/>
            <w:gridSpan w:val="5"/>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rPr>
            </w:pPr>
            <w:r>
              <w:rPr>
                <w:rFonts w:ascii="宋体" w:eastAsia="宋体" w:cs="宋体" w:hint="eastAsia"/>
                <w:vanish w:val="0"/>
                <w:kern w:val="0"/>
                <w:sz w:val="20"/>
                <w:szCs w:val="20"/>
              </w:rPr>
              <w:t>法人或其他组织</w:t>
            </w:r>
          </w:p>
        </w:tc>
        <w:tc>
          <w:tcPr>
            <w:tcW w:w="682" w:type="dxa"/>
            <w:vMerge w:val="restart"/>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rPr>
            </w:pPr>
            <w:r>
              <w:rPr>
                <w:rFonts w:ascii="宋体" w:eastAsia="宋体" w:cs="宋体" w:hint="eastAsia"/>
                <w:vanish w:val="0"/>
                <w:kern w:val="0"/>
                <w:sz w:val="20"/>
                <w:szCs w:val="20"/>
              </w:rPr>
              <w:t>总计</w:t>
            </w:r>
          </w:p>
        </w:tc>
      </w:tr>
      <w:tr>
        <w:trPr>
          <w:trHeight w:val="649"/>
          <w:tblHeader/>
        </w:trPr>
        <w:tc>
          <w:tcPr>
            <w:gridSpan w:val="3"/>
            <w:vMerge/>
            <w:tcBorders>
              <w:top w:val="single" w:sz="8" w:space="0" w:color="auto"/>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rPr>
            </w:pPr>
            <w:r>
              <w:rPr>
                <w:rFonts w:ascii="宋体" w:eastAsia="宋体" w:cs="宋体" w:hint="eastAsia"/>
                <w:vanish w:val="0"/>
                <w:kern w:val="0"/>
                <w:sz w:val="20"/>
                <w:szCs w:val="20"/>
              </w:rPr>
              <w:t>商业企业</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rPr>
            </w:pPr>
            <w:r>
              <w:rPr>
                <w:rFonts w:ascii="宋体" w:eastAsia="宋体" w:cs="宋体" w:hint="eastAsia"/>
                <w:vanish w:val="0"/>
                <w:kern w:val="0"/>
                <w:sz w:val="20"/>
                <w:szCs w:val="20"/>
              </w:rPr>
              <w:t>科研机构</w:t>
            </w:r>
          </w:p>
        </w:tc>
        <w:tc>
          <w:tcPr>
            <w:tcW w:w="76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rPr>
            </w:pPr>
            <w:r>
              <w:rPr>
                <w:rFonts w:ascii="宋体" w:eastAsia="宋体" w:cs="宋体" w:hint="eastAsia"/>
                <w:vanish w:val="0"/>
                <w:kern w:val="0"/>
                <w:sz w:val="20"/>
                <w:szCs w:val="20"/>
              </w:rPr>
              <w:t>社会公益组织</w:t>
            </w:r>
          </w:p>
        </w:tc>
        <w:tc>
          <w:tcPr>
            <w:tcW w:w="765"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rPr>
            </w:pPr>
            <w:r>
              <w:rPr>
                <w:rFonts w:ascii="宋体" w:eastAsia="宋体" w:cs="宋体" w:hint="eastAsia"/>
                <w:vanish w:val="0"/>
                <w:kern w:val="0"/>
                <w:sz w:val="20"/>
                <w:szCs w:val="20"/>
              </w:rPr>
              <w:t>法律服务机构</w:t>
            </w:r>
          </w:p>
        </w:tc>
        <w:tc>
          <w:tcPr>
            <w:tcW w:w="497"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rPr>
            </w:pPr>
            <w:r>
              <w:rPr>
                <w:rFonts w:ascii="宋体" w:eastAsia="宋体" w:cs="宋体" w:hint="eastAsia"/>
                <w:vanish w:val="0"/>
                <w:kern w:val="0"/>
                <w:sz w:val="20"/>
                <w:szCs w:val="20"/>
              </w:rPr>
              <w:t>其他</w:t>
            </w:r>
          </w:p>
        </w:tc>
        <w:tc>
          <w:tcPr>
            <w:vMerge/>
            <w:tcBorders>
              <w:top w:val="single" w:sz="8" w:space="0" w:color="auto"/>
              <w:left w:val="nil"/>
              <w:bottom w:val="single" w:sz="8" w:space="0" w:color="auto"/>
              <w:right w:val="single" w:sz="8" w:space="0" w:color="auto"/>
              <w:tl2br w:val="nil"/>
              <w:tr2bl w:val="nil"/>
            </w:tcBorders>
            <w:vAlign w:val="center"/>
          </w:tcPr>
          <w:p/>
        </w:tc>
      </w:tr>
      <w:tr>
        <w:tc>
          <w:tcPr>
            <w:tcW w:w="4302" w:type="dxa"/>
            <w:gridSpan w:val="3"/>
            <w:tcBorders>
              <w:top w:val="nil"/>
              <w:left w:val="single" w:sz="8" w:space="0" w:color="auto"/>
              <w:bottom w:val="single" w:sz="8" w:space="0" w:color="auto"/>
              <w:right w:val="single" w:sz="8" w:space="0" w:color="auto"/>
              <w:tl2br w:val="nil"/>
              <w:tr2bl w:val="nil"/>
            </w:tcBorders>
            <w:tcMar>
              <w:left w:w="108" w:type="dxa"/>
              <w:right w:w="108" w:type="dxa"/>
            </w:tcMa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left"/>
              <w:rPr>
                <w:vanish w:val="0"/>
                <w:sz w:val="24"/>
                <w:szCs w:val="24"/>
              </w:rPr>
            </w:pPr>
            <w:r>
              <w:rPr>
                <w:rFonts w:ascii="宋体" w:eastAsia="宋体" w:cs="宋体" w:hint="eastAsia"/>
                <w:vanish w:val="0"/>
                <w:kern w:val="0"/>
                <w:sz w:val="24"/>
                <w:szCs w:val="24"/>
              </w:rPr>
              <w:t>一、本年新收政府信息公开申请数量</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tcW w:w="4302" w:type="dxa"/>
            <w:gridSpan w:val="3"/>
            <w:tcBorders>
              <w:top w:val="nil"/>
              <w:left w:val="single" w:sz="8" w:space="0" w:color="auto"/>
              <w:bottom w:val="single" w:sz="8" w:space="0" w:color="auto"/>
              <w:right w:val="single" w:sz="8" w:space="0" w:color="auto"/>
              <w:tl2br w:val="nil"/>
              <w:tr2bl w:val="nil"/>
            </w:tcBorders>
            <w:tcMar>
              <w:left w:w="108" w:type="dxa"/>
              <w:right w:w="108" w:type="dxa"/>
            </w:tcMa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left"/>
              <w:rPr>
                <w:vanish w:val="0"/>
                <w:sz w:val="24"/>
                <w:szCs w:val="24"/>
              </w:rPr>
            </w:pPr>
            <w:r>
              <w:rPr>
                <w:rFonts w:ascii="宋体" w:eastAsia="宋体" w:cs="宋体" w:hint="eastAsia"/>
                <w:vanish w:val="0"/>
                <w:kern w:val="0"/>
                <w:sz w:val="24"/>
                <w:szCs w:val="24"/>
              </w:rPr>
              <w:t>二、上年结转政府信息公开申请数量</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tcW w:w="696" w:type="dxa"/>
            <w:vMerge w:val="restart"/>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center"/>
              <w:rPr>
                <w:vanish w:val="0"/>
                <w:sz w:val="24"/>
                <w:szCs w:val="24"/>
              </w:rPr>
            </w:pPr>
            <w:r>
              <w:rPr>
                <w:rFonts w:ascii="宋体" w:eastAsia="宋体" w:cs="宋体" w:hint="eastAsia"/>
                <w:vanish w:val="0"/>
                <w:kern w:val="0"/>
                <w:sz w:val="24"/>
                <w:szCs w:val="24"/>
              </w:rPr>
              <w:t>三、本年度办理结果</w:t>
            </w:r>
          </w:p>
        </w:tc>
        <w:tc>
          <w:tcPr>
            <w:tcW w:w="3606" w:type="dxa"/>
            <w:gridSpan w:val="2"/>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left"/>
              <w:rPr>
                <w:vanish w:val="0"/>
                <w:sz w:val="24"/>
                <w:szCs w:val="24"/>
              </w:rPr>
            </w:pPr>
            <w:r>
              <w:rPr>
                <w:rFonts w:ascii="楷体" w:eastAsia="楷体" w:cs="楷体" w:hint="eastAsia"/>
                <w:vanish w:val="0"/>
                <w:kern w:val="0"/>
                <w:sz w:val="24"/>
                <w:szCs w:val="24"/>
              </w:rPr>
              <w:t>（一）予以公开</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tcW w:w="3606" w:type="dxa"/>
            <w:gridSpan w:val="2"/>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left"/>
              <w:rPr>
                <w:vanish w:val="0"/>
                <w:sz w:val="24"/>
                <w:szCs w:val="24"/>
              </w:rPr>
            </w:pPr>
            <w:r>
              <w:rPr>
                <w:rFonts w:ascii="楷体" w:eastAsia="楷体" w:cs="楷体" w:hint="eastAsia"/>
                <w:vanish w:val="0"/>
                <w:kern w:val="0"/>
                <w:sz w:val="24"/>
                <w:szCs w:val="24"/>
              </w:rPr>
              <w:t>（二）部分公开（区分处理的，只计这一情形，不计其他情形）</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（三）不予公开</w:t>
            </w: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1.属于国家秘密</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single" w:sz="8" w:space="0" w:color="auto"/>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2.其他法律行政法规禁止公开</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3.危及“三安全一稳定”</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4.保护第三方合法权益</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5.属于三类内部事务信息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6.属于四类过程性信息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7.属于行政执法案卷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8.属于行政查询事项</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（四）无法提供</w:t>
            </w: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1.本机关不掌握相关政府信息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2.没有现成信息需要另行制作</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3.补正后申请内容仍不明确</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（五）不予处理</w:t>
            </w: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1.信访举报投诉类申请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2.重复申请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3.要求提供公开出版物</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rPr>
          <w:trHeight w:val="810"/>
        </w:trP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4.无正当理由大量反复申请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5.要求行政机关确认或重新出具已获取信息</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rPr>
          <w:trHeight w:val="566"/>
        </w:trPr>
        <w:tc>
          <w:tcPr>
            <w:vMerge/>
            <w:tcBorders>
              <w:top w:val="nil"/>
              <w:left w:val="single" w:sz="8" w:space="0" w:color="auto"/>
              <w:bottom w:val="single" w:sz="8" w:space="0" w:color="auto"/>
              <w:right w:val="single" w:sz="8" w:space="0" w:color="auto"/>
              <w:tl2br w:val="nil"/>
              <w:tr2bl w:val="nil"/>
            </w:tcBorders>
            <w:vAlign w:val="center"/>
          </w:tcPr>
          <w:p/>
        </w:tc>
        <w:tc>
          <w:tcPr>
            <w:tcW w:w="936" w:type="dxa"/>
            <w:vMerge w:val="restart"/>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（六）其他处理</w:t>
            </w:r>
          </w:p>
        </w:tc>
        <w:tc>
          <w:tcPr>
            <w:tcW w:w="2670" w:type="dxa"/>
            <w:tcBorders>
              <w:top w:val="nil"/>
              <w:left w:val="single" w:sz="8" w:space="0" w:color="auto"/>
              <w:bottom w:val="single" w:sz="8" w:space="0" w:color="auto"/>
              <w:right w:val="single" w:sz="8" w:space="0" w:color="auto"/>
              <w:tl2br w:val="nil"/>
              <w:tr2bl w:val="nil"/>
            </w:tcBorders>
            <w:tcMar>
              <w:left w:w="108" w:type="dxa"/>
              <w:right w:w="108" w:type="dxa"/>
            </w:tcMa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楷体" w:eastAsia="楷体" w:cs="楷体" w:hint="eastAsia"/>
                <w:vanish w:val="0"/>
                <w:kern w:val="0"/>
                <w:sz w:val="24"/>
                <w:szCs w:val="24"/>
              </w:rPr>
            </w:pPr>
            <w:r>
              <w:rPr>
                <w:rFonts w:ascii="楷体" w:eastAsia="楷体" w:cs="楷体" w:hint="eastAsia"/>
                <w:vanish w:val="0"/>
                <w:kern w:val="0"/>
                <w:sz w:val="24"/>
                <w:szCs w:val="24"/>
              </w:rPr>
              <w:t>1.申请人无正当理由逾期不补正、行政机关不再处理其政府信息公开申请</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rPr>
          <w:trHeight w:val="566"/>
        </w:trP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single" w:sz="8" w:space="0" w:color="auto"/>
              <w:bottom w:val="single" w:sz="8" w:space="0" w:color="auto"/>
              <w:right w:val="single" w:sz="8" w:space="0" w:color="auto"/>
              <w:tl2br w:val="nil"/>
              <w:tr2bl w:val="nil"/>
            </w:tcBorders>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楷体" w:eastAsia="楷体" w:cs="楷体" w:hint="eastAsia"/>
                <w:vanish w:val="0"/>
                <w:kern w:val="0"/>
                <w:sz w:val="24"/>
                <w:szCs w:val="24"/>
              </w:rPr>
            </w:pPr>
            <w:r>
              <w:rPr>
                <w:rFonts w:ascii="楷体" w:eastAsia="楷体" w:cs="楷体" w:hint="eastAsia"/>
                <w:vanish w:val="0"/>
                <w:kern w:val="0"/>
                <w:sz w:val="24"/>
                <w:szCs w:val="24"/>
              </w:rPr>
              <w:t>2.申请人逾期未按收费通知要求缴纳费用、行政机关不再处理其政府信息公开申请</w:t>
            </w:r>
          </w:p>
        </w:tc>
        <w:tc>
          <w:tcPr>
            <w:tcW w:w="63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rPr>
          <w:trHeight w:val="566"/>
        </w:trP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single" w:sz="8" w:space="0" w:color="auto"/>
              <w:bottom w:val="single" w:sz="8" w:space="0" w:color="auto"/>
              <w:right w:val="single" w:sz="8" w:space="0" w:color="auto"/>
              <w:tl2br w:val="nil"/>
              <w:tr2bl w:val="nil"/>
            </w:tcBorders>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楷体" w:eastAsia="楷体" w:cs="楷体" w:hint="eastAsia"/>
                <w:vanish w:val="0"/>
                <w:kern w:val="0"/>
                <w:sz w:val="24"/>
                <w:szCs w:val="24"/>
              </w:rPr>
            </w:pPr>
            <w:r>
              <w:rPr>
                <w:rFonts w:ascii="楷体" w:eastAsia="楷体" w:cs="楷体" w:hint="eastAsia"/>
                <w:vanish w:val="0"/>
                <w:kern w:val="0"/>
                <w:sz w:val="24"/>
                <w:szCs w:val="24"/>
              </w:rPr>
              <w:t>3.咨询事项，指引咨询渠道</w:t>
            </w:r>
          </w:p>
        </w:tc>
        <w:tc>
          <w:tcPr>
            <w:tcW w:w="63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rPr>
          <w:trHeight w:val="566"/>
        </w:trPr>
        <w:tc>
          <w:tcPr>
            <w:vMerge/>
            <w:tcBorders>
              <w:top w:val="nil"/>
              <w:left w:val="single" w:sz="8" w:space="0" w:color="auto"/>
              <w:bottom w:val="single" w:sz="8" w:space="0" w:color="auto"/>
              <w:right w:val="single" w:sz="8" w:space="0" w:color="auto"/>
              <w:tl2br w:val="nil"/>
              <w:tr2bl w:val="nil"/>
            </w:tcBorders>
            <w:vAlign w:val="center"/>
          </w:tcPr>
          <w:p/>
        </w:tc>
        <w:tc>
          <w:tcPr>
            <w:vMerge/>
            <w:tcBorders>
              <w:top w:val="nil"/>
              <w:left w:val="nil"/>
              <w:bottom w:val="single" w:sz="8" w:space="0" w:color="auto"/>
              <w:right w:val="single" w:sz="8" w:space="0" w:color="auto"/>
              <w:tl2br w:val="nil"/>
              <w:tr2bl w:val="nil"/>
            </w:tcBorders>
            <w:vAlign w:val="center"/>
          </w:tcPr>
          <w:p/>
        </w:tc>
        <w:tc>
          <w:tcPr>
            <w:tcW w:w="2670" w:type="dxa"/>
            <w:tcBorders>
              <w:top w:val="nil"/>
              <w:left w:val="single" w:sz="8" w:space="0" w:color="auto"/>
              <w:bottom w:val="single" w:sz="8" w:space="0" w:color="auto"/>
              <w:right w:val="single" w:sz="8" w:space="0" w:color="auto"/>
              <w:tl2br w:val="nil"/>
              <w:tr2bl w:val="nil"/>
            </w:tcBorders>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楷体" w:eastAsia="楷体" w:cs="楷体" w:hint="eastAsia"/>
                <w:vanish w:val="0"/>
                <w:kern w:val="0"/>
                <w:sz w:val="24"/>
                <w:szCs w:val="24"/>
              </w:rPr>
            </w:pPr>
            <w:r>
              <w:rPr>
                <w:rFonts w:ascii="楷体" w:eastAsia="楷体" w:cs="楷体" w:hint="eastAsia"/>
                <w:vanish w:val="0"/>
                <w:kern w:val="0"/>
                <w:sz w:val="24"/>
                <w:szCs w:val="24"/>
              </w:rPr>
              <w:t>4.申请人撤销申请</w:t>
            </w:r>
          </w:p>
        </w:tc>
        <w:tc>
          <w:tcPr>
            <w:tcW w:w="63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vMerge/>
            <w:tcBorders>
              <w:top w:val="nil"/>
              <w:left w:val="single" w:sz="8" w:space="0" w:color="auto"/>
              <w:bottom w:val="single" w:sz="8" w:space="0" w:color="auto"/>
              <w:right w:val="single" w:sz="8" w:space="0" w:color="auto"/>
              <w:tl2br w:val="nil"/>
              <w:tr2bl w:val="nil"/>
            </w:tcBorders>
            <w:vAlign w:val="center"/>
          </w:tcPr>
          <w:p/>
        </w:tc>
        <w:tc>
          <w:tcPr>
            <w:tcW w:w="3606" w:type="dxa"/>
            <w:gridSpan w:val="2"/>
            <w:tcBorders>
              <w:top w:val="nil"/>
              <w:left w:val="nil"/>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vanish w:val="0"/>
                <w:sz w:val="24"/>
                <w:szCs w:val="24"/>
              </w:rPr>
            </w:pPr>
            <w:r>
              <w:rPr>
                <w:rFonts w:ascii="楷体" w:eastAsia="楷体" w:cs="楷体" w:hint="eastAsia"/>
                <w:vanish w:val="0"/>
                <w:kern w:val="0"/>
                <w:sz w:val="24"/>
                <w:szCs w:val="24"/>
              </w:rPr>
              <w:t>（七）总计</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r>
        <w:tc>
          <w:tcPr>
            <w:tcW w:w="4302" w:type="dxa"/>
            <w:gridSpan w:val="3"/>
            <w:tcBorders>
              <w:top w:val="nil"/>
              <w:left w:val="single" w:sz="8" w:space="0" w:color="auto"/>
              <w:bottom w:val="single" w:sz="8" w:space="0" w:color="auto"/>
              <w:right w:val="single" w:sz="8" w:space="0" w:color="auto"/>
              <w:tl2br w:val="nil"/>
              <w:tr2bl w:val="nil"/>
            </w:tcBorders>
            <w:tcMar>
              <w:left w:w="108" w:type="dxa"/>
              <w:right w:w="108" w:type="dxa"/>
            </w:tcMar>
            <w:vAlign w:val="center"/>
          </w:tcPr>
          <w:p>
            <w:pPr>
              <w:pStyle w:val="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jc w:val="left"/>
              <w:rPr>
                <w:vanish w:val="0"/>
              </w:rPr>
            </w:pPr>
            <w:r>
              <w:rPr>
                <w:rFonts w:ascii="宋体" w:eastAsia="宋体" w:cs="宋体" w:hint="eastAsia"/>
                <w:vanish w:val="0"/>
                <w:kern w:val="0"/>
                <w:sz w:val="24"/>
                <w:szCs w:val="24"/>
              </w:rPr>
              <w:t>四、结转下年度继续办理</w:t>
            </w:r>
          </w:p>
        </w:tc>
        <w:tc>
          <w:tcPr>
            <w:tcW w:w="63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7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50"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765"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497"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c>
          <w:tcPr>
            <w:tcW w:w="682" w:type="dxa"/>
            <w:tcBorders>
              <w:top w:val="nil"/>
              <w:left w:val="nil"/>
              <w:bottom w:val="single" w:sz="8" w:space="0" w:color="auto"/>
              <w:right w:val="single" w:sz="8" w:space="0" w:color="auto"/>
              <w:tl2br w:val="nil"/>
              <w:tr2bl w:val="nil"/>
            </w:tcBorders>
            <w:tcMar>
              <w:left w:w="108" w:type="dxa"/>
              <w:right w:w="108" w:type="dxa"/>
            </w:tcMar>
            <w:vAlign w:val="center"/>
          </w:tcPr>
          <w:p>
            <w:pPr>
              <w:pStyle w:val="35"/>
              <w:pBdr>
                <w:top w:val="none" w:sz="0" w:space="0" w:color="auto"/>
                <w:left w:val="none" w:sz="0" w:space="0" w:color="auto"/>
                <w:bottom w:val="none" w:sz="0" w:space="0" w:color="auto"/>
                <w:right w:val="none" w:sz="0" w:space="0" w:color="auto"/>
              </w:pBdr>
              <w:jc w:val="center"/>
              <w:rPr>
                <w:rFonts w:eastAsia="方正仿宋_GBK"/>
                <w:vanish w:val="0"/>
                <w:sz w:val="24"/>
                <w:szCs w:val="24"/>
              </w:rPr>
            </w:pPr>
            <w:r>
              <w:rPr>
                <w:rFonts w:eastAsia="方正仿宋_GBK"/>
                <w:vanish w:val="0"/>
                <w:sz w:val="24"/>
                <w:szCs w:val="24"/>
              </w:rPr>
              <w:t>0</w:t>
            </w:r>
          </w:p>
        </w:tc>
      </w:tr>
    </w:tbl>
    <w:p>
      <w:pPr>
        <w:pStyle w:val="15"/>
        <w:widowControl/>
        <w:shd w:val="clear" w:color="auto" w:fill="FFFFFF"/>
        <w:spacing w:before="0" w:beforeAutospacing="0" w:after="0" w:afterAutospacing="0" w:line="560" w:lineRule="exact"/>
        <w:ind w:firstLineChars="200" w:firstLine="640"/>
        <w:jc w:val="both"/>
        <w:rPr>
          <w:rFonts w:ascii="宋体" w:cs="宋体"/>
        </w:rPr>
      </w:pPr>
      <w:r>
        <w:rPr>
          <w:rFonts w:ascii="方正黑体_GBK" w:eastAsia="方正黑体_GBK" w:cs="楷体_GB2312" w:hint="eastAsia"/>
          <w:bCs/>
          <w:sz w:val="32"/>
          <w:szCs w:val="32"/>
          <w:shd w:val="clear" w:color="auto" w:fill="FFFFFF"/>
        </w:rPr>
        <w:t>四、政府信息公开行政复议、行政诉讼情况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c>
          <w:tcPr>
            <w:tcW w:w="3074" w:type="dxa"/>
            <w:gridSpan w:val="5"/>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行政复议</w:t>
            </w:r>
          </w:p>
        </w:tc>
        <w:tc>
          <w:tcPr>
            <w:tcW w:w="5997" w:type="dxa"/>
            <w:gridSpan w:val="10"/>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行政诉讼</w:t>
            </w:r>
          </w:p>
        </w:tc>
      </w:tr>
      <w:tr>
        <w:tc>
          <w:tcPr>
            <w:tcW w:w="604" w:type="dxa"/>
            <w:vMerge w:val="restar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结果维持</w:t>
            </w:r>
          </w:p>
        </w:tc>
        <w:tc>
          <w:tcPr>
            <w:tcW w:w="604"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结果纠正</w:t>
            </w:r>
          </w:p>
        </w:tc>
        <w:tc>
          <w:tcPr>
            <w:tcW w:w="604"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其他结果</w:t>
            </w:r>
          </w:p>
        </w:tc>
        <w:tc>
          <w:tcPr>
            <w:tcW w:w="604"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尚未审结</w:t>
            </w:r>
          </w:p>
        </w:tc>
        <w:tc>
          <w:tcPr>
            <w:tcW w:w="658" w:type="dxa"/>
            <w:vMerge w:val="restart"/>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总计</w:t>
            </w:r>
          </w:p>
        </w:tc>
        <w:tc>
          <w:tcPr>
            <w:tcW w:w="2970" w:type="dxa"/>
            <w:gridSpan w:val="5"/>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未经复议直接起诉</w:t>
            </w:r>
          </w:p>
        </w:tc>
        <w:tc>
          <w:tcPr>
            <w:tcW w:w="3027" w:type="dxa"/>
            <w:gridSpan w:val="5"/>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复议后起诉</w:t>
            </w:r>
          </w:p>
        </w:tc>
      </w:tr>
      <w:tr>
        <w:tc>
          <w:tcPr>
            <w:tcW w:w="604" w:type="dxa"/>
            <w:vMerge/>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tc>
        <w:tc>
          <w:tcPr>
            <w:tcW w:w="604" w:type="dxa"/>
            <w:vMerge/>
            <w:tcBorders>
              <w:top w:val="nil"/>
              <w:left w:val="nil"/>
              <w:bottom w:val="single" w:sz="8" w:space="0" w:color="auto"/>
              <w:right w:val="single" w:sz="8" w:space="0" w:color="auto"/>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tc>
        <w:tc>
          <w:tcPr>
            <w:tcW w:w="658" w:type="dxa"/>
            <w:vMerge/>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tc>
        <w:tc>
          <w:tcPr>
            <w:tcW w:w="5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结果维持</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结果纠正</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其他结果</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尚未审结</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总计</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结果维持</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结果纠正</w:t>
            </w:r>
          </w:p>
        </w:tc>
        <w:tc>
          <w:tcPr>
            <w:tcW w:w="605"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其他结果</w:t>
            </w:r>
          </w:p>
        </w:tc>
        <w:tc>
          <w:tcPr>
            <w:tcW w:w="606"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尚未审结</w:t>
            </w:r>
          </w:p>
        </w:tc>
        <w:tc>
          <w:tcPr>
            <w:tcW w:w="606"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4"/>
                <w:szCs w:val="24"/>
              </w:rPr>
            </w:pPr>
            <w:r>
              <w:rPr>
                <w:rFonts w:ascii="宋体" w:cs="宋体" w:hint="eastAsia"/>
                <w:kern w:val="0"/>
                <w:sz w:val="24"/>
                <w:szCs w:val="24"/>
              </w:rPr>
              <w:t>总计</w:t>
            </w:r>
          </w:p>
        </w:tc>
      </w:tr>
      <w:tr>
        <w:trPr>
          <w:trHeight w:val="862"/>
        </w:trPr>
        <w:tc>
          <w:tcPr>
            <w:tcW w:w="604"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4"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4"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4"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58"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550"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5"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sz w:val="28"/>
                <w:szCs w:val="28"/>
              </w:rPr>
            </w:pPr>
            <w:r>
              <w:rPr>
                <w:rFonts w:hint="eastAsia"/>
                <w:sz w:val="28"/>
                <w:szCs w:val="28"/>
              </w:rPr>
              <w:t>0</w:t>
            </w:r>
          </w:p>
        </w:tc>
        <w:tc>
          <w:tcPr>
            <w:tcW w:w="606" w:type="dxa"/>
            <w:tcBorders>
              <w:top w:val="nil"/>
              <w:left w:val="nil"/>
              <w:bottom w:val="single" w:sz="8" w:space="0" w:color="auto"/>
              <w:right w:val="single" w:sz="8" w:space="0" w:color="auto"/>
            </w:tcBorders>
            <w:shd w:val="clear" w:color="auto" w:fill="auto"/>
            <w:tcMar>
              <w:left w:w="108" w:type="dxa"/>
              <w:right w:w="108" w:type="dxa"/>
            </w:tcMar>
            <w:vAlign w:val="center"/>
          </w:tcPr>
          <w:p>
            <w:pPr>
              <w:pStyle w:val="18"/>
              <w:widowControl/>
              <w:spacing w:line="560" w:lineRule="exact"/>
              <w:jc w:val="center"/>
              <w:rPr>
                <w:kern w:val="0"/>
                <w:sz w:val="28"/>
                <w:szCs w:val="28"/>
              </w:rPr>
            </w:pPr>
            <w:r>
              <w:rPr>
                <w:rFonts w:hint="eastAsia"/>
                <w:sz w:val="28"/>
                <w:szCs w:val="28"/>
              </w:rPr>
              <w:t>0</w:t>
            </w:r>
          </w:p>
        </w:tc>
      </w:tr>
    </w:tbl>
    <w:p>
      <w:pPr>
        <w:pStyle w:val="15"/>
        <w:widowControl/>
        <w:shd w:val="clear" w:color="auto" w:fill="FFFFFF"/>
        <w:spacing w:before="0" w:beforeAutospacing="0" w:after="0" w:afterAutospacing="0" w:line="560" w:lineRule="exact"/>
        <w:ind w:firstLineChars="200" w:firstLine="640"/>
        <w:jc w:val="both"/>
        <w:rPr>
          <w:rFonts w:ascii="方正黑体_GBK" w:eastAsia="方正黑体_GBK" w:cs="楷体_GB2312"/>
          <w:bCs/>
          <w:sz w:val="32"/>
          <w:szCs w:val="32"/>
          <w:shd w:val="clear" w:color="auto" w:fill="FFFFFF"/>
        </w:rPr>
      </w:pPr>
      <w:r>
        <w:rPr>
          <w:rFonts w:ascii="方正黑体_GBK" w:eastAsia="方正黑体_GBK" w:cs="楷体_GB2312" w:hint="eastAsia"/>
          <w:bCs/>
          <w:sz w:val="32"/>
          <w:szCs w:val="32"/>
          <w:shd w:val="clear" w:color="auto" w:fill="FFFFFF"/>
        </w:rPr>
        <w:t>五、存在的主要问题及改进情况</w:t>
      </w:r>
    </w:p>
    <w:p>
      <w:pPr>
        <w:pStyle w:val="15"/>
        <w:widowControl/>
        <w:shd w:val="clear" w:color="auto" w:fill="FFFFFF"/>
        <w:spacing w:before="0" w:beforeAutospacing="0" w:after="0" w:afterAutospacing="0" w:line="560" w:lineRule="exact"/>
        <w:ind w:firstLineChars="200" w:firstLine="640"/>
        <w:rPr>
          <w:rFonts w:ascii="方正楷体_GBK" w:eastAsia="方正楷体_GBK"/>
          <w:b/>
          <w:color w:val="000000"/>
          <w:sz w:val="32"/>
          <w:szCs w:val="32"/>
          <w:shd w:val="clear" w:color="auto" w:fill="FFFFFF"/>
        </w:rPr>
      </w:pPr>
      <w:r>
        <w:rPr>
          <w:rFonts w:ascii="方正楷体_GBK" w:eastAsia="方正楷体_GBK" w:hint="eastAsia"/>
          <w:b/>
          <w:color w:val="000000"/>
          <w:sz w:val="32"/>
          <w:szCs w:val="32"/>
          <w:shd w:val="clear" w:color="auto" w:fill="FFFFFF"/>
        </w:rPr>
        <w:t>（一）2022年年报中所提问题整改情况。</w:t>
      </w:r>
    </w:p>
    <w:p>
      <w:pPr>
        <w:pStyle w:val="15"/>
        <w:widowControl/>
        <w:shd w:val="clear" w:color="auto" w:fill="FFFFFF"/>
        <w:spacing w:before="0" w:beforeAutospacing="0" w:after="0" w:afterAutospacing="0" w:line="560" w:lineRule="exact"/>
        <w:ind w:firstLineChars="200" w:firstLine="640"/>
        <w:rPr>
          <w:rFonts w:ascii="Times New Roman" w:eastAsia="方正仿宋_GBK" w:hAnsi="Times New Roman"/>
          <w:color w:val="000000"/>
          <w:sz w:val="32"/>
          <w:szCs w:val="32"/>
          <w:shd w:val="clear" w:color="auto" w:fill="FFFFFF"/>
        </w:rPr>
      </w:pPr>
      <w:r>
        <w:rPr>
          <w:rFonts w:ascii="Times New Roman" w:eastAsia="方正仿宋_GBK" w:hAnsi="Times New Roman"/>
          <w:color w:val="000000"/>
          <w:sz w:val="32"/>
          <w:szCs w:val="32"/>
          <w:shd w:val="clear" w:color="auto" w:fill="FFFFFF"/>
        </w:rPr>
        <w:t>花都海关</w:t>
      </w:r>
      <w:r>
        <w:rPr>
          <w:rFonts w:ascii="Times New Roman" w:eastAsia="方正仿宋_GBK" w:hAnsi="Times New Roman" w:hint="eastAsia"/>
          <w:color w:val="000000"/>
          <w:sz w:val="32"/>
          <w:szCs w:val="32"/>
          <w:shd w:val="clear" w:color="auto" w:fill="FFFFFF"/>
        </w:rPr>
        <w:t>2022年</w:t>
      </w:r>
      <w:r>
        <w:rPr>
          <w:rFonts w:ascii="Times New Roman" w:eastAsia="方正仿宋_GBK" w:hAnsi="Times New Roman"/>
          <w:color w:val="000000"/>
          <w:sz w:val="32"/>
          <w:szCs w:val="32"/>
          <w:shd w:val="clear" w:color="auto" w:fill="FFFFFF"/>
        </w:rPr>
        <w:t>年报中提出以下问题：</w:t>
      </w:r>
      <w:r>
        <w:rPr>
          <w:rFonts w:ascii="Times New Roman" w:eastAsia="方正仿宋_GBK" w:hAnsi="Times New Roman" w:hint="eastAsia"/>
          <w:color w:val="000000"/>
          <w:sz w:val="32"/>
          <w:szCs w:val="32"/>
          <w:shd w:val="clear" w:color="auto" w:fill="FFFFFF"/>
        </w:rPr>
        <w:t>政务公开专区建设水平仍有待持续优化，需进一步强化专区规范化建设、提高公开内容质量、优化公开方式、扩大服务覆盖面，多形式搭建海关与社会公众的良性互动桥梁</w:t>
      </w:r>
      <w:r>
        <w:rPr>
          <w:rFonts w:ascii="Times New Roman" w:eastAsia="方正仿宋_GBK" w:hAnsi="Times New Roman"/>
          <w:color w:val="000000"/>
          <w:sz w:val="32"/>
          <w:szCs w:val="32"/>
          <w:shd w:val="clear" w:color="auto" w:fill="FFFFFF"/>
        </w:rPr>
        <w:t>。</w:t>
      </w:r>
    </w:p>
    <w:p>
      <w:pPr>
        <w:pStyle w:val="15"/>
        <w:widowControl/>
        <w:shd w:val="clear" w:color="auto" w:fill="FFFFFF"/>
        <w:spacing w:before="0" w:beforeAutospacing="0" w:after="0" w:afterAutospacing="0" w:line="560" w:lineRule="exact"/>
        <w:ind w:firstLineChars="200" w:firstLine="640"/>
        <w:rPr>
          <w:rFonts w:ascii="Times New Roman" w:eastAsia="方正仿宋_GBK" w:hAnsi="Times New Roman"/>
          <w:color w:val="000000"/>
          <w:sz w:val="32"/>
          <w:szCs w:val="32"/>
          <w:shd w:val="clear" w:color="auto" w:fill="FFFFFF"/>
        </w:rPr>
      </w:pPr>
      <w:r>
        <w:rPr>
          <w:rFonts w:ascii="Times New Roman" w:eastAsia="方正仿宋_GBK" w:hAnsi="Times New Roman"/>
          <w:color w:val="000000"/>
          <w:sz w:val="32"/>
          <w:szCs w:val="32"/>
          <w:shd w:val="clear" w:color="auto" w:fill="FFFFFF"/>
        </w:rPr>
        <w:t>上述问题在</w:t>
      </w:r>
      <w:r>
        <w:rPr>
          <w:rFonts w:ascii="Times New Roman" w:eastAsia="方正仿宋_GBK" w:hAnsi="Times New Roman" w:hint="eastAsia"/>
          <w:color w:val="000000"/>
          <w:sz w:val="32"/>
          <w:szCs w:val="32"/>
          <w:shd w:val="clear" w:color="auto" w:fill="FFFFFF"/>
        </w:rPr>
        <w:t>2023年</w:t>
      </w:r>
      <w:r>
        <w:rPr>
          <w:rFonts w:ascii="Times New Roman" w:eastAsia="方正仿宋_GBK" w:hAnsi="Times New Roman"/>
          <w:color w:val="000000"/>
          <w:sz w:val="32"/>
          <w:szCs w:val="32"/>
          <w:shd w:val="clear" w:color="auto" w:fill="FFFFFF"/>
        </w:rPr>
        <w:t>已采取措施完成整改：</w:t>
      </w:r>
      <w:r>
        <w:rPr>
          <w:rFonts w:ascii="Times New Roman" w:eastAsia="方正仿宋_GBK" w:hAnsi="Times New Roman" w:hint="eastAsia"/>
          <w:color w:val="000000"/>
          <w:sz w:val="32"/>
          <w:szCs w:val="32"/>
          <w:shd w:val="clear" w:color="auto" w:fill="FFFFFF"/>
        </w:rPr>
        <w:t>认真打造</w:t>
      </w:r>
      <w:r>
        <w:rPr>
          <w:rFonts w:ascii="Times New Roman" w:eastAsia="方正仿宋_GBK" w:hAnsi="Times New Roman"/>
          <w:color w:val="000000"/>
          <w:sz w:val="32"/>
          <w:szCs w:val="32"/>
          <w:shd w:val="clear" w:color="auto" w:fill="FFFFFF"/>
        </w:rPr>
        <w:t>花都海关</w:t>
      </w:r>
      <w:r>
        <w:rPr>
          <w:rFonts w:ascii="Times New Roman" w:eastAsia="方正仿宋_GBK" w:hAnsi="Times New Roman" w:hint="eastAsia"/>
          <w:color w:val="000000"/>
          <w:sz w:val="32"/>
          <w:szCs w:val="32"/>
          <w:shd w:val="clear" w:color="auto" w:fill="FFFFFF"/>
        </w:rPr>
        <w:t>“关企连心桥”政务公开品牌，推进</w:t>
      </w:r>
      <w:r>
        <w:rPr>
          <w:rFonts w:ascii="Times New Roman" w:eastAsia="方正仿宋_GBK" w:hAnsi="Times New Roman"/>
          <w:color w:val="000000"/>
          <w:sz w:val="32"/>
          <w:szCs w:val="32"/>
          <w:shd w:val="clear" w:color="auto" w:fill="FFFFFF"/>
        </w:rPr>
        <w:t>基层</w:t>
      </w:r>
      <w:r>
        <w:rPr>
          <w:rFonts w:ascii="Times New Roman" w:eastAsia="方正仿宋_GBK" w:hAnsi="Times New Roman" w:hint="eastAsia"/>
          <w:color w:val="000000"/>
          <w:sz w:val="32"/>
          <w:szCs w:val="32"/>
          <w:shd w:val="clear" w:color="auto" w:fill="FFFFFF"/>
        </w:rPr>
        <w:t>政务公开专区建设，真正架起海关与群众沟通桥梁。</w:t>
      </w:r>
      <w:r>
        <w:rPr>
          <w:rFonts w:ascii="Times New Roman" w:eastAsia="方正仿宋_GBK" w:hAnsi="Times New Roman"/>
          <w:color w:val="000000"/>
          <w:sz w:val="32"/>
          <w:szCs w:val="32"/>
          <w:shd w:val="clear" w:color="auto" w:fill="FFFFFF"/>
        </w:rPr>
        <w:t>在基层</w:t>
      </w:r>
      <w:r>
        <w:rPr>
          <w:rFonts w:ascii="Times New Roman" w:eastAsia="方正仿宋_GBK" w:hAnsi="Times New Roman" w:hint="eastAsia"/>
          <w:color w:val="000000"/>
          <w:sz w:val="32"/>
          <w:szCs w:val="32"/>
          <w:shd w:val="clear" w:color="auto" w:fill="FFFFFF"/>
        </w:rPr>
        <w:t>政务公开专区丰富政务服务内容，提升信息化水平，集政府信息查询、信息公开申请、办事咨询、政策解读、政民互动、便民服务等功能于一体，按照有专人、有设备、有资料的“三有”标准为企业和群众提供“一站式”咨询引导服务，设置政府信息公开指南图解</w:t>
      </w:r>
      <w:r>
        <w:rPr>
          <w:rFonts w:ascii="Times New Roman" w:eastAsia="方正仿宋_GBK" w:hAnsi="Times New Roman"/>
          <w:color w:val="000000"/>
          <w:sz w:val="32"/>
          <w:szCs w:val="32"/>
          <w:shd w:val="clear" w:color="auto" w:fill="FFFFFF"/>
        </w:rPr>
        <w:t>，</w:t>
      </w:r>
      <w:r>
        <w:rPr>
          <w:rFonts w:ascii="Times New Roman" w:eastAsia="方正仿宋_GBK" w:hAnsi="Times New Roman" w:hint="eastAsia"/>
          <w:color w:val="000000"/>
          <w:sz w:val="32"/>
          <w:szCs w:val="32"/>
          <w:shd w:val="clear" w:color="auto" w:fill="FFFFFF"/>
        </w:rPr>
        <w:t>便于直观了解政府信息公开情况，整理放置十余项常见事项办理流程，配备自助查询电脑满足信息查询需求。</w:t>
      </w:r>
    </w:p>
    <w:p>
      <w:pPr>
        <w:pStyle w:val="15"/>
        <w:widowControl/>
        <w:shd w:val="clear" w:color="auto" w:fill="FFFFFF"/>
        <w:spacing w:before="0" w:beforeAutospacing="0" w:after="0" w:afterAutospacing="0" w:line="560" w:lineRule="exact"/>
        <w:ind w:firstLineChars="200" w:firstLine="640"/>
        <w:rPr>
          <w:rFonts w:ascii="方正楷体_GBK" w:eastAsia="方正楷体_GBK"/>
          <w:b/>
          <w:color w:val="000000"/>
          <w:sz w:val="32"/>
          <w:szCs w:val="32"/>
          <w:shd w:val="clear" w:color="auto" w:fill="FFFFFF"/>
        </w:rPr>
      </w:pPr>
      <w:r>
        <w:rPr>
          <w:rFonts w:ascii="方正楷体_GBK" w:eastAsia="方正楷体_GBK" w:hint="eastAsia"/>
          <w:b/>
          <w:color w:val="000000"/>
          <w:sz w:val="32"/>
          <w:szCs w:val="32"/>
          <w:shd w:val="clear" w:color="auto" w:fill="FFFFFF"/>
        </w:rPr>
        <w:t>（二）目前存在问题。</w:t>
      </w:r>
    </w:p>
    <w:p>
      <w:pPr>
        <w:pStyle w:val="15"/>
        <w:widowControl/>
        <w:shd w:val="clear" w:color="auto" w:fill="FFFFFF"/>
        <w:spacing w:before="0" w:beforeAutospacing="0" w:after="0" w:afterAutospacing="0" w:line="560" w:lineRule="exact"/>
        <w:ind w:firstLineChars="200" w:firstLine="640"/>
        <w:rPr>
          <w:rFonts w:ascii="方正仿宋_GBK" w:eastAsia="方正仿宋_GBK"/>
          <w:color w:val="000000"/>
          <w:sz w:val="32"/>
          <w:szCs w:val="32"/>
          <w:shd w:val="clear" w:color="auto" w:fill="FFFFFF"/>
        </w:rPr>
      </w:pPr>
      <w:r>
        <w:rPr>
          <w:rFonts w:ascii="方正仿宋_GBK" w:eastAsia="方正仿宋_GBK" w:hint="eastAsia"/>
          <w:color w:val="000000"/>
          <w:sz w:val="32"/>
          <w:szCs w:val="32"/>
          <w:shd w:val="clear" w:color="auto" w:fill="FFFFFF"/>
        </w:rPr>
        <w:t>目前花都海关“三进”品牌活动开展形式、内容较单一，“三进”品牌活动与政务公开</w:t>
      </w:r>
      <w:r>
        <w:rPr>
          <w:rFonts w:ascii="方正仿宋_GBK" w:eastAsia="方正仿宋_GBK"/>
          <w:color w:val="000000"/>
          <w:sz w:val="32"/>
          <w:szCs w:val="32"/>
          <w:shd w:val="clear" w:color="auto" w:fill="FFFFFF"/>
        </w:rPr>
        <w:t>、政务服务</w:t>
      </w:r>
      <w:r>
        <w:rPr>
          <w:rFonts w:ascii="方正仿宋_GBK" w:eastAsia="方正仿宋_GBK" w:hint="eastAsia"/>
          <w:color w:val="000000"/>
          <w:sz w:val="32"/>
          <w:szCs w:val="32"/>
          <w:shd w:val="clear" w:color="auto" w:fill="FFFFFF"/>
        </w:rPr>
        <w:t>融合开展仍有提高空间</w:t>
      </w:r>
      <w:r>
        <w:rPr>
          <w:rFonts w:ascii="方正仿宋_GBK" w:eastAsia="方正仿宋_GBK"/>
          <w:color w:val="000000"/>
          <w:sz w:val="32"/>
          <w:szCs w:val="32"/>
          <w:shd w:val="clear" w:color="auto" w:fill="FFFFFF"/>
        </w:rPr>
        <w:t>，</w:t>
      </w:r>
      <w:r>
        <w:rPr>
          <w:rFonts w:ascii="方正仿宋_GBK" w:eastAsia="方正仿宋_GBK" w:hint="eastAsia"/>
          <w:color w:val="000000"/>
          <w:sz w:val="32"/>
          <w:szCs w:val="32"/>
          <w:shd w:val="clear" w:color="auto" w:fill="FFFFFF"/>
        </w:rPr>
        <w:t>需继续强化与政务公开工作的深度融合，进一步创新形式、丰富内容。</w:t>
      </w:r>
    </w:p>
    <w:p>
      <w:pPr>
        <w:pStyle w:val="15"/>
        <w:widowControl/>
        <w:shd w:val="clear" w:color="auto" w:fill="FFFFFF"/>
        <w:spacing w:before="0" w:beforeAutospacing="0" w:after="0" w:afterAutospacing="0" w:line="560" w:lineRule="exact"/>
        <w:ind w:firstLineChars="200" w:firstLine="640"/>
        <w:jc w:val="both"/>
        <w:rPr>
          <w:rFonts w:ascii="Times New Roman" w:eastAsia="方正仿宋_GBK" w:hAnsi="Times New Roman"/>
          <w:color w:val="000000"/>
          <w:sz w:val="32"/>
          <w:szCs w:val="32"/>
          <w:shd w:val="clear" w:color="auto" w:fill="FFFFFF"/>
        </w:rPr>
      </w:pPr>
      <w:r>
        <w:rPr>
          <w:rFonts w:ascii="方正黑体_GBK" w:eastAsia="方正黑体_GBK" w:cs="楷体_GB2312" w:hint="eastAsia"/>
          <w:bCs/>
          <w:sz w:val="32"/>
          <w:szCs w:val="32"/>
          <w:shd w:val="clear" w:color="auto" w:fill="FFFFFF"/>
        </w:rPr>
        <w:t>六、其他需要报告的事项</w:t>
      </w:r>
    </w:p>
    <w:p>
      <w:pPr>
        <w:spacing w:line="560" w:lineRule="exact"/>
        <w:ind w:firstLineChars="200" w:firstLine="640"/>
        <w:rPr>
          <w:rFonts w:ascii="Times New Roman" w:eastAsia="方正仿宋_GBK" w:cs="Times New Roman" w:hAnsi="Times New Roman"/>
          <w:color w:val="000000"/>
          <w:kern w:val="0"/>
          <w:sz w:val="32"/>
          <w:szCs w:val="32"/>
          <w:shd w:val="clear" w:color="auto" w:fill="FFFFFF"/>
        </w:rPr>
      </w:pPr>
      <w:r>
        <w:rPr>
          <w:rFonts w:ascii="Times New Roman" w:eastAsia="方正仿宋_GBK" w:cs="Times New Roman" w:hAnsi="Times New Roman" w:hint="eastAsia"/>
          <w:color w:val="000000"/>
          <w:kern w:val="0"/>
          <w:sz w:val="32"/>
          <w:szCs w:val="32"/>
          <w:shd w:val="clear" w:color="auto" w:fill="FFFFFF"/>
        </w:rPr>
        <w:t>花都海关严格按照《国务院办公厅关于印发〈政府信息公开信息处理费管理办法〉的通知》</w:t>
      </w:r>
      <w:r>
        <w:rPr>
          <w:rFonts w:ascii="Times New Roman" w:eastAsia="方正仿宋_GBK" w:cs="Times New Roman" w:hAnsi="Times New Roman" w:hint="eastAsia"/>
          <w:kern w:val="2"/>
          <w:sz w:val="32"/>
          <w:szCs w:val="32"/>
          <w:lang w:val="en-US" w:eastAsia="zh-CN"/>
        </w:rPr>
        <w:t>，规范政府信息公开信息处理费收取工作</w:t>
      </w:r>
      <w:r>
        <w:rPr>
          <w:rFonts w:ascii="Times New Roman" w:eastAsia="方正仿宋_GBK" w:cs="Times New Roman" w:hAnsi="Times New Roman" w:hint="eastAsia"/>
          <w:color w:val="000000"/>
          <w:kern w:val="0"/>
          <w:sz w:val="32"/>
          <w:szCs w:val="32"/>
          <w:shd w:val="clear" w:color="auto" w:fill="FFFFFF"/>
        </w:rPr>
        <w:t>，2023年未收取政府信息公开信息处理费。</w:t>
      </w:r>
    </w:p>
    <w:p>
      <w:pPr>
        <w:pStyle w:val="15"/>
        <w:widowControl/>
        <w:shd w:val="clear" w:color="auto" w:fill="FFFFFF"/>
        <w:spacing w:before="0" w:beforeAutospacing="0" w:after="0" w:afterAutospacing="0" w:line="560" w:lineRule="exact"/>
        <w:ind w:firstLineChars="200" w:firstLine="640"/>
        <w:jc w:val="both"/>
        <w:rPr>
          <w:rFonts w:ascii="Times New Roman" w:eastAsia="方正仿宋_GBK" w:hAnsi="Times New Roman"/>
          <w:color w:val="000000"/>
          <w:sz w:val="32"/>
          <w:szCs w:val="32"/>
          <w:shd w:val="clear" w:color="auto" w:fill="FFFFFF"/>
        </w:rPr>
      </w:pPr>
    </w:p>
    <w:sectPr>
      <w:pgSz w:w="11906" w:h="16838"/>
      <w:pgMar w:top="1440" w:right="1575" w:bottom="1440" w:left="1785"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楷体_GB2312">
    <w:altName w:val="楷体"/>
    <w:panose1 w:val="00000000000000000000"/>
    <w:charset w:val="86"/>
    <w:family w:val="modern"/>
    <w:pitch w:val="variable"/>
    <w:sig w:usb0="00000001" w:usb1="080E0000" w:usb2="00000010" w:usb3="00000000" w:csb0="00040000" w:csb1="00000000"/>
  </w:font>
  <w:font w:name="楷体">
    <w:panose1 w:val="02010609060101010101"/>
    <w:charset w:val="86"/>
    <w:family w:val="modern"/>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8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Normal (Web)"/>
    <w:basedOn w:val="0"/>
    <w:pPr>
      <w:spacing w:before="100" w:beforeAutospacing="1" w:after="100" w:afterAutospacing="1"/>
      <w:jc w:val="left"/>
    </w:pPr>
    <w:rPr>
      <w:rFonts w:ascii="Calibri" w:eastAsia="宋体" w:cs="Times New Roman" w:hAnsi="Calibri"/>
      <w:kern w:val="0"/>
      <w:sz w:val="24"/>
      <w:szCs w:val="24"/>
    </w:rPr>
  </w:style>
  <w:style w:type="paragraph" w:customStyle="1" w:styleId="16">
    <w:name w:val="样式 50 三号"/>
    <w:next w:val="25"/>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styleId="17">
    <w:name w:val="footer"/>
    <w:basedOn w:val="0"/>
    <w:pPr>
      <w:tabs>
        <w:tab w:val="center" w:pos="4153"/>
        <w:tab w:val="right" w:pos="8306"/>
      </w:tabs>
      <w:snapToGrid w:val="0"/>
      <w:jc w:val="left"/>
    </w:pPr>
    <w:rPr>
      <w:rFonts w:ascii="Times New Roman" w:eastAsia="方正仿宋_GBK" w:cs="Times New Roman" w:hAnsi="Times New Roman"/>
      <w:sz w:val="18"/>
      <w:szCs w:val="18"/>
    </w:rPr>
  </w:style>
  <w:style w:type="paragraph" w:customStyle="1" w:styleId="18">
    <w:name w:val="样式 小三"/>
    <w:next w:val="26"/>
    <w:pPr>
      <w:widowControl w:val="0"/>
      <w:jc w:val="both"/>
    </w:pPr>
    <w:rPr>
      <w:rFonts w:ascii="Times New Roman" w:eastAsia="宋体" w:cs="Times New Roman" w:hAnsi="Times New Roman"/>
      <w:kern w:val="2"/>
      <w:sz w:val="30"/>
      <w:szCs w:val="30"/>
      <w:lang w:val="en-US" w:eastAsia="zh-CN" w:bidi="ar-SA"/>
    </w:rPr>
  </w:style>
  <w:style w:type="paragraph" w:customStyle="1" w:styleId="19">
    <w:name w:val="样式 5 小三"/>
    <w:pPr>
      <w:widowControl w:val="0"/>
      <w:jc w:val="both"/>
    </w:pPr>
    <w:rPr>
      <w:rFonts w:ascii="Times New Roman" w:eastAsia="宋体" w:cs="Times New Roman" w:hAnsi="Times New Roman"/>
      <w:kern w:val="2"/>
      <w:sz w:val="30"/>
      <w:szCs w:val="30"/>
      <w:lang w:val="en-US" w:eastAsia="zh-CN" w:bidi="ar-SA"/>
    </w:rPr>
  </w:style>
  <w:style w:type="paragraph" w:customStyle="1" w:styleId="20">
    <w:name w:val="样式 8 小三"/>
    <w:pPr>
      <w:widowControl w:val="0"/>
      <w:jc w:val="both"/>
    </w:pPr>
    <w:rPr>
      <w:rFonts w:ascii="Times New Roman" w:eastAsia="宋体" w:cs="Times New Roman" w:hAnsi="Times New Roman"/>
      <w:kern w:val="2"/>
      <w:sz w:val="30"/>
      <w:szCs w:val="30"/>
      <w:lang w:val="en-US" w:eastAsia="zh-CN" w:bidi="ar-SA"/>
    </w:rPr>
  </w:style>
  <w:style w:type="paragraph" w:customStyle="1" w:styleId="21">
    <w:name w:val="样式 12 小三"/>
    <w:pPr>
      <w:widowControl w:val="0"/>
      <w:jc w:val="both"/>
    </w:pPr>
    <w:rPr>
      <w:rFonts w:ascii="Times New Roman" w:eastAsia="宋体" w:cs="Times New Roman" w:hAnsi="Times New Roman"/>
      <w:kern w:val="2"/>
      <w:sz w:val="30"/>
      <w:szCs w:val="30"/>
      <w:lang w:val="en-US" w:eastAsia="zh-CN" w:bidi="ar-SA"/>
    </w:rPr>
  </w:style>
  <w:style w:type="paragraph" w:customStyle="1" w:styleId="22">
    <w:name w:val="样式 16 小三"/>
    <w:pPr>
      <w:widowControl w:val="0"/>
      <w:jc w:val="both"/>
    </w:pPr>
    <w:rPr>
      <w:rFonts w:ascii="Times New Roman" w:eastAsia="宋体" w:cs="Times New Roman" w:hAnsi="Times New Roman"/>
      <w:kern w:val="2"/>
      <w:sz w:val="30"/>
      <w:szCs w:val="30"/>
      <w:lang w:val="en-US" w:eastAsia="zh-CN" w:bidi="ar-SA"/>
    </w:rPr>
  </w:style>
  <w:style w:type="paragraph" w:customStyle="1" w:styleId="23">
    <w:name w:val="样式 17 小三"/>
    <w:pPr>
      <w:widowControl w:val="0"/>
      <w:jc w:val="both"/>
    </w:pPr>
    <w:rPr>
      <w:rFonts w:ascii="Times New Roman" w:eastAsia="宋体" w:cs="Times New Roman" w:hAnsi="Times New Roman"/>
      <w:kern w:val="2"/>
      <w:sz w:val="30"/>
      <w:szCs w:val="30"/>
      <w:lang w:val="en-US" w:eastAsia="zh-CN" w:bidi="ar-SA"/>
    </w:rPr>
  </w:style>
  <w:style w:type="paragraph" w:styleId="24">
    <w:name w:val="annotation text"/>
    <w:basedOn w:val="0"/>
    <w:pPr>
      <w:jc w:val="left"/>
    </w:pPr>
    <w:rPr>
      <w:rFonts w:ascii="Times New Roman" w:eastAsia="宋体" w:cs="Times New Roman" w:hAnsi="Times New Roman"/>
      <w:szCs w:val="24"/>
    </w:rPr>
  </w:style>
  <w:style w:type="paragraph" w:styleId="25">
    <w:name w:val="index 6"/>
    <w:basedOn w:val="0"/>
    <w:autoRedefine/>
    <w:next w:val="0"/>
    <w:pPr>
      <w:ind w:leftChars="1000" w:left="1000"/>
    </w:pPr>
  </w:style>
  <w:style w:type="paragraph" w:styleId="26">
    <w:name w:val="toc 2"/>
    <w:basedOn w:val="0"/>
    <w:autoRedefine/>
    <w:next w:val="0"/>
    <w:pPr>
      <w:ind w:leftChars="200" w:left="200"/>
    </w:pPr>
  </w:style>
  <w:style w:type="paragraph" w:styleId="27">
    <w:name w:val="Balloon Text"/>
    <w:basedOn w:val="0"/>
    <w:rPr>
      <w:sz w:val="18"/>
      <w:szCs w:val="18"/>
    </w:rPr>
  </w:style>
  <w:style w:type="paragraph" w:styleId="28">
    <w:name w:val="header"/>
    <w:basedOn w:val="0"/>
    <w:pPr>
      <w:pBdr>
        <w:bottom w:val="single" w:sz="6" w:space="1" w:color="auto"/>
      </w:pBdr>
      <w:tabs>
        <w:tab w:val="center" w:pos="4153"/>
        <w:tab w:val="right" w:pos="8306"/>
      </w:tabs>
      <w:snapToGrid w:val="0"/>
      <w:jc w:val="center"/>
    </w:pPr>
    <w:rPr>
      <w:sz w:val="18"/>
      <w:szCs w:val="18"/>
    </w:rPr>
  </w:style>
  <w:style w:type="character" w:customStyle="1" w:styleId="29">
    <w:name w:val="im-content1"/>
    <w:basedOn w:val="10"/>
    <w:rPr>
      <w:vanish w:val="0"/>
      <w:color w:val="000000"/>
    </w:rPr>
  </w:style>
  <w:style w:type="paragraph" w:styleId="30">
    <w:name w:val="annotation subject"/>
    <w:basedOn w:val="24"/>
    <w:next w:val="24"/>
    <w:rPr>
      <w:b/>
    </w:rPr>
  </w:style>
  <w:style w:type="paragraph" w:customStyle="1" w:styleId="31">
    <w:name w:val="样式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0"/>
      <w:w w:val="100"/>
      <w:kern w:val="2"/>
      <w:position w:val="0"/>
      <w:sz w:val="32"/>
      <w:szCs w:val="20"/>
      <w:u w:val="none" w:color="auto"/>
      <w:shd w:val="clear" w:color="auto" w:fill="auto"/>
      <w:vertAlign w:val="baseline"/>
      <w:em w:val="none"/>
      <w:lang w:val="en-US" w:eastAsia="zh-CN" w:bidi="ar-SA"/>
    </w:rPr>
  </w:style>
  <w:style w:type="paragraph" w:customStyle="1" w:styleId="32">
    <w:name w:val="样式 1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33">
    <w:name w:val="样式 小四"/>
    <w:pPr>
      <w:widowControl w:val="0"/>
      <w:spacing w:before="100" w:beforeAutospacing="1" w:after="100" w:afterAutospacing="1"/>
      <w:jc w:val="left"/>
    </w:pPr>
    <w:rPr>
      <w:rFonts w:ascii="Calibri" w:eastAsia="宋体" w:cs="Times New Roman" w:hAnsi="Calibri"/>
      <w:kern w:val="0"/>
      <w:sz w:val="24"/>
      <w:szCs w:val="24"/>
      <w:lang w:val="en-US" w:eastAsia="zh-CN" w:bidi="ar-SA"/>
    </w:rPr>
  </w:style>
  <w:style w:type="paragraph" w:customStyle="1" w:styleId="34">
    <w:name w:val="样式 1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0"/>
      <w:position w:val="0"/>
      <w:sz w:val="24"/>
      <w:szCs w:val="30"/>
      <w:u w:val="none" w:color="auto"/>
      <w:shd w:val="clear" w:color="auto" w:fill="auto"/>
      <w:vertAlign w:val="baseline"/>
      <w:em w:val="none"/>
      <w:lang w:val="en-US" w:eastAsia="zh-CN" w:bidi="ar-SA"/>
    </w:rPr>
  </w:style>
  <w:style w:type="paragraph" w:customStyle="1" w:styleId="35">
    <w:name w:val="样式 1 小三"/>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宋体" w:cs="Times New Roman" w:hAnsi="Times New Roman"/>
      <w:b w:val="0"/>
      <w:i w:val="0"/>
      <w:caps w:val="0"/>
      <w:smallCaps w:val="0"/>
      <w:strike w:val="0"/>
      <w:dstrike w:val="0"/>
      <w:snapToGrid/>
      <w:vanish w:val="0"/>
      <w:color w:val="auto"/>
      <w:spacing w:val="0"/>
      <w:w w:val="100"/>
      <w:kern w:val="2"/>
      <w:position w:val="0"/>
      <w:sz w:val="30"/>
      <w:szCs w:val="30"/>
      <w:u w:val="none" w:color="auto"/>
      <w:shd w:val="clear" w:color="auto" w:fill="auto"/>
      <w:vertAlign w:val="baseline"/>
      <w:em w:val="none"/>
      <w:lang w:val="en-US" w:eastAsia="zh-CN" w:bidi="ar-SA"/>
    </w:rPr>
  </w:style>
  <w:style w:type="paragraph" w:customStyle="1" w:styleId="36">
    <w:name w:val="样式 2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eastAsia="方正仿宋_GBK" w:cs="Times New Roman" w:hAnsi="Times New Roman"/>
      <w:b w:val="0"/>
      <w:i w:val="0"/>
      <w:caps w:val="0"/>
      <w:smallCaps w:val="0"/>
      <w:strike w:val="0"/>
      <w:dstrike w:val="0"/>
      <w:snapToGrid/>
      <w:vanish w:val="0"/>
      <w:color w:val="auto"/>
      <w:spacing w:val="0"/>
      <w:w w:val="100"/>
      <w:kern w:val="2"/>
      <w:position w:val="0"/>
      <w:sz w:val="32"/>
      <w:szCs w:val="22"/>
      <w:u w:val="none" w:color="auto"/>
      <w:shd w:val="clear" w:color="auto" w:fill="auto"/>
      <w:vertAlign w:val="baseline"/>
      <w:em w:val="none"/>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312</TotalTime>
  <Application>Yozo_Office</Application>
  <Pages>6</Pages>
  <Words>2877</Words>
  <Characters>2989</Characters>
  <Lines>451</Lines>
  <Paragraphs>312</Paragraphs>
  <CharactersWithSpaces>2991</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bailei</dc:creator>
  <cp:lastModifiedBy>刘书华</cp:lastModifiedBy>
  <cp:revision>10</cp:revision>
  <dcterms:created xsi:type="dcterms:W3CDTF">2024-01-08T07:47:00Z</dcterms:created>
  <dcterms:modified xsi:type="dcterms:W3CDTF">2024-01-26T02:25:09Z</dcterms:modified>
</cp:coreProperties>
</file>