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39"/>
        <w:shd w:val="clear" w:color="auto" w:fill="auto"/>
        <w:autoSpaceDN w:val="0"/>
        <w:spacing w:line="580" w:lineRule="exact"/>
        <w:jc w:val="center"/>
        <w:rPr>
          <w:rFonts w:ascii="方正小标宋_GBK" w:eastAsia="方正小标宋_GBK" w:cs="方正小标宋_GBK"/>
          <w:sz w:val="44"/>
          <w:szCs w:val="44"/>
          <w:shd w:val="clear" w:color="auto" w:fill="auto"/>
        </w:rPr>
      </w:pPr>
      <w:bookmarkStart w:id="0" w:name="_Hlk25540369"/>
      <w:bookmarkStart w:id="1" w:name="cogw__正文__file"/>
      <w:r>
        <w:rPr>
          <w:rFonts w:ascii="方正小标宋_GBK" w:eastAsia="方正小标宋_GBK" w:cs="方正小标宋_GBK" w:hint="eastAsia"/>
          <w:sz w:val="44"/>
          <w:szCs w:val="44"/>
          <w:shd w:val="clear" w:color="auto" w:fill="auto"/>
        </w:rPr>
        <w:t>广州邮局海关2024年政府信息公开工作</w:t>
      </w:r>
    </w:p>
    <w:p>
      <w:pPr>
        <w:pStyle w:val="39"/>
        <w:shd w:val="clear" w:color="auto" w:fill="auto"/>
        <w:autoSpaceDN w:val="0"/>
        <w:spacing w:line="580" w:lineRule="exact"/>
        <w:jc w:val="center"/>
        <w:rPr>
          <w:rFonts w:ascii="方正小标宋_GBK" w:eastAsia="方正小标宋_GBK" w:cs="方正小标宋_GBK"/>
          <w:sz w:val="44"/>
          <w:szCs w:val="44"/>
          <w:shd w:val="clear" w:color="auto" w:fill="auto"/>
        </w:rPr>
      </w:pPr>
      <w:r>
        <w:rPr>
          <w:rFonts w:ascii="方正小标宋_GBK" w:eastAsia="方正小标宋_GBK" w:cs="方正小标宋_GBK" w:hint="eastAsia"/>
          <w:sz w:val="44"/>
          <w:szCs w:val="44"/>
          <w:shd w:val="clear" w:color="auto" w:fill="auto"/>
        </w:rPr>
        <w:t>年度报告</w:t>
      </w:r>
    </w:p>
    <w:p>
      <w:pPr>
        <w:pStyle w:val="25"/>
        <w:widowControl/>
        <w:shd w:val="clear" w:color="auto" w:fill="auto"/>
        <w:adjustRightInd w:val="0"/>
        <w:snapToGrid w:val="0"/>
        <w:spacing w:beforeAutospacing="0" w:afterAutospacing="0" w:line="560" w:lineRule="exact"/>
        <w:jc w:val="both"/>
        <w:rPr>
          <w:rFonts w:ascii="楷体_GB2312" w:eastAsia="楷体_GB2312" w:cs="楷体_GB2312"/>
          <w:bCs/>
          <w:sz w:val="32"/>
          <w:szCs w:val="32"/>
          <w:shd w:val="clear" w:color="auto" w:fill="auto"/>
        </w:rPr>
      </w:pPr>
      <w:bookmarkEnd w:id="0"/>
    </w:p>
    <w:p>
      <w:pPr>
        <w:pStyle w:val="25"/>
        <w:widowControl/>
        <w:shd w:val="clear" w:color="auto" w:fill="auto"/>
        <w:wordWrap w:val="0"/>
        <w:autoSpaceDN w:val="0"/>
        <w:adjustRightInd w:val="0"/>
        <w:snapToGrid w:val="0"/>
        <w:spacing w:beforeAutospacing="0" w:afterAutospacing="0" w:line="560" w:lineRule="exact"/>
        <w:ind w:firstLineChars="200" w:firstLine="640"/>
        <w:jc w:val="both"/>
        <w:rPr>
          <w:rFonts w:eastAsia="方正仿宋_GBK"/>
          <w:sz w:val="32"/>
          <w:szCs w:val="32"/>
          <w:shd w:val="clear" w:color="auto" w:fill="auto"/>
        </w:rPr>
      </w:pPr>
      <w:r>
        <w:rPr>
          <w:rFonts w:eastAsia="方正仿宋_GBK" w:hint="eastAsia"/>
          <w:sz w:val="32"/>
          <w:szCs w:val="32"/>
          <w:shd w:val="clear" w:color="auto" w:fill="auto"/>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梳理编制广州邮局海关</w:t>
      </w:r>
      <w:r>
        <w:rPr>
          <w:rFonts w:eastAsia="方正仿宋_GBK"/>
          <w:sz w:val="32"/>
          <w:szCs w:val="32"/>
          <w:shd w:val="clear" w:color="auto" w:fill="auto"/>
        </w:rPr>
        <w:t>202</w:t>
      </w:r>
      <w:r>
        <w:rPr>
          <w:rFonts w:eastAsia="方正仿宋_GBK" w:hint="eastAsia"/>
          <w:sz w:val="32"/>
          <w:szCs w:val="32"/>
          <w:shd w:val="clear" w:color="auto" w:fill="auto"/>
        </w:rPr>
        <w:t>4年政府信息公开工作年报。年报中所列数据的统计期限，自</w:t>
      </w:r>
      <w:r>
        <w:rPr>
          <w:rFonts w:eastAsia="方正仿宋_GBK"/>
          <w:sz w:val="32"/>
          <w:szCs w:val="32"/>
          <w:shd w:val="clear" w:color="auto" w:fill="auto"/>
        </w:rPr>
        <w:t>202</w:t>
      </w:r>
      <w:r>
        <w:rPr>
          <w:rFonts w:eastAsia="方正仿宋_GBK" w:hint="eastAsia"/>
          <w:sz w:val="32"/>
          <w:szCs w:val="32"/>
          <w:shd w:val="clear" w:color="auto" w:fill="auto"/>
        </w:rPr>
        <w:t>4年</w:t>
      </w:r>
      <w:r>
        <w:rPr>
          <w:rFonts w:eastAsia="方正仿宋_GBK"/>
          <w:sz w:val="32"/>
          <w:szCs w:val="32"/>
          <w:shd w:val="clear" w:color="auto" w:fill="auto"/>
        </w:rPr>
        <w:t>1</w:t>
      </w:r>
      <w:r>
        <w:rPr>
          <w:rFonts w:eastAsia="方正仿宋_GBK" w:hint="eastAsia"/>
          <w:sz w:val="32"/>
          <w:szCs w:val="32"/>
          <w:shd w:val="clear" w:color="auto" w:fill="auto"/>
        </w:rPr>
        <w:t>月</w:t>
      </w:r>
      <w:r>
        <w:rPr>
          <w:rFonts w:eastAsia="方正仿宋_GBK"/>
          <w:sz w:val="32"/>
          <w:szCs w:val="32"/>
          <w:shd w:val="clear" w:color="auto" w:fill="auto"/>
        </w:rPr>
        <w:t>1</w:t>
      </w:r>
      <w:r>
        <w:rPr>
          <w:rFonts w:eastAsia="方正仿宋_GBK" w:hint="eastAsia"/>
          <w:sz w:val="32"/>
          <w:szCs w:val="32"/>
          <w:shd w:val="clear" w:color="auto" w:fill="auto"/>
        </w:rPr>
        <w:t>日起至</w:t>
      </w:r>
      <w:r>
        <w:rPr>
          <w:rFonts w:eastAsia="方正仿宋_GBK"/>
          <w:sz w:val="32"/>
          <w:szCs w:val="32"/>
          <w:shd w:val="clear" w:color="auto" w:fill="auto"/>
        </w:rPr>
        <w:t>202</w:t>
      </w:r>
      <w:r>
        <w:rPr>
          <w:rFonts w:eastAsia="方正仿宋_GBK" w:hint="eastAsia"/>
          <w:sz w:val="32"/>
          <w:szCs w:val="32"/>
          <w:shd w:val="clear" w:color="auto" w:fill="auto"/>
        </w:rPr>
        <w:t>4年</w:t>
      </w:r>
      <w:r>
        <w:rPr>
          <w:rFonts w:eastAsia="方正仿宋_GBK"/>
          <w:sz w:val="32"/>
          <w:szCs w:val="32"/>
          <w:shd w:val="clear" w:color="auto" w:fill="auto"/>
        </w:rPr>
        <w:t>12</w:t>
      </w:r>
      <w:r>
        <w:rPr>
          <w:rFonts w:eastAsia="方正仿宋_GBK" w:hint="eastAsia"/>
          <w:sz w:val="32"/>
          <w:szCs w:val="32"/>
          <w:shd w:val="clear" w:color="auto" w:fill="auto"/>
        </w:rPr>
        <w:t>月</w:t>
      </w:r>
      <w:r>
        <w:rPr>
          <w:rFonts w:eastAsia="方正仿宋_GBK"/>
          <w:sz w:val="32"/>
          <w:szCs w:val="32"/>
          <w:shd w:val="clear" w:color="auto" w:fill="auto"/>
        </w:rPr>
        <w:t>31</w:t>
      </w:r>
      <w:r>
        <w:rPr>
          <w:rFonts w:eastAsia="方正仿宋_GBK" w:hint="eastAsia"/>
          <w:sz w:val="32"/>
          <w:szCs w:val="32"/>
          <w:shd w:val="clear" w:color="auto" w:fill="auto"/>
        </w:rPr>
        <w:t>日止。如对本年报有疑问或有任何意见、建议，请联系广州邮局海关办公室。地址：广东省广州市越秀区站南路</w:t>
      </w:r>
      <w:r>
        <w:rPr>
          <w:rFonts w:eastAsia="方正仿宋_GBK"/>
          <w:sz w:val="32"/>
          <w:szCs w:val="32"/>
          <w:shd w:val="clear" w:color="auto" w:fill="auto"/>
        </w:rPr>
        <w:t>4</w:t>
      </w:r>
      <w:r>
        <w:rPr>
          <w:rFonts w:eastAsia="方正仿宋_GBK" w:hint="eastAsia"/>
          <w:sz w:val="32"/>
          <w:szCs w:val="32"/>
          <w:shd w:val="clear" w:color="auto" w:fill="auto"/>
        </w:rPr>
        <w:t>号流花邮政大院，邮编：</w:t>
      </w:r>
      <w:r>
        <w:rPr>
          <w:rFonts w:eastAsia="方正仿宋_GBK"/>
          <w:sz w:val="32"/>
          <w:szCs w:val="32"/>
          <w:shd w:val="clear" w:color="auto" w:fill="auto"/>
        </w:rPr>
        <w:t>510010</w:t>
      </w:r>
      <w:r>
        <w:rPr>
          <w:rFonts w:eastAsia="方正仿宋_GBK" w:hint="eastAsia"/>
          <w:sz w:val="32"/>
          <w:szCs w:val="32"/>
          <w:shd w:val="clear" w:color="auto" w:fill="auto"/>
        </w:rPr>
        <w:t>；电话：</w:t>
      </w:r>
      <w:r>
        <w:rPr>
          <w:rFonts w:eastAsia="方正仿宋_GBK"/>
          <w:sz w:val="32"/>
          <w:szCs w:val="32"/>
          <w:shd w:val="clear" w:color="auto" w:fill="auto"/>
        </w:rPr>
        <w:t>020-81134010</w:t>
      </w:r>
      <w:r>
        <w:rPr>
          <w:rFonts w:eastAsia="方正仿宋_GBK" w:hint="eastAsia"/>
          <w:sz w:val="32"/>
          <w:szCs w:val="32"/>
          <w:shd w:val="clear" w:color="auto" w:fill="auto"/>
        </w:rPr>
        <w:t>；电子邮箱：</w:t>
      </w:r>
      <w:r>
        <w:rPr>
          <w:rFonts w:eastAsia="方正仿宋_GBK"/>
          <w:sz w:val="32"/>
          <w:szCs w:val="32"/>
          <w:shd w:val="clear" w:color="auto" w:fill="auto"/>
        </w:rPr>
        <w:t>gzhgyjhg@customs.gov.cn</w:t>
      </w:r>
      <w:r>
        <w:rPr>
          <w:rFonts w:eastAsia="方正仿宋_GBK" w:hint="eastAsia"/>
          <w:sz w:val="32"/>
          <w:szCs w:val="32"/>
          <w:shd w:val="clear" w:color="auto" w:fill="auto"/>
        </w:rPr>
        <w:t>。</w:t>
      </w:r>
    </w:p>
    <w:p>
      <w:pPr>
        <w:pStyle w:val="25"/>
        <w:widowControl/>
        <w:shd w:val="clear" w:color="auto" w:fill="auto"/>
        <w:adjustRightInd w:val="0"/>
        <w:snapToGrid w:val="0"/>
        <w:spacing w:beforeAutospacing="0" w:afterAutospacing="0" w:line="560" w:lineRule="exact"/>
        <w:ind w:firstLineChars="200" w:firstLine="640"/>
        <w:jc w:val="both"/>
        <w:rPr>
          <w:rFonts w:ascii="方正黑体_GBK" w:eastAsia="方正黑体_GBK" w:cs="楷体_GB2312"/>
          <w:bCs/>
          <w:sz w:val="32"/>
          <w:szCs w:val="32"/>
          <w:shd w:val="clear" w:color="auto" w:fill="auto"/>
        </w:rPr>
      </w:pPr>
      <w:r>
        <w:rPr>
          <w:rFonts w:ascii="方正黑体_GBK" w:eastAsia="方正黑体_GBK" w:cs="楷体_GB2312" w:hint="eastAsia"/>
          <w:bCs/>
          <w:sz w:val="32"/>
          <w:szCs w:val="32"/>
          <w:shd w:val="clear" w:color="auto" w:fill="auto"/>
        </w:rPr>
        <w:t>一、总体情况</w:t>
      </w:r>
    </w:p>
    <w:p>
      <w:pPr>
        <w:pStyle w:val="35"/>
        <w:shd w:val="clear" w:color="auto" w:fill="auto"/>
        <w:adjustRightInd w:val="0"/>
        <w:snapToGrid w:val="0"/>
        <w:ind w:firstLineChars="200" w:firstLine="624"/>
        <w:rPr>
          <w:rFonts w:ascii="方正仿宋_GBK" w:cs="Arial"/>
          <w:szCs w:val="32"/>
          <w:shd w:val="clear" w:color="auto" w:fill="auto"/>
        </w:rPr>
      </w:pPr>
      <w:r>
        <w:rPr>
          <w:szCs w:val="32"/>
          <w:shd w:val="clear" w:color="auto" w:fill="auto"/>
        </w:rPr>
        <w:t>2024</w:t>
      </w:r>
      <w:r>
        <w:rPr>
          <w:rFonts w:ascii="方正仿宋_GBK" w:cs="Arial" w:hint="eastAsia"/>
          <w:szCs w:val="32"/>
          <w:shd w:val="clear" w:color="auto" w:fill="auto"/>
        </w:rPr>
        <w:t>年，广州</w:t>
      </w:r>
      <w:r>
        <w:rPr>
          <w:rFonts w:ascii="方正仿宋_GBK" w:cs="Arial"/>
          <w:szCs w:val="32"/>
          <w:shd w:val="clear" w:color="auto" w:fill="auto"/>
        </w:rPr>
        <w:t>邮局海关</w:t>
      </w:r>
      <w:r>
        <w:rPr>
          <w:rFonts w:ascii="方正仿宋_GBK" w:cs="Arial" w:hint="eastAsia"/>
          <w:szCs w:val="32"/>
          <w:shd w:val="clear" w:color="auto" w:fill="auto"/>
        </w:rPr>
        <w:t>以习近平新时代中国特色社会主义思想为指导，全面贯彻落实党的二十大和二十</w:t>
      </w:r>
      <w:r>
        <w:rPr>
          <w:rFonts w:ascii="方正仿宋_GBK" w:cs="Arial"/>
          <w:szCs w:val="32"/>
          <w:shd w:val="clear" w:color="auto" w:fill="auto"/>
        </w:rPr>
        <w:t>届</w:t>
      </w:r>
      <w:r>
        <w:rPr>
          <w:rFonts w:ascii="方正仿宋_GBK" w:cs="Arial" w:hint="eastAsia"/>
          <w:szCs w:val="32"/>
          <w:shd w:val="clear" w:color="auto" w:fill="auto"/>
        </w:rPr>
        <w:t>二中、</w:t>
      </w:r>
      <w:r>
        <w:rPr>
          <w:rFonts w:ascii="方正仿宋_GBK" w:cs="Arial"/>
          <w:szCs w:val="32"/>
          <w:shd w:val="clear" w:color="auto" w:fill="auto"/>
        </w:rPr>
        <w:t>三中</w:t>
      </w:r>
      <w:r>
        <w:rPr>
          <w:rFonts w:ascii="方正仿宋_GBK" w:cs="Arial" w:hint="eastAsia"/>
          <w:szCs w:val="32"/>
          <w:shd w:val="clear" w:color="auto" w:fill="auto"/>
        </w:rPr>
        <w:t>全会精神，深入学习领会习近平总书记</w:t>
      </w:r>
      <w:r>
        <w:rPr>
          <w:rFonts w:ascii="Times New Roman" w:eastAsia="方正仿宋_GBK" w:hAnsi="Times New Roman"/>
          <w:sz w:val="32"/>
          <w:szCs w:val="32"/>
          <w:shd w:val="clear" w:color="auto" w:fill="auto"/>
        </w:rPr>
        <w:t>重要指示批示和</w:t>
      </w:r>
      <w:r>
        <w:rPr>
          <w:rFonts w:ascii="方正仿宋_GBK" w:cs="Arial" w:hint="eastAsia"/>
          <w:szCs w:val="32"/>
          <w:shd w:val="clear" w:color="auto" w:fill="auto"/>
        </w:rPr>
        <w:t>给红其拉甫海关全体关员重要回信精神，严格落实《中华人民共和国政府信息公开条例》及相关要求，深刻把握党中央、国务院关于全面推进</w:t>
      </w:r>
      <w:r>
        <w:rPr>
          <w:rFonts w:ascii="方正仿宋_GBK" w:cs="Arial"/>
          <w:szCs w:val="32"/>
          <w:shd w:val="clear" w:color="auto" w:fill="auto"/>
        </w:rPr>
        <w:t>新时代</w:t>
      </w:r>
      <w:r>
        <w:rPr>
          <w:rFonts w:ascii="方正仿宋_GBK" w:cs="Arial" w:hint="eastAsia"/>
          <w:szCs w:val="32"/>
          <w:shd w:val="clear" w:color="auto" w:fill="auto"/>
        </w:rPr>
        <w:t>政务公开工作部署，积极回应企业群众诉求，</w:t>
      </w:r>
      <w:r>
        <w:rPr>
          <w:rFonts w:ascii="方正仿宋_GBK" w:cs="Arial"/>
          <w:szCs w:val="32"/>
          <w:shd w:val="clear" w:color="auto" w:fill="auto"/>
        </w:rPr>
        <w:t>进一步</w:t>
      </w:r>
      <w:r>
        <w:rPr>
          <w:rFonts w:ascii="方正仿宋_GBK" w:cs="Arial" w:hint="eastAsia"/>
          <w:szCs w:val="32"/>
          <w:shd w:val="clear" w:color="auto" w:fill="auto"/>
        </w:rPr>
        <w:t>增强公开</w:t>
      </w:r>
      <w:r>
        <w:rPr>
          <w:rFonts w:ascii="方正仿宋_GBK" w:cs="Arial"/>
          <w:szCs w:val="32"/>
          <w:shd w:val="clear" w:color="auto" w:fill="auto"/>
        </w:rPr>
        <w:t>质</w:t>
      </w:r>
      <w:r>
        <w:rPr>
          <w:rFonts w:ascii="方正仿宋_GBK" w:cs="Arial" w:hint="eastAsia"/>
          <w:szCs w:val="32"/>
          <w:shd w:val="clear" w:color="auto" w:fill="auto"/>
        </w:rPr>
        <w:t>效，切实提升基层政务公开标准化规范化水平。现将工作情况报告如下：</w:t>
      </w:r>
    </w:p>
    <w:p>
      <w:pPr>
        <w:pStyle w:val="35"/>
        <w:shd w:val="clear" w:color="auto" w:fill="auto"/>
        <w:adjustRightInd w:val="0"/>
        <w:snapToGrid w:val="0"/>
        <w:ind w:firstLineChars="200" w:firstLine="640"/>
        <w:rPr>
          <w:rFonts w:ascii="方正仿宋_GBK" w:cs="Arial"/>
          <w:szCs w:val="32"/>
          <w:shd w:val="clear" w:color="auto" w:fill="auto"/>
        </w:rPr>
      </w:pPr>
      <w:r>
        <w:rPr>
          <w:rFonts w:ascii="方正楷体_GBK" w:eastAsia="方正楷体_GBK" w:hint="eastAsia"/>
          <w:b/>
          <w:bCs/>
          <w:spacing w:val="0"/>
          <w:szCs w:val="32"/>
          <w:shd w:val="clear" w:color="auto" w:fill="auto"/>
        </w:rPr>
        <w:t>（一）主动公开方面。</w:t>
      </w:r>
    </w:p>
    <w:p>
      <w:pPr>
        <w:pStyle w:val="35"/>
        <w:shd w:val="clear" w:color="auto" w:fill="auto"/>
        <w:adjustRightInd w:val="0"/>
        <w:snapToGrid w:val="0"/>
        <w:ind w:firstLineChars="200" w:firstLine="624"/>
        <w:rPr>
          <w:rFonts w:ascii="方正仿宋_GBK" w:cs="Arial"/>
          <w:szCs w:val="32"/>
          <w:shd w:val="clear" w:color="auto" w:fill="auto"/>
        </w:rPr>
      </w:pPr>
      <w:r>
        <w:rPr>
          <w:rFonts w:ascii="方正仿宋_GBK" w:cs="Arial" w:hint="eastAsia"/>
          <w:szCs w:val="32"/>
          <w:shd w:val="clear" w:color="auto" w:fill="auto"/>
        </w:rPr>
        <w:t>紧紧围绕新时代政务公开</w:t>
      </w:r>
      <w:r>
        <w:rPr>
          <w:rFonts w:ascii="方正仿宋_GBK" w:cs="Arial"/>
          <w:szCs w:val="32"/>
          <w:shd w:val="clear" w:color="auto" w:fill="auto"/>
        </w:rPr>
        <w:t>要求</w:t>
      </w:r>
      <w:r>
        <w:rPr>
          <w:rFonts w:ascii="方正仿宋_GBK" w:cs="Arial" w:hint="eastAsia"/>
          <w:szCs w:val="32"/>
          <w:shd w:val="clear" w:color="auto" w:fill="auto"/>
        </w:rPr>
        <w:t>，依法推进</w:t>
      </w:r>
      <w:r>
        <w:rPr>
          <w:rFonts w:ascii="方正仿宋_GBK" w:cs="Arial"/>
          <w:szCs w:val="32"/>
          <w:shd w:val="clear" w:color="auto" w:fill="auto"/>
        </w:rPr>
        <w:t>主动</w:t>
      </w:r>
      <w:r>
        <w:rPr>
          <w:rFonts w:ascii="方正仿宋_GBK" w:cs="Arial" w:hint="eastAsia"/>
          <w:szCs w:val="32"/>
          <w:shd w:val="clear" w:color="auto" w:fill="auto"/>
        </w:rPr>
        <w:t>公开</w:t>
      </w:r>
      <w:r>
        <w:rPr>
          <w:rFonts w:ascii="方正仿宋_GBK" w:cs="Arial"/>
          <w:szCs w:val="32"/>
          <w:shd w:val="clear" w:color="auto" w:fill="auto"/>
        </w:rPr>
        <w:t>信息公开到位</w:t>
      </w:r>
      <w:r>
        <w:rPr>
          <w:rFonts w:ascii="方正仿宋_GBK" w:cs="Arial" w:hint="eastAsia"/>
          <w:szCs w:val="32"/>
          <w:shd w:val="clear" w:color="auto" w:fill="auto"/>
        </w:rPr>
        <w:t>。通过广州海关门户网站</w:t>
      </w:r>
      <w:r>
        <w:rPr>
          <w:rFonts w:ascii="方正仿宋_GBK" w:cs="Arial"/>
          <w:szCs w:val="32"/>
          <w:shd w:val="clear" w:color="auto" w:fill="auto"/>
        </w:rPr>
        <w:t>、</w:t>
      </w:r>
      <w:r>
        <w:rPr>
          <w:rFonts w:ascii="方正仿宋_GBK" w:cs="Arial" w:hint="eastAsia"/>
          <w:szCs w:val="32"/>
          <w:shd w:val="clear" w:color="auto" w:fill="auto"/>
        </w:rPr>
        <w:t>对外办事大厅公告栏</w:t>
      </w:r>
      <w:r>
        <w:rPr>
          <w:rFonts w:ascii="方正仿宋_GBK" w:cs="Arial"/>
          <w:szCs w:val="32"/>
          <w:shd w:val="clear" w:color="auto" w:fill="auto"/>
        </w:rPr>
        <w:t>等渠道，</w:t>
      </w:r>
      <w:r>
        <w:rPr>
          <w:rFonts w:ascii="方正仿宋_GBK" w:cs="Arial" w:hint="eastAsia"/>
          <w:szCs w:val="32"/>
          <w:shd w:val="clear" w:color="auto" w:fill="auto"/>
        </w:rPr>
        <w:t>公布机构职能、办事信息、财务预决算、涉案财物拍卖处置、行政案件公告送达以及“双随机、一公开”等信息。结合实际更新《广州邮局海关政务公开标准事项目录》，明确</w:t>
      </w:r>
      <w:r>
        <w:rPr>
          <w:szCs w:val="32"/>
          <w:shd w:val="clear" w:color="auto" w:fill="auto"/>
        </w:rPr>
        <w:t>7个一级公开事项、24个二级公开事项的公开内容、公开依据、</w:t>
      </w:r>
      <w:r>
        <w:rPr>
          <w:rFonts w:ascii="方正仿宋_GBK" w:cs="Arial" w:hint="eastAsia"/>
          <w:szCs w:val="32"/>
          <w:shd w:val="clear" w:color="auto" w:fill="auto"/>
        </w:rPr>
        <w:t>公开时限、公开载体等，便利</w:t>
      </w:r>
      <w:r>
        <w:rPr>
          <w:rFonts w:ascii="方正仿宋_GBK" w:cs="Arial"/>
          <w:szCs w:val="32"/>
          <w:shd w:val="clear" w:color="auto" w:fill="auto"/>
        </w:rPr>
        <w:t>企业</w:t>
      </w:r>
      <w:r>
        <w:rPr>
          <w:rFonts w:ascii="方正仿宋_GBK" w:cs="Arial" w:hint="eastAsia"/>
          <w:szCs w:val="32"/>
          <w:shd w:val="clear" w:color="auto" w:fill="auto"/>
        </w:rPr>
        <w:t>公众及时获取信息。</w:t>
      </w:r>
    </w:p>
    <w:p>
      <w:pPr>
        <w:pStyle w:val="35"/>
        <w:shd w:val="clear" w:color="auto" w:fill="auto"/>
        <w:adjustRightInd w:val="0"/>
        <w:snapToGrid w:val="0"/>
        <w:ind w:firstLineChars="200" w:firstLine="640"/>
        <w:rPr>
          <w:rFonts w:ascii="方正仿宋_GBK" w:cs="Arial"/>
          <w:szCs w:val="32"/>
          <w:shd w:val="clear" w:color="auto" w:fill="auto"/>
        </w:rPr>
      </w:pPr>
      <w:r>
        <w:rPr>
          <w:rFonts w:ascii="方正楷体_GBK" w:eastAsia="方正楷体_GBK" w:hint="eastAsia"/>
          <w:b/>
          <w:bCs/>
          <w:spacing w:val="0"/>
          <w:szCs w:val="32"/>
          <w:shd w:val="clear" w:color="auto" w:fill="auto"/>
        </w:rPr>
        <w:t>（二）依申请公开方面。</w:t>
      </w:r>
    </w:p>
    <w:p>
      <w:pPr>
        <w:pStyle w:val="35"/>
        <w:shd w:val="clear" w:color="auto" w:fill="auto"/>
        <w:adjustRightInd w:val="0"/>
        <w:snapToGrid w:val="0"/>
        <w:ind w:firstLineChars="200" w:firstLine="624"/>
        <w:rPr>
          <w:rFonts w:ascii="方正楷体_GBK" w:eastAsia="方正楷体_GBK"/>
          <w:b/>
          <w:bCs/>
          <w:spacing w:val="0"/>
          <w:szCs w:val="32"/>
          <w:shd w:val="clear" w:color="auto" w:fill="auto"/>
        </w:rPr>
      </w:pPr>
      <w:r>
        <w:rPr>
          <w:rFonts w:ascii="方正仿宋_GBK" w:cs="Arial" w:hint="eastAsia"/>
          <w:szCs w:val="32"/>
          <w:shd w:val="clear" w:color="auto" w:fill="auto"/>
        </w:rPr>
        <w:t>安排专人负责查看本关各类依申请公开受理渠道，确保现场受理、邮政信函、电子邮箱、传真等渠道畅通。严格规范依申请公开办理流程，切实做到答复内容准确、办理程序合法。</w:t>
      </w:r>
      <w:r>
        <w:rPr>
          <w:szCs w:val="32"/>
          <w:shd w:val="clear" w:color="auto" w:fill="auto"/>
        </w:rPr>
        <w:t>年内受理政府信息公开申请2件</w:t>
      </w:r>
      <w:r>
        <w:rPr>
          <w:rFonts w:ascii="方正仿宋_GBK" w:cs="Arial" w:hint="eastAsia"/>
          <w:szCs w:val="32"/>
          <w:shd w:val="clear" w:color="auto" w:fill="auto"/>
        </w:rPr>
        <w:t>，均已按期办结，未</w:t>
      </w:r>
      <w:r>
        <w:rPr>
          <w:rFonts w:ascii="方正仿宋_GBK" w:cs="Arial"/>
          <w:szCs w:val="32"/>
          <w:shd w:val="clear" w:color="auto" w:fill="auto"/>
        </w:rPr>
        <w:t>发生</w:t>
      </w:r>
      <w:r>
        <w:rPr>
          <w:rFonts w:ascii="方正仿宋_GBK" w:cs="Arial" w:hint="eastAsia"/>
          <w:szCs w:val="32"/>
          <w:shd w:val="clear" w:color="auto" w:fill="auto"/>
        </w:rPr>
        <w:t>因政府信息公开申请引发的行政复议、诉讼。</w:t>
      </w:r>
    </w:p>
    <w:p>
      <w:pPr>
        <w:pStyle w:val="35"/>
        <w:shd w:val="clear" w:color="auto" w:fill="auto"/>
        <w:adjustRightInd w:val="0"/>
        <w:snapToGrid w:val="0"/>
        <w:ind w:firstLineChars="200" w:firstLine="640"/>
        <w:rPr>
          <w:rFonts w:ascii="方正仿宋_GBK" w:cs="Arial"/>
          <w:szCs w:val="32"/>
          <w:shd w:val="clear" w:color="auto" w:fill="auto"/>
        </w:rPr>
      </w:pPr>
      <w:r>
        <w:rPr>
          <w:rFonts w:ascii="方正楷体_GBK" w:eastAsia="方正楷体_GBK" w:hint="eastAsia"/>
          <w:b/>
          <w:bCs/>
          <w:spacing w:val="0"/>
          <w:szCs w:val="32"/>
          <w:shd w:val="clear" w:color="auto" w:fill="auto"/>
        </w:rPr>
        <w:t>（三）政府信息公开平台建设方面。</w:t>
      </w:r>
    </w:p>
    <w:p>
      <w:pPr>
        <w:pStyle w:val="35"/>
        <w:shd w:val="clear" w:color="auto" w:fill="auto"/>
        <w:adjustRightInd w:val="0"/>
        <w:snapToGrid w:val="0"/>
        <w:ind w:firstLineChars="200" w:firstLine="624"/>
        <w:rPr>
          <w:rFonts w:ascii="方正楷体_GBK" w:eastAsia="方正楷体_GBK"/>
          <w:b/>
          <w:bCs/>
          <w:spacing w:val="0"/>
          <w:szCs w:val="32"/>
          <w:shd w:val="clear" w:color="auto" w:fill="auto"/>
        </w:rPr>
      </w:pPr>
      <w:r>
        <w:rPr>
          <w:rFonts w:ascii="方正仿宋_GBK" w:cs="Arial" w:hint="eastAsia"/>
          <w:b/>
          <w:bCs/>
          <w:szCs w:val="32"/>
          <w:shd w:val="clear" w:color="auto" w:fill="auto"/>
        </w:rPr>
        <w:t>一是</w:t>
      </w:r>
      <w:r>
        <w:rPr>
          <w:rFonts w:ascii="方正仿宋_GBK" w:cs="Arial" w:hint="eastAsia"/>
          <w:szCs w:val="32"/>
          <w:shd w:val="clear" w:color="auto" w:fill="auto"/>
        </w:rPr>
        <w:t>持续推进基层政务公开专区标准化规范化建设，优化适老设施设备，更新维护进出境寄递物品监管等业务办理指南</w:t>
      </w:r>
      <w:r>
        <w:rPr>
          <w:szCs w:val="32"/>
          <w:shd w:val="clear" w:color="auto" w:fill="auto"/>
        </w:rPr>
        <w:t>8</w:t>
      </w:r>
      <w:r>
        <w:rPr>
          <w:rFonts w:ascii="方正仿宋_GBK" w:cs="Arial" w:hint="eastAsia"/>
          <w:szCs w:val="32"/>
          <w:shd w:val="clear" w:color="auto" w:fill="auto"/>
        </w:rPr>
        <w:t>份。</w:t>
      </w:r>
      <w:r>
        <w:rPr>
          <w:rFonts w:ascii="方正仿宋_GBK" w:cs="Arial" w:hint="eastAsia"/>
          <w:b/>
          <w:bCs/>
          <w:szCs w:val="32"/>
          <w:shd w:val="clear" w:color="auto" w:fill="auto"/>
        </w:rPr>
        <w:t>二是</w:t>
      </w:r>
      <w:r>
        <w:rPr>
          <w:rFonts w:ascii="方正仿宋_GBK" w:cs="Arial" w:hint="eastAsia"/>
          <w:szCs w:val="32"/>
          <w:shd w:val="clear" w:color="auto" w:fill="auto"/>
        </w:rPr>
        <w:t>强化办事窗口建设，张贴办事指引，明确业务办理流程，提</w:t>
      </w:r>
      <w:r>
        <w:rPr>
          <w:rFonts w:ascii="方正仿宋_GBK" w:cs="Arial"/>
          <w:szCs w:val="32"/>
          <w:shd w:val="clear" w:color="auto" w:fill="auto"/>
        </w:rPr>
        <w:t>高</w:t>
      </w:r>
      <w:r>
        <w:rPr>
          <w:rFonts w:ascii="方正仿宋_GBK" w:cs="Arial" w:hint="eastAsia"/>
          <w:szCs w:val="32"/>
          <w:shd w:val="clear" w:color="auto" w:fill="auto"/>
        </w:rPr>
        <w:t>业务咨询问题的处置水平，严格落实“首问责任制”，提升窗口办事效率，</w:t>
      </w:r>
      <w:r>
        <w:rPr>
          <w:szCs w:val="32"/>
          <w:shd w:val="clear" w:color="auto" w:fill="auto"/>
        </w:rPr>
        <w:t>2024年服务来电来访群众</w:t>
      </w:r>
      <w:r>
        <w:rPr>
          <w:rFonts w:hint="eastAsia"/>
          <w:szCs w:val="32"/>
          <w:shd w:val="clear" w:color="auto" w:fill="auto"/>
        </w:rPr>
        <w:t>5000余</w:t>
      </w:r>
      <w:r>
        <w:rPr>
          <w:szCs w:val="32"/>
          <w:shd w:val="clear" w:color="auto" w:fill="auto"/>
        </w:rPr>
        <w:t>人次。</w:t>
      </w:r>
      <w:r>
        <w:rPr>
          <w:rFonts w:hint="eastAsia"/>
          <w:b/>
          <w:bCs/>
          <w:szCs w:val="32"/>
          <w:shd w:val="clear" w:color="auto" w:fill="auto"/>
        </w:rPr>
        <w:t>三是</w:t>
      </w:r>
      <w:r>
        <w:rPr>
          <w:rFonts w:ascii="方正仿宋_GBK" w:cs="Arial" w:hint="eastAsia"/>
          <w:szCs w:val="32"/>
          <w:shd w:val="clear" w:color="auto" w:fill="auto"/>
        </w:rPr>
        <w:t>用好“关长联系企业”“关长送政策上门”机制，形成企业问题诉求“收集+处置+反馈”闭环，</w:t>
      </w:r>
      <w:r>
        <w:rPr>
          <w:rFonts w:ascii="方正仿宋_GBK" w:cs="Arial"/>
          <w:szCs w:val="32"/>
          <w:shd w:val="clear" w:color="auto" w:fill="auto"/>
        </w:rPr>
        <w:t>年内共</w:t>
      </w:r>
      <w:r>
        <w:rPr>
          <w:rFonts w:ascii="方正仿宋_GBK" w:cs="Arial" w:hint="eastAsia"/>
          <w:szCs w:val="32"/>
          <w:shd w:val="clear" w:color="auto" w:fill="auto"/>
        </w:rPr>
        <w:t>解决企业</w:t>
      </w:r>
      <w:r>
        <w:rPr>
          <w:rFonts w:ascii="方正仿宋_GBK" w:cs="Arial"/>
          <w:szCs w:val="32"/>
          <w:shd w:val="clear" w:color="auto" w:fill="auto"/>
        </w:rPr>
        <w:t>问题诉</w:t>
      </w:r>
      <w:r>
        <w:rPr>
          <w:rFonts w:ascii="方正仿宋_GBK" w:cs="Arial" w:hint="eastAsia"/>
          <w:szCs w:val="32"/>
          <w:shd w:val="clear" w:color="auto" w:fill="auto"/>
        </w:rPr>
        <w:t>求</w:t>
      </w:r>
      <w:r>
        <w:rPr>
          <w:szCs w:val="32"/>
          <w:shd w:val="clear" w:color="auto" w:fill="auto"/>
        </w:rPr>
        <w:t>11</w:t>
      </w:r>
      <w:r>
        <w:rPr>
          <w:rFonts w:ascii="方正仿宋_GBK" w:cs="Arial" w:hint="eastAsia"/>
          <w:szCs w:val="32"/>
          <w:shd w:val="clear" w:color="auto" w:fill="auto"/>
        </w:rPr>
        <w:t>项，</w:t>
      </w:r>
      <w:r>
        <w:rPr>
          <w:rFonts w:ascii="方正仿宋_GBK" w:cs="Arial"/>
          <w:szCs w:val="32"/>
          <w:shd w:val="clear" w:color="auto" w:fill="auto"/>
        </w:rPr>
        <w:t>通过</w:t>
      </w:r>
      <w:r>
        <w:rPr>
          <w:rFonts w:ascii="方正仿宋_GBK" w:cs="Arial" w:hint="eastAsia"/>
          <w:szCs w:val="32"/>
          <w:shd w:val="clear" w:color="auto" w:fill="auto"/>
        </w:rPr>
        <w:t>精准指导企业运用政策优势，进一步释放海关政策红利。</w:t>
      </w:r>
      <w:r>
        <w:rPr>
          <w:rFonts w:ascii="方正仿宋_GBK" w:cs="Arial" w:hint="eastAsia"/>
          <w:b/>
          <w:bCs/>
          <w:szCs w:val="32"/>
          <w:shd w:val="clear" w:color="auto" w:fill="auto"/>
        </w:rPr>
        <w:t>四是</w:t>
      </w:r>
      <w:r>
        <w:rPr>
          <w:rFonts w:ascii="方正仿宋_GBK" w:cs="Arial" w:hint="eastAsia"/>
          <w:szCs w:val="32"/>
          <w:shd w:val="clear" w:color="auto" w:fill="auto"/>
        </w:rPr>
        <w:t>依托广州海关线上“智慧海关政务服务地图”公开</w:t>
      </w:r>
      <w:r>
        <w:rPr>
          <w:rFonts w:ascii="方正仿宋_GBK" w:cs="Arial"/>
          <w:szCs w:val="32"/>
          <w:shd w:val="clear" w:color="auto" w:fill="auto"/>
        </w:rPr>
        <w:t>政务</w:t>
      </w:r>
      <w:r>
        <w:rPr>
          <w:rFonts w:ascii="方正仿宋_GBK" w:cs="Arial" w:hint="eastAsia"/>
          <w:szCs w:val="32"/>
          <w:shd w:val="clear" w:color="auto" w:fill="auto"/>
        </w:rPr>
        <w:t>服务事项</w:t>
      </w:r>
      <w:r>
        <w:rPr>
          <w:rFonts w:hint="eastAsia"/>
          <w:szCs w:val="32"/>
          <w:shd w:val="clear" w:color="auto" w:fill="auto"/>
        </w:rPr>
        <w:t>15</w:t>
      </w:r>
      <w:r>
        <w:rPr>
          <w:rFonts w:ascii="方正仿宋_GBK" w:cs="Arial" w:hint="eastAsia"/>
          <w:szCs w:val="32"/>
          <w:shd w:val="clear" w:color="auto" w:fill="auto"/>
        </w:rPr>
        <w:t>项，便利企业群众高效查询办公地址、时间及业务办理方式等信息。</w:t>
      </w:r>
    </w:p>
    <w:p>
      <w:pPr>
        <w:pStyle w:val="35"/>
        <w:shd w:val="clear" w:color="auto" w:fill="auto"/>
        <w:adjustRightInd w:val="0"/>
        <w:snapToGrid w:val="0"/>
        <w:ind w:firstLineChars="200" w:firstLine="640"/>
        <w:rPr>
          <w:rFonts w:ascii="方正楷体_GBK" w:eastAsia="方正楷体_GBK"/>
          <w:b/>
          <w:bCs/>
          <w:spacing w:val="0"/>
          <w:szCs w:val="32"/>
          <w:shd w:val="clear" w:color="auto" w:fill="auto"/>
        </w:rPr>
      </w:pPr>
      <w:r>
        <w:rPr>
          <w:rFonts w:ascii="方正楷体_GBK" w:eastAsia="方正楷体_GBK" w:hint="eastAsia"/>
          <w:b/>
          <w:bCs/>
          <w:spacing w:val="0"/>
          <w:szCs w:val="32"/>
          <w:shd w:val="clear" w:color="auto" w:fill="auto"/>
        </w:rPr>
        <w:t>（四）政府信息管理和监督保障方面。</w:t>
      </w:r>
    </w:p>
    <w:p>
      <w:pPr>
        <w:pStyle w:val="35"/>
        <w:shd w:val="clear" w:color="auto" w:fill="auto"/>
        <w:adjustRightInd w:val="0"/>
        <w:snapToGrid w:val="0"/>
        <w:ind w:firstLineChars="200" w:firstLine="624"/>
        <w:rPr>
          <w:rFonts w:ascii="方正仿宋_GBK" w:cs="Arial"/>
          <w:szCs w:val="32"/>
          <w:shd w:val="clear" w:color="auto" w:fill="auto"/>
        </w:rPr>
      </w:pPr>
      <w:r>
        <w:rPr>
          <w:rFonts w:ascii="方正仿宋_GBK" w:cs="Arial" w:hint="eastAsia"/>
          <w:b/>
          <w:bCs/>
          <w:szCs w:val="32"/>
          <w:shd w:val="clear" w:color="auto" w:fill="auto"/>
        </w:rPr>
        <w:t>一是</w:t>
      </w:r>
      <w:r>
        <w:rPr>
          <w:rFonts w:ascii="方正仿宋_GBK" w:cs="Arial" w:hint="eastAsia"/>
          <w:szCs w:val="32"/>
          <w:shd w:val="clear" w:color="auto" w:fill="auto"/>
        </w:rPr>
        <w:t>压紧压实政府信息公开主体责任，严格政府信息管理，规范信息发布审查机制，确保政府信息按照规定时限、程序公开。</w:t>
      </w:r>
      <w:r>
        <w:rPr>
          <w:rFonts w:ascii="方正仿宋_GBK" w:cs="Arial" w:hint="eastAsia"/>
          <w:b/>
          <w:bCs/>
          <w:szCs w:val="32"/>
          <w:shd w:val="clear" w:color="auto" w:fill="auto"/>
        </w:rPr>
        <w:t>二是</w:t>
      </w:r>
      <w:r>
        <w:rPr>
          <w:rFonts w:ascii="方正仿宋_GBK" w:cs="Arial" w:hint="eastAsia"/>
          <w:szCs w:val="32"/>
          <w:shd w:val="clear" w:color="auto" w:fill="auto"/>
        </w:rPr>
        <w:t>完善政府信息公开检查机制，对公开内容进行事前审查、不定期抽查，及时清理失效信息，提升政府信息公开质量。</w:t>
      </w:r>
      <w:r>
        <w:rPr>
          <w:rFonts w:ascii="方正仿宋_GBK" w:cs="Arial" w:hint="eastAsia"/>
          <w:b/>
          <w:bCs/>
          <w:szCs w:val="32"/>
          <w:shd w:val="clear" w:color="auto" w:fill="auto"/>
        </w:rPr>
        <w:t>三是</w:t>
      </w:r>
      <w:r>
        <w:rPr>
          <w:rFonts w:ascii="方正仿宋_GBK" w:cs="Arial" w:hint="eastAsia"/>
          <w:szCs w:val="32"/>
          <w:shd w:val="clear" w:color="auto" w:fill="auto"/>
        </w:rPr>
        <w:t>畅通政民互动渠道，</w:t>
      </w:r>
      <w:r>
        <w:rPr>
          <w:rFonts w:ascii="方正仿宋_GBK" w:cs="Arial"/>
          <w:szCs w:val="32"/>
          <w:shd w:val="clear" w:color="auto" w:fill="auto"/>
        </w:rPr>
        <w:t>通过</w:t>
      </w:r>
      <w:r>
        <w:rPr>
          <w:rFonts w:ascii="方正仿宋_GBK" w:cs="Arial" w:hint="eastAsia"/>
          <w:szCs w:val="32"/>
          <w:shd w:val="clear" w:color="auto" w:fill="auto"/>
        </w:rPr>
        <w:t>对外办事大厅公告栏张贴基层政务公开、政务服务意见建议征集二维码，设置基层政务公开专区意见簿，开展“关长接待日”</w:t>
      </w:r>
      <w:r>
        <w:rPr>
          <w:szCs w:val="32"/>
          <w:shd w:val="clear" w:color="auto" w:fill="auto"/>
        </w:rPr>
        <w:t>12</w:t>
      </w:r>
      <w:r>
        <w:rPr>
          <w:rFonts w:ascii="方正仿宋_GBK" w:cs="Arial" w:hint="eastAsia"/>
          <w:szCs w:val="32"/>
          <w:shd w:val="clear" w:color="auto" w:fill="auto"/>
        </w:rPr>
        <w:t>次，</w:t>
      </w:r>
      <w:r>
        <w:rPr>
          <w:rFonts w:ascii="方正仿宋_GBK" w:cs="Arial"/>
          <w:szCs w:val="32"/>
          <w:shd w:val="clear" w:color="auto" w:fill="auto"/>
        </w:rPr>
        <w:t>多形式</w:t>
      </w:r>
      <w:r>
        <w:rPr>
          <w:rFonts w:ascii="方正仿宋_GBK" w:cs="Arial" w:hint="eastAsia"/>
          <w:szCs w:val="32"/>
          <w:shd w:val="clear" w:color="auto" w:fill="auto"/>
        </w:rPr>
        <w:t>听取公众意见建议，自觉接受社会监督。</w:t>
      </w:r>
    </w:p>
    <w:p>
      <w:pPr>
        <w:pStyle w:val="25"/>
        <w:widowControl/>
        <w:shd w:val="clear" w:color="auto" w:fill="auto"/>
        <w:adjustRightInd w:val="0"/>
        <w:snapToGrid w:val="0"/>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rPr>
      </w:pPr>
      <w:r>
        <w:rPr>
          <w:rFonts w:ascii="方正黑体_GBK" w:eastAsia="方正黑体_GBK" w:cs="楷体_GB2312" w:hint="eastAsia"/>
          <w:bCs/>
          <w:sz w:val="32"/>
          <w:szCs w:val="32"/>
          <w:shd w:val="clear" w:color="auto" w:fill="auto"/>
        </w:rPr>
        <w:t>二、主动公开政府信息情况</w:t>
      </w:r>
    </w:p>
    <w:tbl>
      <w:tblPr>
        <w:jc w:val="center"/>
        <w:tblW w:w="899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2719"/>
        <w:gridCol w:w="2183"/>
        <w:gridCol w:w="1936"/>
        <w:gridCol w:w="2156"/>
      </w:tblGrid>
      <w:tr>
        <w:trPr>
          <w:trHeight w:val="495"/>
        </w:trPr>
        <w:tc>
          <w:tcPr>
            <w:tcW w:w="8994" w:type="dxa"/>
            <w:gridSpan w:val="4"/>
            <w:tcBorders>
              <w:top w:val="single" w:sz="8" w:space="0" w:color="auto"/>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第二十条第（一）项</w:t>
            </w:r>
          </w:p>
        </w:tc>
      </w:tr>
      <w:tr>
        <w:trPr>
          <w:trHeight w:val="680"/>
        </w:trPr>
        <w:tc>
          <w:tcPr>
            <w:tcW w:w="2719"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信息内容</w:t>
            </w:r>
          </w:p>
        </w:tc>
        <w:tc>
          <w:tcPr>
            <w:tcW w:w="2183"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本年</w:t>
            </w:r>
            <w:r>
              <w:rPr>
                <w:kern w:val="0"/>
                <w:sz w:val="24"/>
                <w:szCs w:val="24"/>
                <w:shd w:val="clear" w:color="auto" w:fill="auto"/>
              </w:rPr>
              <w:t>制发件数</w:t>
            </w:r>
          </w:p>
        </w:tc>
        <w:tc>
          <w:tcPr>
            <w:tcW w:w="193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本年废止件</w:t>
            </w:r>
            <w:r>
              <w:rPr>
                <w:kern w:val="0"/>
                <w:sz w:val="24"/>
                <w:szCs w:val="24"/>
                <w:shd w:val="clear" w:color="auto" w:fill="auto"/>
              </w:rPr>
              <w:t>数</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现行有效件数</w:t>
            </w:r>
          </w:p>
        </w:tc>
      </w:tr>
      <w:tr>
        <w:trPr>
          <w:trHeight w:val="510"/>
        </w:trPr>
        <w:tc>
          <w:tcPr>
            <w:tcW w:w="2719"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规章</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autoSpaceDN w:val="0"/>
              <w:jc w:val="center"/>
              <w:rPr>
                <w:rFonts w:eastAsia="方正仿宋_GBK"/>
                <w:sz w:val="24"/>
                <w:szCs w:val="24"/>
                <w:shd w:val="clear" w:color="auto" w:fill="auto"/>
              </w:rPr>
            </w:pPr>
            <w:r>
              <w:rPr>
                <w:rFonts w:eastAsia="方正仿宋_GBK"/>
                <w:sz w:val="24"/>
                <w:szCs w:val="24"/>
                <w:shd w:val="clear" w:color="auto" w:fill="auto"/>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autoSpaceDN w:val="0"/>
              <w:jc w:val="center"/>
              <w:rPr>
                <w:rFonts w:eastAsia="方正仿宋_GBK"/>
                <w:sz w:val="24"/>
                <w:szCs w:val="24"/>
                <w:shd w:val="clear" w:color="auto" w:fill="auto"/>
              </w:rPr>
            </w:pPr>
            <w:r>
              <w:rPr>
                <w:rFonts w:eastAsia="方正仿宋_GBK"/>
                <w:sz w:val="24"/>
                <w:szCs w:val="24"/>
                <w:shd w:val="clear" w:color="auto" w:fill="auto"/>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autoSpaceDN w:val="0"/>
              <w:jc w:val="center"/>
              <w:rPr>
                <w:rFonts w:eastAsia="方正仿宋_GBK"/>
                <w:sz w:val="24"/>
                <w:szCs w:val="24"/>
                <w:shd w:val="clear" w:color="auto" w:fill="auto"/>
              </w:rPr>
            </w:pPr>
            <w:r>
              <w:rPr>
                <w:rFonts w:eastAsia="方正仿宋_GBK"/>
                <w:sz w:val="24"/>
                <w:szCs w:val="24"/>
                <w:shd w:val="clear" w:color="auto" w:fill="auto"/>
              </w:rPr>
              <w:t>0</w:t>
            </w:r>
          </w:p>
        </w:tc>
      </w:tr>
      <w:tr>
        <w:trPr>
          <w:trHeight w:val="510"/>
        </w:trPr>
        <w:tc>
          <w:tcPr>
            <w:tcW w:w="2719"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行政规范性文件</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autoSpaceDN w:val="0"/>
              <w:jc w:val="center"/>
              <w:rPr>
                <w:rFonts w:eastAsia="方正仿宋_GBK"/>
                <w:sz w:val="24"/>
                <w:szCs w:val="24"/>
                <w:shd w:val="clear" w:color="auto" w:fill="auto"/>
              </w:rPr>
            </w:pPr>
            <w:r>
              <w:rPr>
                <w:rFonts w:eastAsia="方正仿宋_GBK"/>
                <w:sz w:val="24"/>
                <w:szCs w:val="24"/>
                <w:shd w:val="clear" w:color="auto" w:fill="auto"/>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autoSpaceDN w:val="0"/>
              <w:jc w:val="center"/>
              <w:rPr>
                <w:rFonts w:eastAsia="方正仿宋_GBK"/>
                <w:sz w:val="24"/>
                <w:szCs w:val="24"/>
                <w:shd w:val="clear" w:color="auto" w:fill="auto"/>
              </w:rPr>
            </w:pPr>
            <w:r>
              <w:rPr>
                <w:rFonts w:eastAsia="方正仿宋_GBK"/>
                <w:sz w:val="24"/>
                <w:szCs w:val="24"/>
                <w:shd w:val="clear" w:color="auto" w:fill="auto"/>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autoSpaceDN w:val="0"/>
              <w:jc w:val="center"/>
              <w:rPr>
                <w:rFonts w:eastAsia="方正仿宋_GBK"/>
                <w:sz w:val="24"/>
                <w:szCs w:val="24"/>
                <w:shd w:val="clear" w:color="auto" w:fill="auto"/>
              </w:rPr>
            </w:pPr>
            <w:r>
              <w:rPr>
                <w:rFonts w:eastAsia="方正仿宋_GBK"/>
                <w:sz w:val="24"/>
                <w:szCs w:val="24"/>
                <w:shd w:val="clear" w:color="auto" w:fill="auto"/>
              </w:rPr>
              <w:t>0</w:t>
            </w:r>
          </w:p>
        </w:tc>
      </w:tr>
      <w:tr>
        <w:trPr>
          <w:trHeight w:val="435"/>
        </w:trPr>
        <w:tc>
          <w:tcPr>
            <w:tcW w:w="8994"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第二十条第（五）项</w:t>
            </w:r>
          </w:p>
        </w:tc>
      </w:tr>
      <w:tr>
        <w:trPr>
          <w:trHeight w:val="680"/>
        </w:trPr>
        <w:tc>
          <w:tcPr>
            <w:tcW w:w="2719"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2"/>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本年处理决定数量</w:t>
            </w:r>
          </w:p>
        </w:tc>
      </w:tr>
      <w:tr>
        <w:trPr>
          <w:trHeight w:val="510"/>
        </w:trPr>
        <w:tc>
          <w:tcPr>
            <w:tcW w:w="2719"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行政许可</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3"/>
              <w:shd w:val="clear" w:color="auto" w:fill="auto"/>
              <w:jc w:val="center"/>
              <w:rPr>
                <w:rFonts w:eastAsia="方正仿宋_GBK" w:cs="宋体"/>
                <w:sz w:val="24"/>
                <w:szCs w:val="24"/>
                <w:shd w:val="clear" w:color="auto" w:fill="auto"/>
              </w:rPr>
            </w:pPr>
            <w:r>
              <w:rPr>
                <w:rFonts w:eastAsia="方正仿宋_GBK"/>
                <w:sz w:val="24"/>
                <w:szCs w:val="24"/>
                <w:shd w:val="clear" w:color="auto" w:fill="auto"/>
              </w:rPr>
              <w:t>0</w:t>
            </w:r>
          </w:p>
        </w:tc>
      </w:tr>
      <w:tr>
        <w:trPr>
          <w:trHeight w:val="406"/>
        </w:trPr>
        <w:tc>
          <w:tcPr>
            <w:tcW w:w="8994"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第二十条第（六）项</w:t>
            </w:r>
          </w:p>
        </w:tc>
      </w:tr>
      <w:tr>
        <w:trPr>
          <w:trHeight w:val="680"/>
        </w:trPr>
        <w:tc>
          <w:tcPr>
            <w:tcW w:w="2719"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5"/>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本年处理决定数量</w:t>
            </w:r>
          </w:p>
        </w:tc>
      </w:tr>
      <w:tr>
        <w:trPr>
          <w:trHeight w:val="510"/>
        </w:trPr>
        <w:tc>
          <w:tcPr>
            <w:tcW w:w="2719"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行政处罚</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4"/>
              <w:shd w:val="clear" w:color="auto" w:fill="auto"/>
              <w:ind w:left="0"/>
              <w:jc w:val="center"/>
              <w:rPr>
                <w:shd w:val="clear" w:color="auto" w:fill="auto"/>
              </w:rPr>
            </w:pPr>
            <w:r>
              <w:rPr>
                <w:rFonts w:cs="宋体" w:hint="eastAsia"/>
                <w:sz w:val="24"/>
                <w:szCs w:val="24"/>
                <w:shd w:val="clear" w:color="auto" w:fill="auto"/>
              </w:rPr>
              <w:t>1015</w:t>
            </w:r>
          </w:p>
        </w:tc>
      </w:tr>
      <w:tr>
        <w:trPr>
          <w:trHeight w:val="510"/>
        </w:trPr>
        <w:tc>
          <w:tcPr>
            <w:tcW w:w="2719"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行政强制</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4"/>
              <w:shd w:val="clear" w:color="auto" w:fill="auto"/>
              <w:jc w:val="center"/>
              <w:rPr>
                <w:rFonts w:eastAsia="方正仿宋_GBK" w:cs="宋体"/>
                <w:sz w:val="24"/>
                <w:szCs w:val="24"/>
                <w:shd w:val="clear" w:color="auto" w:fill="auto"/>
              </w:rPr>
            </w:pPr>
            <w:r>
              <w:rPr>
                <w:rFonts w:eastAsia="方正仿宋_GBK" w:cs="宋体" w:hint="eastAsia"/>
                <w:sz w:val="24"/>
                <w:szCs w:val="24"/>
                <w:shd w:val="clear" w:color="auto" w:fill="auto"/>
              </w:rPr>
              <w:t>43</w:t>
            </w:r>
          </w:p>
        </w:tc>
      </w:tr>
      <w:tr>
        <w:trPr>
          <w:trHeight w:val="474"/>
        </w:trPr>
        <w:tc>
          <w:tcPr>
            <w:tcW w:w="8994"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第二十条第（八）项</w:t>
            </w:r>
          </w:p>
        </w:tc>
      </w:tr>
      <w:tr>
        <w:trPr>
          <w:trHeight w:val="680"/>
        </w:trPr>
        <w:tc>
          <w:tcPr>
            <w:tcW w:w="2719"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信息内容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pPr>
              <w:pStyle w:val="59"/>
              <w:widowControl/>
              <w:shd w:val="clear" w:color="auto" w:fill="auto"/>
              <w:adjustRightInd w:val="0"/>
              <w:snapToGrid w:val="0"/>
              <w:spacing w:line="260" w:lineRule="exact"/>
              <w:jc w:val="center"/>
              <w:rPr>
                <w:sz w:val="24"/>
                <w:szCs w:val="24"/>
                <w:shd w:val="clear" w:color="auto" w:fill="auto"/>
              </w:rPr>
            </w:pPr>
            <w:r>
              <w:rPr>
                <w:rFonts w:ascii="宋体" w:cs="宋体" w:hint="eastAsia"/>
                <w:kern w:val="0"/>
                <w:sz w:val="24"/>
                <w:szCs w:val="24"/>
                <w:shd w:val="clear" w:color="auto" w:fill="auto"/>
              </w:rPr>
              <w:t>本年收费金额（单位：万元）</w:t>
            </w:r>
          </w:p>
        </w:tc>
      </w:tr>
      <w:tr>
        <w:trPr>
          <w:trHeight w:val="510"/>
        </w:trPr>
        <w:tc>
          <w:tcPr>
            <w:tcW w:w="2719"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djustRightInd w:val="0"/>
              <w:snapToGrid w:val="0"/>
              <w:spacing w:line="260" w:lineRule="exact"/>
              <w:jc w:val="center"/>
              <w:rPr>
                <w:shd w:val="clear" w:color="auto" w:fill="auto"/>
              </w:rPr>
            </w:pPr>
            <w:r>
              <w:rPr>
                <w:rFonts w:ascii="宋体" w:cs="宋体" w:hint="eastAsia"/>
                <w:kern w:val="0"/>
                <w:sz w:val="24"/>
                <w:szCs w:val="24"/>
                <w:shd w:val="clear" w:color="auto" w:fill="auto"/>
              </w:rPr>
              <w:t>行政事业性收费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pPr>
              <w:pStyle w:val="28"/>
              <w:shd w:val="clear" w:color="auto" w:fill="auto"/>
              <w:jc w:val="center"/>
              <w:rPr>
                <w:rFonts w:eastAsia="方正仿宋_GBK" w:cs="宋体"/>
                <w:sz w:val="24"/>
                <w:szCs w:val="24"/>
                <w:shd w:val="clear" w:color="auto" w:fill="auto"/>
              </w:rPr>
            </w:pPr>
            <w:r>
              <w:rPr>
                <w:rFonts w:eastAsia="方正仿宋_GBK" w:cs="宋体" w:hint="eastAsia"/>
                <w:sz w:val="24"/>
                <w:szCs w:val="24"/>
                <w:shd w:val="clear" w:color="auto" w:fill="auto"/>
              </w:rPr>
              <w:t>0</w:t>
            </w:r>
          </w:p>
        </w:tc>
      </w:tr>
    </w:tbl>
    <w:p>
      <w:pPr>
        <w:pStyle w:val="179"/>
        <w:widowControl/>
        <w:shd w:val="clear" w:color="auto" w:fill="auto"/>
        <w:adjustRightInd w:val="0"/>
        <w:snapToGrid w:val="0"/>
        <w:spacing w:before="0" w:beforeAutospacing="0" w:after="0" w:afterAutospacing="0" w:line="560" w:lineRule="exact"/>
        <w:ind w:firstLineChars="200" w:firstLine="640"/>
        <w:jc w:val="both"/>
        <w:rPr>
          <w:rFonts w:eastAsia="方正仿宋_GBK" w:cs="方正黑体_GBK" w:hint="eastAsia"/>
          <w:kern w:val="2"/>
          <w:sz w:val="32"/>
          <w:szCs w:val="32"/>
          <w:shd w:val="clear" w:color="auto" w:fill="auto"/>
        </w:rPr>
      </w:pPr>
      <w:r>
        <w:rPr>
          <w:rFonts w:eastAsia="方正仿宋_GBK" w:cs="方正黑体_GBK" w:hint="eastAsia"/>
          <w:kern w:val="2"/>
          <w:sz w:val="32"/>
          <w:szCs w:val="32"/>
          <w:shd w:val="clear" w:color="auto" w:fill="auto"/>
        </w:rPr>
        <w:t>*备注：本表格行政许可的处理决定数量，包括本机关在本年度内作出的准予许可决定、不予许可决定、变更许可决定、延期（延续）许可决定、撤销许可决定、撤回许可决定等。</w:t>
      </w:r>
    </w:p>
    <w:p>
      <w:pPr>
        <w:pStyle w:val="25"/>
        <w:widowControl/>
        <w:shd w:val="clear" w:color="auto" w:fill="auto"/>
        <w:adjustRightInd w:val="0"/>
        <w:snapToGrid w:val="0"/>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rPr>
      </w:pPr>
      <w:bookmarkStart w:id="2" w:name="_GoBack"/>
      <w:bookmarkEnd w:id="2"/>
      <w:r>
        <w:rPr>
          <w:rFonts w:ascii="方正黑体_GBK" w:eastAsia="方正黑体_GBK" w:cs="楷体_GB2312" w:hint="eastAsia"/>
          <w:bCs/>
          <w:sz w:val="32"/>
          <w:szCs w:val="32"/>
          <w:shd w:val="clear" w:color="auto" w:fill="auto"/>
        </w:rPr>
        <w:t>三、收到和处理政府信息公开申请情况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96"/>
        <w:gridCol w:w="936"/>
        <w:gridCol w:w="2670"/>
        <w:gridCol w:w="635"/>
        <w:gridCol w:w="675"/>
        <w:gridCol w:w="750"/>
        <w:gridCol w:w="765"/>
        <w:gridCol w:w="765"/>
        <w:gridCol w:w="497"/>
        <w:gridCol w:w="682"/>
      </w:tblGrid>
      <w:tr>
        <w:trPr>
          <w:tblHeader/>
        </w:trPr>
        <w:tc>
          <w:tcPr>
            <w:tcW w:w="4302" w:type="dxa"/>
            <w:gridSpan w:val="3"/>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hd w:val="clear" w:color="auto" w:fill="auto"/>
              </w:rPr>
            </w:pPr>
            <w:r>
              <w:rPr>
                <w:rFonts w:ascii="宋体" w:cs="宋体" w:hint="eastAsia"/>
                <w:kern w:val="0"/>
                <w:sz w:val="20"/>
                <w:szCs w:val="20"/>
                <w:shd w:val="clear" w:color="auto" w:fill="auto"/>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hd w:val="clear" w:color="auto" w:fill="auto"/>
              </w:rPr>
            </w:pPr>
            <w:r>
              <w:rPr>
                <w:rFonts w:ascii="宋体" w:cs="宋体" w:hint="eastAsia"/>
                <w:kern w:val="0"/>
                <w:sz w:val="20"/>
                <w:szCs w:val="20"/>
                <w:shd w:val="clear" w:color="auto" w:fill="auto"/>
              </w:rPr>
              <w:t>申请人情况</w:t>
            </w:r>
          </w:p>
        </w:tc>
      </w:tr>
      <w:tr>
        <w:trPr>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35"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hd w:val="clear" w:color="auto" w:fill="auto"/>
              </w:rPr>
            </w:pPr>
            <w:r>
              <w:rPr>
                <w:rFonts w:ascii="宋体" w:cs="宋体" w:hint="eastAsia"/>
                <w:kern w:val="0"/>
                <w:sz w:val="20"/>
                <w:szCs w:val="20"/>
                <w:shd w:val="clear" w:color="auto" w:fill="auto"/>
              </w:rPr>
              <w:t>自然人</w:t>
            </w:r>
          </w:p>
        </w:tc>
        <w:tc>
          <w:tcPr>
            <w:tcW w:w="3452"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hd w:val="clear" w:color="auto" w:fill="auto"/>
              </w:rPr>
            </w:pPr>
            <w:r>
              <w:rPr>
                <w:rFonts w:ascii="宋体" w:cs="宋体" w:hint="eastAsia"/>
                <w:kern w:val="0"/>
                <w:sz w:val="20"/>
                <w:szCs w:val="20"/>
                <w:shd w:val="clear" w:color="auto" w:fill="auto"/>
              </w:rPr>
              <w:t>法人或其他组织</w:t>
            </w:r>
          </w:p>
        </w:tc>
        <w:tc>
          <w:tcPr>
            <w:tcW w:w="682"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hd w:val="clear" w:color="auto" w:fill="auto"/>
              </w:rPr>
            </w:pPr>
            <w:r>
              <w:rPr>
                <w:rFonts w:ascii="宋体" w:cs="宋体" w:hint="eastAsia"/>
                <w:kern w:val="0"/>
                <w:sz w:val="20"/>
                <w:szCs w:val="20"/>
                <w:shd w:val="clear" w:color="auto" w:fill="auto"/>
              </w:rPr>
              <w:t>总计</w:t>
            </w:r>
          </w:p>
        </w:tc>
      </w:tr>
      <w:tr>
        <w:trPr>
          <w:trHeight w:val="649"/>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35"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hd w:val="clear" w:color="auto" w:fill="auto"/>
              </w:rPr>
            </w:pPr>
            <w:r>
              <w:rPr>
                <w:rFonts w:ascii="宋体" w:cs="宋体" w:hint="eastAsia"/>
                <w:kern w:val="0"/>
                <w:sz w:val="20"/>
                <w:szCs w:val="20"/>
                <w:shd w:val="clear" w:color="auto" w:fill="auto"/>
              </w:rPr>
              <w:t>商业企业</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hd w:val="clear" w:color="auto" w:fill="auto"/>
              </w:rPr>
            </w:pPr>
            <w:r>
              <w:rPr>
                <w:rFonts w:ascii="宋体" w:cs="宋体" w:hint="eastAsia"/>
                <w:kern w:val="0"/>
                <w:sz w:val="20"/>
                <w:szCs w:val="20"/>
                <w:shd w:val="clear" w:color="auto" w:fill="auto"/>
              </w:rPr>
              <w:t>科研机构</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hd w:val="clear" w:color="auto" w:fill="auto"/>
              </w:rPr>
            </w:pPr>
            <w:r>
              <w:rPr>
                <w:rFonts w:ascii="宋体" w:cs="宋体" w:hint="eastAsia"/>
                <w:kern w:val="0"/>
                <w:sz w:val="20"/>
                <w:szCs w:val="20"/>
                <w:shd w:val="clear" w:color="auto" w:fill="auto"/>
              </w:rPr>
              <w:t>社会公益组织</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hd w:val="clear" w:color="auto" w:fill="auto"/>
              </w:rPr>
            </w:pPr>
            <w:r>
              <w:rPr>
                <w:rFonts w:ascii="宋体" w:cs="宋体" w:hint="eastAsia"/>
                <w:kern w:val="0"/>
                <w:sz w:val="20"/>
                <w:szCs w:val="20"/>
                <w:shd w:val="clear" w:color="auto" w:fill="auto"/>
              </w:rPr>
              <w:t>法律服务机构</w:t>
            </w:r>
          </w:p>
        </w:tc>
        <w:tc>
          <w:tcPr>
            <w:tcW w:w="497"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hd w:val="clear" w:color="auto" w:fill="auto"/>
              </w:rPr>
            </w:pPr>
            <w:r>
              <w:rPr>
                <w:rFonts w:ascii="宋体" w:cs="宋体" w:hint="eastAsia"/>
                <w:kern w:val="0"/>
                <w:sz w:val="20"/>
                <w:szCs w:val="20"/>
                <w:shd w:val="clear" w:color="auto" w:fill="auto"/>
              </w:rPr>
              <w:t>其他</w:t>
            </w:r>
          </w:p>
        </w:tc>
        <w:tc>
          <w:tcPr>
            <w:tcW w:w="682"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28"/>
              <w:widowControl/>
              <w:shd w:val="clear" w:color="auto" w:fill="auto"/>
              <w:jc w:val="left"/>
              <w:rPr>
                <w:sz w:val="24"/>
                <w:szCs w:val="24"/>
                <w:shd w:val="clear" w:color="auto" w:fill="auto"/>
              </w:rPr>
            </w:pPr>
            <w:r>
              <w:rPr>
                <w:rFonts w:ascii="宋体" w:cs="宋体" w:hint="eastAsia"/>
                <w:kern w:val="0"/>
                <w:sz w:val="24"/>
                <w:szCs w:val="24"/>
                <w:shd w:val="clear" w:color="auto" w:fill="auto"/>
              </w:rPr>
              <w:t>一、本年新收政府信息公开申请数量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2</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2</w:t>
            </w: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28"/>
              <w:widowControl/>
              <w:shd w:val="clear" w:color="auto" w:fill="auto"/>
              <w:jc w:val="left"/>
              <w:rPr>
                <w:sz w:val="24"/>
                <w:szCs w:val="24"/>
                <w:shd w:val="clear" w:color="auto" w:fill="auto"/>
              </w:rPr>
            </w:pPr>
            <w:r>
              <w:rPr>
                <w:rFonts w:ascii="宋体" w:cs="宋体" w:hint="eastAsia"/>
                <w:kern w:val="0"/>
                <w:sz w:val="24"/>
                <w:szCs w:val="24"/>
                <w:shd w:val="clear" w:color="auto" w:fill="auto"/>
              </w:rPr>
              <w:t>二、上年结转政府信息公开申请数量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三、本年度办理结果</w:t>
            </w: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left"/>
              <w:rPr>
                <w:sz w:val="24"/>
                <w:szCs w:val="24"/>
                <w:shd w:val="clear" w:color="auto" w:fill="auto"/>
              </w:rPr>
            </w:pPr>
            <w:r>
              <w:rPr>
                <w:rFonts w:ascii="楷体" w:eastAsia="楷体" w:cs="楷体" w:hint="eastAsia"/>
                <w:kern w:val="0"/>
                <w:sz w:val="24"/>
                <w:szCs w:val="24"/>
                <w:shd w:val="clear" w:color="auto" w:fill="auto"/>
              </w:rPr>
              <w:t>（一）予以公开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1</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1</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left"/>
              <w:rPr>
                <w:sz w:val="24"/>
                <w:szCs w:val="24"/>
                <w:shd w:val="clear" w:color="auto" w:fill="auto"/>
              </w:rPr>
            </w:pPr>
            <w:r>
              <w:rPr>
                <w:rFonts w:ascii="楷体" w:eastAsia="楷体" w:cs="楷体" w:hint="eastAsia"/>
                <w:kern w:val="0"/>
                <w:sz w:val="24"/>
                <w:szCs w:val="24"/>
                <w:shd w:val="clear" w:color="auto" w:fill="auto"/>
              </w:rPr>
              <w:t>（二）部分公开（区分处理的，只计这一情形，不计其他情形）</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（三）不予公开</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1.属于国家秘密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2.其他法律行政法规禁止公开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3.危及“三安全一稳定”</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4.保护第三方合法权益</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5.属于三类内部事务信息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6.属于四类过程性信息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7.属于行政执法案卷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8.属于行政查询事项</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（四）无法提供</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1.本机关不掌握相关政府信息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2.没有现成信息需要另行制作</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3.补正后申请内容仍不明确</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（五）不予处理</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1.信访举报投诉类申请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2.重复申请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3.要求提供公开出版物</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810"/>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4.无正当理由大量反复申请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5.要求行政机关确认或重新出具已获取信息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（六）其他处理</w:t>
            </w: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shd w:val="clear" w:color="auto" w:fill="auto"/>
              <w:rPr>
                <w:rFonts w:ascii="楷体" w:eastAsia="楷体" w:cs="楷体"/>
                <w:kern w:val="0"/>
                <w:sz w:val="24"/>
                <w:szCs w:val="24"/>
                <w:shd w:val="clear" w:color="auto" w:fill="auto"/>
              </w:rPr>
            </w:pPr>
            <w:r>
              <w:rPr>
                <w:rFonts w:ascii="楷体" w:eastAsia="楷体" w:cs="楷体" w:hint="eastAsia"/>
                <w:kern w:val="0"/>
                <w:sz w:val="24"/>
                <w:szCs w:val="24"/>
                <w:shd w:val="clear" w:color="auto" w:fill="auto"/>
              </w:rPr>
              <w:t>1.申请人无正当理由逾期不补正、行政机关不再处理其政府信息公开申请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1</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1</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shd w:val="clear" w:color="auto" w:fill="auto"/>
              <w:rPr>
                <w:rFonts w:ascii="楷体" w:eastAsia="楷体" w:cs="楷体"/>
                <w:kern w:val="0"/>
                <w:sz w:val="24"/>
                <w:szCs w:val="24"/>
                <w:shd w:val="clear" w:color="auto" w:fill="auto"/>
              </w:rPr>
            </w:pPr>
            <w:r>
              <w:rPr>
                <w:rFonts w:ascii="楷体" w:eastAsia="楷体" w:cs="楷体" w:hint="eastAsia"/>
                <w:kern w:val="0"/>
                <w:sz w:val="24"/>
                <w:szCs w:val="24"/>
                <w:shd w:val="clear" w:color="auto" w:fill="auto"/>
              </w:rPr>
              <w:t>2.申请人逾期未按收费通知要求缴纳费用、行政机关不再处理其政府信息公开申请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shd w:val="clear" w:color="auto" w:fill="auto"/>
              <w:rPr>
                <w:rFonts w:ascii="楷体" w:eastAsia="楷体" w:cs="楷体"/>
                <w:kern w:val="0"/>
                <w:sz w:val="24"/>
                <w:szCs w:val="24"/>
                <w:shd w:val="clear" w:color="auto" w:fill="auto"/>
              </w:rPr>
            </w:pPr>
            <w:r>
              <w:rPr>
                <w:rFonts w:ascii="楷体" w:eastAsia="楷体" w:cs="楷体" w:hint="eastAsia"/>
                <w:kern w:val="0"/>
                <w:sz w:val="24"/>
                <w:szCs w:val="24"/>
                <w:shd w:val="clear" w:color="auto" w:fill="auto"/>
              </w:rPr>
              <w:t>3.咨询事项，指引咨询渠道</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shd w:val="clear" w:color="auto" w:fill="auto"/>
              <w:rPr>
                <w:rFonts w:ascii="楷体" w:eastAsia="楷体" w:cs="楷体"/>
                <w:kern w:val="0"/>
                <w:sz w:val="24"/>
                <w:szCs w:val="24"/>
                <w:shd w:val="clear" w:color="auto" w:fill="auto"/>
              </w:rPr>
            </w:pPr>
            <w:r>
              <w:rPr>
                <w:rFonts w:ascii="楷体" w:eastAsia="楷体" w:cs="楷体" w:hint="eastAsia"/>
                <w:kern w:val="0"/>
                <w:sz w:val="24"/>
                <w:szCs w:val="24"/>
                <w:shd w:val="clear" w:color="auto" w:fill="auto"/>
              </w:rPr>
              <w:t>4.申请人撤销申请</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rPr>
                <w:sz w:val="24"/>
                <w:szCs w:val="24"/>
                <w:shd w:val="clear" w:color="auto" w:fill="auto"/>
              </w:rPr>
            </w:pPr>
            <w:r>
              <w:rPr>
                <w:rFonts w:ascii="楷体" w:eastAsia="楷体" w:cs="楷体" w:hint="eastAsia"/>
                <w:kern w:val="0"/>
                <w:sz w:val="24"/>
                <w:szCs w:val="24"/>
                <w:shd w:val="clear" w:color="auto" w:fill="auto"/>
              </w:rPr>
              <w:t>（七）总计</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2</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2</w:t>
            </w: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left"/>
              <w:rPr>
                <w:shd w:val="clear" w:color="auto" w:fill="auto"/>
              </w:rPr>
            </w:pPr>
            <w:r>
              <w:rPr>
                <w:rFonts w:ascii="宋体" w:cs="宋体" w:hint="eastAsia"/>
                <w:kern w:val="0"/>
                <w:sz w:val="24"/>
                <w:szCs w:val="24"/>
                <w:shd w:val="clear" w:color="auto" w:fill="auto"/>
              </w:rPr>
              <w:t>四、结转下年度继续办理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shd w:val="clear" w:color="auto" w:fill="auto"/>
              <w:jc w:val="center"/>
              <w:rPr>
                <w:rFonts w:eastAsia="方正仿宋_GBK"/>
                <w:sz w:val="24"/>
                <w:szCs w:val="24"/>
                <w:shd w:val="clear" w:color="auto" w:fill="auto"/>
              </w:rPr>
            </w:pPr>
            <w:r>
              <w:rPr>
                <w:rFonts w:eastAsia="方正仿宋_GBK" w:hint="eastAsia"/>
                <w:sz w:val="24"/>
                <w:szCs w:val="24"/>
                <w:shd w:val="clear" w:color="auto" w:fill="auto"/>
              </w:rPr>
              <w:t>0</w:t>
            </w:r>
          </w:p>
        </w:tc>
      </w:tr>
    </w:tbl>
    <w:p>
      <w:pPr>
        <w:pStyle w:val="25"/>
        <w:widowControl/>
        <w:shd w:val="clear" w:color="auto" w:fill="auto"/>
        <w:adjustRightInd w:val="0"/>
        <w:snapToGrid w:val="0"/>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rPr>
      </w:pPr>
      <w:r>
        <w:rPr>
          <w:rFonts w:ascii="方正黑体_GBK" w:eastAsia="方正黑体_GBK" w:cs="楷体_GB2312" w:hint="eastAsia"/>
          <w:bCs/>
          <w:sz w:val="32"/>
          <w:szCs w:val="32"/>
          <w:shd w:val="clear" w:color="auto" w:fill="auto"/>
        </w:rPr>
        <w:t>四、政府信息公开行政复议、行政诉讼情况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c>
          <w:tcPr>
            <w:tcW w:w="3074" w:type="dxa"/>
            <w:gridSpan w:val="5"/>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行政复议</w:t>
            </w:r>
          </w:p>
        </w:tc>
        <w:tc>
          <w:tcPr>
            <w:tcW w:w="5997" w:type="dxa"/>
            <w:gridSpan w:val="10"/>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行政诉讼</w:t>
            </w:r>
          </w:p>
        </w:tc>
      </w:tr>
      <w:tr>
        <w:tc>
          <w:tcPr>
            <w:tcW w:w="604"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结果维持</w:t>
            </w:r>
          </w:p>
        </w:tc>
        <w:tc>
          <w:tcPr>
            <w:tcW w:w="604"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结果纠正</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其他结果</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尚未审结</w:t>
            </w:r>
          </w:p>
        </w:tc>
        <w:tc>
          <w:tcPr>
            <w:tcW w:w="658"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总计</w:t>
            </w:r>
          </w:p>
        </w:tc>
        <w:tc>
          <w:tcPr>
            <w:tcW w:w="2970"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未经复议直接起诉</w:t>
            </w:r>
          </w:p>
        </w:tc>
        <w:tc>
          <w:tcPr>
            <w:tcW w:w="3027"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复议后起诉</w:t>
            </w:r>
          </w:p>
        </w:tc>
      </w:tr>
      <w:tr>
        <w:tc>
          <w:tcPr>
            <w:tcW w:w="604"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58"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结果维持</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其他结果</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尚未审结</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总计</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结果维持</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其他结果</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尚未审结</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jc w:val="center"/>
              <w:rPr>
                <w:sz w:val="24"/>
                <w:szCs w:val="24"/>
                <w:shd w:val="clear" w:color="auto" w:fill="auto"/>
              </w:rPr>
            </w:pPr>
            <w:r>
              <w:rPr>
                <w:rFonts w:ascii="宋体" w:cs="宋体" w:hint="eastAsia"/>
                <w:kern w:val="0"/>
                <w:sz w:val="24"/>
                <w:szCs w:val="24"/>
                <w:shd w:val="clear" w:color="auto" w:fill="auto"/>
              </w:rPr>
              <w:t>总计</w:t>
            </w:r>
          </w:p>
        </w:tc>
      </w:tr>
      <w:tr>
        <w:trPr>
          <w:trHeight w:val="862"/>
        </w:trPr>
        <w:tc>
          <w:tcPr>
            <w:tcW w:w="604"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58"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sz w:val="28"/>
                <w:szCs w:val="28"/>
                <w:shd w:val="clear" w:color="auto" w:fill="auto"/>
              </w:rPr>
            </w:pPr>
            <w:r>
              <w:rPr>
                <w:sz w:val="28"/>
                <w:szCs w:val="28"/>
                <w:shd w:val="clear" w:color="auto" w:fill="auto"/>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kern w:val="0"/>
                <w:sz w:val="28"/>
                <w:szCs w:val="28"/>
                <w:shd w:val="clear" w:color="auto" w:fill="auto"/>
              </w:rPr>
            </w:pPr>
            <w:r>
              <w:rPr>
                <w:kern w:val="0"/>
                <w:sz w:val="28"/>
                <w:szCs w:val="28"/>
                <w:shd w:val="clear" w:color="auto" w:fill="auto"/>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shd w:val="clear" w:color="auto" w:fill="auto"/>
              <w:autoSpaceDN w:val="0"/>
              <w:jc w:val="center"/>
              <w:rPr>
                <w:kern w:val="0"/>
                <w:sz w:val="28"/>
                <w:szCs w:val="28"/>
                <w:shd w:val="clear" w:color="auto" w:fill="auto"/>
              </w:rPr>
            </w:pPr>
            <w:r>
              <w:rPr>
                <w:kern w:val="0"/>
                <w:sz w:val="28"/>
                <w:szCs w:val="28"/>
                <w:shd w:val="clear" w:color="auto" w:fill="auto"/>
              </w:rPr>
              <w:t>0</w:t>
            </w:r>
          </w:p>
        </w:tc>
      </w:tr>
    </w:tbl>
    <w:p>
      <w:pPr>
        <w:pStyle w:val="25"/>
        <w:widowControl/>
        <w:shd w:val="clear" w:color="auto" w:fill="auto"/>
        <w:adjustRightInd w:val="0"/>
        <w:snapToGrid w:val="0"/>
        <w:spacing w:beforeAutospacing="0" w:afterAutospacing="0" w:line="560" w:lineRule="exact"/>
        <w:ind w:firstLineChars="200" w:firstLine="640"/>
        <w:jc w:val="both"/>
        <w:rPr>
          <w:rFonts w:ascii="方正黑体_GBK" w:eastAsia="方正黑体_GBK" w:cs="楷体_GB2312" w:hint="eastAsia"/>
          <w:bCs/>
          <w:sz w:val="32"/>
          <w:szCs w:val="32"/>
          <w:shd w:val="clear" w:color="auto" w:fill="auto"/>
        </w:rPr>
      </w:pPr>
      <w:r>
        <w:rPr>
          <w:rFonts w:ascii="方正黑体_GBK" w:eastAsia="方正黑体_GBK" w:cs="楷体_GB2312" w:hint="eastAsia"/>
          <w:bCs/>
          <w:sz w:val="32"/>
          <w:szCs w:val="32"/>
          <w:shd w:val="clear" w:color="auto" w:fill="auto"/>
        </w:rPr>
        <w:t>五、存在的主要问题及改进情况</w:t>
      </w:r>
    </w:p>
    <w:p>
      <w:pPr>
        <w:pStyle w:val="25"/>
        <w:widowControl/>
        <w:shd w:val="clear" w:color="auto" w:fill="auto"/>
        <w:adjustRightInd w:val="0"/>
        <w:snapToGrid w:val="0"/>
        <w:spacing w:beforeAutospacing="0" w:afterAutospacing="0" w:line="560" w:lineRule="exact"/>
        <w:ind w:firstLineChars="200" w:firstLine="624"/>
        <w:jc w:val="both"/>
        <w:rPr>
          <w:rFonts w:ascii="方正楷体_GBK" w:eastAsia="方正楷体_GBK"/>
          <w:b/>
          <w:bCs/>
          <w:spacing w:val="-4"/>
          <w:kern w:val="2"/>
          <w:sz w:val="32"/>
          <w:szCs w:val="20"/>
          <w:shd w:val="clear" w:color="auto" w:fill="auto"/>
        </w:rPr>
      </w:pPr>
      <w:r>
        <w:rPr>
          <w:rFonts w:ascii="方正楷体_GBK" w:eastAsia="方正楷体_GBK" w:hint="eastAsia"/>
          <w:b/>
          <w:bCs/>
          <w:spacing w:val="-4"/>
          <w:kern w:val="2"/>
          <w:sz w:val="32"/>
          <w:szCs w:val="20"/>
          <w:shd w:val="clear" w:color="auto" w:fill="auto"/>
        </w:rPr>
        <w:t>（一）</w:t>
      </w:r>
      <w:r>
        <w:rPr>
          <w:rFonts w:eastAsia="方正楷体_GBK"/>
          <w:b/>
          <w:bCs/>
          <w:spacing w:val="-4"/>
          <w:kern w:val="2"/>
          <w:sz w:val="32"/>
          <w:szCs w:val="20"/>
          <w:shd w:val="clear" w:color="auto" w:fill="auto"/>
        </w:rPr>
        <w:t>2023</w:t>
      </w:r>
      <w:r>
        <w:rPr>
          <w:rFonts w:ascii="方正楷体_GBK" w:eastAsia="方正楷体_GBK" w:hint="eastAsia"/>
          <w:b/>
          <w:bCs/>
          <w:spacing w:val="-4"/>
          <w:kern w:val="2"/>
          <w:sz w:val="32"/>
          <w:szCs w:val="20"/>
          <w:shd w:val="clear" w:color="auto" w:fill="auto"/>
        </w:rPr>
        <w:t>年年报中所提问题整改情况。</w:t>
      </w:r>
    </w:p>
    <w:p>
      <w:pPr>
        <w:pStyle w:val="25"/>
        <w:widowControl/>
        <w:shd w:val="clear" w:color="auto" w:fill="auto"/>
        <w:adjustRightInd w:val="0"/>
        <w:snapToGrid w:val="0"/>
        <w:spacing w:beforeAutospacing="0" w:afterAutospacing="0" w:line="560" w:lineRule="exact"/>
        <w:ind w:firstLineChars="200" w:firstLine="640"/>
        <w:jc w:val="both"/>
        <w:rPr>
          <w:rFonts w:eastAsia="方正仿宋_GBK"/>
          <w:sz w:val="32"/>
          <w:szCs w:val="32"/>
          <w:shd w:val="clear" w:color="auto" w:fill="auto"/>
        </w:rPr>
      </w:pPr>
      <w:r>
        <w:rPr>
          <w:rFonts w:eastAsia="方正仿宋_GBK" w:hint="eastAsia"/>
          <w:sz w:val="32"/>
          <w:szCs w:val="32"/>
          <w:shd w:val="clear" w:color="auto" w:fill="auto"/>
        </w:rPr>
        <w:t>广州邮局海关</w:t>
      </w:r>
      <w:r>
        <w:rPr>
          <w:rFonts w:eastAsia="方正仿宋_GBK"/>
          <w:sz w:val="32"/>
          <w:szCs w:val="32"/>
          <w:shd w:val="clear" w:color="auto" w:fill="auto"/>
        </w:rPr>
        <w:t>202</w:t>
      </w:r>
      <w:r>
        <w:rPr>
          <w:rFonts w:eastAsia="方正仿宋_GBK" w:hint="eastAsia"/>
          <w:sz w:val="32"/>
          <w:szCs w:val="32"/>
          <w:shd w:val="clear" w:color="auto" w:fill="auto"/>
        </w:rPr>
        <w:t>3年年报提出以下问题：公告栏发布信息的准确性、规范性，以及日常管理维护有待完善。</w:t>
      </w:r>
    </w:p>
    <w:p>
      <w:pPr>
        <w:pStyle w:val="25"/>
        <w:widowControl/>
        <w:shd w:val="clear" w:color="auto" w:fill="auto"/>
        <w:adjustRightInd w:val="0"/>
        <w:snapToGrid w:val="0"/>
        <w:spacing w:beforeAutospacing="0" w:afterAutospacing="0" w:line="560" w:lineRule="exact"/>
        <w:ind w:firstLineChars="200" w:firstLine="640"/>
        <w:jc w:val="both"/>
        <w:rPr>
          <w:rFonts w:eastAsia="方正仿宋_GBK"/>
          <w:sz w:val="32"/>
          <w:szCs w:val="32"/>
          <w:shd w:val="clear" w:color="auto" w:fill="auto"/>
        </w:rPr>
      </w:pPr>
      <w:r>
        <w:rPr>
          <w:rFonts w:eastAsia="方正仿宋_GBK" w:hint="eastAsia"/>
          <w:sz w:val="32"/>
          <w:szCs w:val="32"/>
          <w:shd w:val="clear" w:color="auto" w:fill="auto"/>
        </w:rPr>
        <w:t>上述问题在2024年已采取措施完成整改：</w:t>
      </w:r>
      <w:r>
        <w:rPr>
          <w:rFonts w:eastAsia="方正仿宋_GBK" w:hint="eastAsia"/>
          <w:b/>
          <w:bCs/>
          <w:sz w:val="32"/>
          <w:szCs w:val="32"/>
          <w:shd w:val="clear" w:color="auto" w:fill="auto"/>
        </w:rPr>
        <w:t>一是</w:t>
      </w:r>
      <w:r>
        <w:rPr>
          <w:rFonts w:eastAsia="方正仿宋_GBK" w:hint="eastAsia"/>
          <w:sz w:val="32"/>
          <w:szCs w:val="32"/>
          <w:shd w:val="clear" w:color="auto" w:fill="auto"/>
        </w:rPr>
        <w:t>明确维护更新公告栏责任科室，加强日常管理，</w:t>
      </w:r>
      <w:r>
        <w:rPr>
          <w:rFonts w:eastAsia="方正仿宋_GBK"/>
          <w:sz w:val="32"/>
          <w:szCs w:val="32"/>
          <w:shd w:val="clear" w:color="auto" w:fill="auto"/>
        </w:rPr>
        <w:t>及时更新</w:t>
      </w:r>
      <w:r>
        <w:rPr>
          <w:rFonts w:eastAsia="方正仿宋_GBK" w:hint="eastAsia"/>
          <w:sz w:val="32"/>
          <w:szCs w:val="32"/>
          <w:shd w:val="clear" w:color="auto" w:fill="auto"/>
        </w:rPr>
        <w:t>公告通告等信息</w:t>
      </w:r>
      <w:r>
        <w:rPr>
          <w:rFonts w:eastAsia="方正仿宋_GBK"/>
          <w:sz w:val="32"/>
          <w:szCs w:val="32"/>
          <w:shd w:val="clear" w:color="auto" w:fill="auto"/>
        </w:rPr>
        <w:t>、及时调整</w:t>
      </w:r>
      <w:r>
        <w:rPr>
          <w:rFonts w:eastAsia="方正仿宋_GBK" w:hint="eastAsia"/>
          <w:sz w:val="32"/>
          <w:szCs w:val="32"/>
          <w:shd w:val="clear" w:color="auto" w:fill="auto"/>
        </w:rPr>
        <w:t>失效内容。</w:t>
      </w:r>
      <w:r>
        <w:rPr>
          <w:rFonts w:eastAsia="方正仿宋_GBK" w:hint="eastAsia"/>
          <w:b/>
          <w:bCs/>
          <w:sz w:val="32"/>
          <w:szCs w:val="32"/>
          <w:shd w:val="clear" w:color="auto" w:fill="auto"/>
        </w:rPr>
        <w:t>二是</w:t>
      </w:r>
      <w:r>
        <w:rPr>
          <w:rFonts w:eastAsia="方正仿宋_GBK" w:hint="eastAsia"/>
          <w:sz w:val="32"/>
          <w:szCs w:val="32"/>
          <w:shd w:val="clear" w:color="auto" w:fill="auto"/>
        </w:rPr>
        <w:t>强化监督检查，建立</w:t>
      </w:r>
      <w:r>
        <w:rPr>
          <w:rFonts w:eastAsia="方正仿宋_GBK"/>
          <w:sz w:val="32"/>
          <w:szCs w:val="32"/>
          <w:shd w:val="clear" w:color="auto" w:fill="auto"/>
        </w:rPr>
        <w:t>分散</w:t>
      </w:r>
      <w:r>
        <w:rPr>
          <w:rFonts w:eastAsia="方正仿宋_GBK" w:hint="eastAsia"/>
          <w:sz w:val="32"/>
          <w:szCs w:val="32"/>
          <w:shd w:val="clear" w:color="auto" w:fill="auto"/>
        </w:rPr>
        <w:t>自查和集中检查相结合的工作机制，年内开展基层政务公开专区集中检查2次，确保公告栏发布信息准确、规范。</w:t>
      </w:r>
    </w:p>
    <w:p>
      <w:pPr>
        <w:pStyle w:val="41"/>
        <w:shd w:val="clear" w:color="auto" w:fill="auto"/>
        <w:adjustRightInd w:val="0"/>
        <w:snapToGrid w:val="0"/>
        <w:ind w:firstLineChars="200" w:firstLine="624"/>
        <w:rPr>
          <w:rFonts w:ascii="方正楷体_GBK" w:eastAsia="方正楷体_GBK"/>
          <w:b/>
          <w:bCs/>
          <w:shd w:val="clear" w:color="auto" w:fill="auto"/>
        </w:rPr>
      </w:pPr>
      <w:r>
        <w:rPr>
          <w:rFonts w:ascii="方正楷体_GBK" w:eastAsia="方正楷体_GBK" w:hint="eastAsia"/>
          <w:b/>
          <w:bCs/>
          <w:shd w:val="clear" w:color="auto" w:fill="auto"/>
        </w:rPr>
        <w:t>（二）目前存在问题。</w:t>
      </w:r>
    </w:p>
    <w:p>
      <w:pPr>
        <w:pStyle w:val="85"/>
        <w:shd w:val="clear" w:color="auto" w:fill="auto"/>
        <w:spacing w:line="560" w:lineRule="exact"/>
        <w:ind w:firstLineChars="200" w:firstLine="640"/>
        <w:jc w:val="both"/>
        <w:rPr>
          <w:shd w:val="clear" w:color="auto" w:fill="auto"/>
        </w:rPr>
      </w:pPr>
      <w:r>
        <w:rPr>
          <w:rFonts w:ascii="Times New Roman" w:eastAsia="方正仿宋_GBK" w:hAnsi="Times New Roman" w:hint="eastAsia"/>
          <w:kern w:val="0"/>
          <w:sz w:val="32"/>
          <w:szCs w:val="32"/>
          <w:shd w:val="clear" w:color="auto" w:fill="auto"/>
        </w:rPr>
        <w:t>政府信息依申请公开岗位人员办理熟练度不够，办理能力需进一步提升。</w:t>
      </w:r>
    </w:p>
    <w:p>
      <w:pPr>
        <w:pStyle w:val="25"/>
        <w:widowControl/>
        <w:shd w:val="clear" w:color="auto" w:fill="auto"/>
        <w:spacing w:beforeAutospacing="0" w:afterAutospacing="0" w:line="560" w:lineRule="exact"/>
        <w:ind w:firstLineChars="200" w:firstLine="640"/>
        <w:jc w:val="both"/>
        <w:rPr>
          <w:rFonts w:ascii="方正黑体_GBK" w:eastAsia="方正黑体_GBK" w:cs="楷体_GB2312"/>
          <w:bCs/>
          <w:sz w:val="32"/>
          <w:szCs w:val="32"/>
          <w:shd w:val="clear" w:color="auto" w:fill="auto"/>
        </w:rPr>
      </w:pPr>
      <w:r>
        <w:rPr>
          <w:rFonts w:ascii="方正黑体_GBK" w:eastAsia="方正黑体_GBK" w:cs="楷体_GB2312" w:hint="eastAsia"/>
          <w:bCs/>
          <w:sz w:val="32"/>
          <w:szCs w:val="32"/>
          <w:shd w:val="clear" w:color="auto" w:fill="auto"/>
        </w:rPr>
        <w:t>六、其他需要报告的事项</w:t>
      </w:r>
      <w:bookmarkEnd w:id="1"/>
    </w:p>
    <w:p>
      <w:pPr>
        <w:pStyle w:val="25"/>
        <w:widowControl/>
        <w:shd w:val="clear" w:color="auto" w:fill="auto"/>
        <w:autoSpaceDN w:val="0"/>
        <w:adjustRightInd w:val="0"/>
        <w:snapToGrid w:val="0"/>
        <w:spacing w:beforeAutospacing="0" w:afterAutospacing="0" w:line="560" w:lineRule="exact"/>
        <w:ind w:firstLineChars="200" w:firstLine="640"/>
        <w:jc w:val="both"/>
        <w:rPr>
          <w:rFonts w:eastAsia="方正仿宋_GBK"/>
          <w:sz w:val="32"/>
          <w:szCs w:val="32"/>
          <w:shd w:val="clear" w:color="auto" w:fill="auto"/>
        </w:rPr>
      </w:pPr>
      <w:r>
        <w:rPr>
          <w:rFonts w:eastAsia="方正仿宋_GBK" w:hint="eastAsia"/>
          <w:sz w:val="32"/>
          <w:szCs w:val="32"/>
          <w:shd w:val="clear" w:color="auto" w:fill="auto"/>
        </w:rPr>
        <w:t>广州邮局海关严格按照《国务院办公厅关于印发〈政府信息公开信息处理费管理办法〉的通知》，规范政府信息公开信息处理费收取工作，</w:t>
      </w:r>
      <w:r>
        <w:rPr>
          <w:rFonts w:eastAsia="方正仿宋_GBK"/>
          <w:sz w:val="32"/>
          <w:szCs w:val="32"/>
          <w:shd w:val="clear" w:color="auto" w:fill="auto"/>
        </w:rPr>
        <w:t>202</w:t>
      </w:r>
      <w:r>
        <w:rPr>
          <w:rFonts w:eastAsia="方正仿宋_GBK" w:hint="eastAsia"/>
          <w:sz w:val="32"/>
          <w:szCs w:val="32"/>
          <w:shd w:val="clear" w:color="auto" w:fill="auto"/>
        </w:rPr>
        <w:t>4年未收取政府信息公开信息处理费。</w:t>
      </w:r>
    </w:p>
    <w:sectPr>
      <w:footerReference w:type="default" r:id="rId2"/>
      <w:footerReference w:type="even" r:id="rId3"/>
      <w:footerReference w:type="first" r:id="rId4"/>
      <w:pgSz w:w="11907" w:h="16840"/>
      <w:pgMar w:top="1928" w:right="1588" w:bottom="1588" w:left="1588" w:header="851" w:footer="992" w:gutter="0"/>
      <w:pgNumType w:fmt="numberInDash" w:start="1"/>
      <w:docGrid w:type="lines" w:linePitch="435"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楷体_GB2312">
    <w:altName w:val="楷体"/>
    <w:panose1 w:val="00000000000000000000"/>
    <w:charset w:val="00"/>
    <w:family w:val="auto"/>
    <w:pitch w:val="variable"/>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variable"/>
    <w:sig w:usb0="800002BF" w:usb1="38CF7CFA" w:usb2="00000016" w:usb3="00000000" w:csb0="00040001" w:csb1="00000000"/>
  </w:font>
  <w:font w:name="黑体">
    <w:altName w:val="SimHei"/>
    <w:panose1 w:val="02010609060101010101"/>
    <w:charset w:val="86"/>
    <w:family w:val="modern"/>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framePr w:w="0" w:hRule="auto" w:wrap="around" w:vAnchor="text" w:hAnchor="margin" w:xAlign="outside" w:y="1" w:anchorLock="0"/>
      <w:tabs>
        <w:tab w:val="center" w:pos="4153"/>
        <w:tab w:val="right" w:pos="8306"/>
      </w:tabs>
    </w:pPr>
    <w:r>
      <w:rPr>
        <w:rStyle w:val="17"/>
      </w:rPr>
      <w:fldChar w:fldCharType="begin"/>
    </w:r>
    <w:r>
      <w:rPr>
        <w:rStyle w:val="17"/>
      </w:rPr>
      <w:instrText>Page</w:instrText>
    </w:r>
    <w:r>
      <w:rPr>
        <w:rStyle w:val="17"/>
      </w:rPr>
      <w:fldChar w:fldCharType="separate"/>
    </w:r>
    <w:r>
      <w:rPr>
        <w:rStyle w:val="17"/>
      </w:rPr>
      <w:t>- 7 -</w:t>
    </w:r>
    <w:r>
      <w:rPr>
        <w:rStyle w:val="17"/>
      </w:rPr>
      <w:fldChar w:fldCharType="end"/>
    </w:r>
  </w:p>
  <w:p>
    <w:pPr>
      <w:pStyle w:val="16"/>
      <w:tabs>
        <w:tab w:val="center" w:pos="4153"/>
        <w:tab w:val="right" w:pos="8306"/>
      </w:tabs>
      <w:ind w:right="360" w:firstLine="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framePr w:w="0" w:hRule="auto" w:wrap="around" w:vAnchor="text" w:hAnchor="margin" w:xAlign="outside" w:y="1" w:anchorLock="0"/>
      <w:tabs>
        <w:tab w:val="center" w:pos="4153"/>
        <w:tab w:val="right" w:pos="8306"/>
      </w:tabs>
    </w:pPr>
    <w:r>
      <w:rPr>
        <w:rStyle w:val="17"/>
      </w:rPr>
      <w:fldChar w:fldCharType="begin"/>
    </w:r>
    <w:r>
      <w:rPr>
        <w:rStyle w:val="17"/>
      </w:rPr>
      <w:instrText>Page</w:instrText>
    </w:r>
    <w:r>
      <w:rPr>
        <w:rStyle w:val="17"/>
      </w:rPr>
      <w:fldChar w:fldCharType="separate"/>
    </w:r>
    <w:r>
      <w:rPr>
        <w:rStyle w:val="17"/>
      </w:rPr>
      <w:t>- 6 -</w:t>
    </w:r>
    <w:r>
      <w:rPr>
        <w:rStyle w:val="17"/>
      </w:rPr>
      <w:fldChar w:fldCharType="end"/>
    </w:r>
  </w:p>
  <w:p>
    <w:pPr>
      <w:pStyle w:val="16"/>
      <w:tabs>
        <w:tab w:val="center" w:pos="4153"/>
        <w:tab w:val="right" w:pos="8306"/>
      </w:tabs>
      <w:ind w:right="360" w:firstLine="360"/>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tabs>
        <w:tab w:val="center" w:pos="4153"/>
        <w:tab w:val="right" w:pos="8306"/>
      </w:tabs>
      <w:jc w:val="right"/>
    </w:pPr>
    <w:r>
      <w:fldChar w:fldCharType="begin"/>
    </w:r>
    <w:r>
      <w:instrText>Page</w:instrText>
    </w:r>
    <w:r>
      <w:fldChar w:fldCharType="separate"/>
    </w:r>
    <w:r>
      <w:t>- 1 -</w:t>
    </w:r>
    <w:r>
      <w:fldChar w:fldCharType="end"/>
    </w:r>
    <w:r>
      <w:fldChar w:fldCharType="begin"/>
    </w:r>
    <w:r>
      <w:instrText>NumPages</w:instrText>
    </w:r>
    <w:r>
      <w:fldChar w:fldCharType="separate"/>
    </w:r>
    <w:r>
      <w:t>7</w:t>
    </w:r>
    <w:r>
      <w:fldChar w:fldCharType="end"/>
    </w:r>
    <w:r>
      <w:fldChar w:fldCharType="begin"/>
    </w:r>
    <w:r>
      <w:instrText>Page</w:instrText>
    </w:r>
    <w:r>
      <w:fldChar w:fldCharType="separate"/>
    </w:r>
    <w:r>
      <w:t>- 1 -</w:t>
    </w:r>
    <w:r>
      <w:fldChar w:fldCharType="end"/>
    </w:r>
    <w:r>
      <w:fldChar w:fldCharType="begin"/>
    </w:r>
    <w:r>
      <w:instrText>Page</w:instrText>
    </w:r>
    <w:r>
      <w:fldChar w:fldCharType="separate"/>
    </w:r>
    <w:r>
      <w:t>- 1 -</w:t>
    </w:r>
    <w:r>
      <w:fldChar w:fldCharType="end"/>
    </w:r>
  </w:p>
  <w:p>
    <w:pPr>
      <w:pStyle w:val="16"/>
      <w:tabs>
        <w:tab w:val="center" w:pos="4153"/>
        <w:tab w:val="right" w:pos="8306"/>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85"/>
  <w:doNotDisplayPageBoundaries/>
  <w:bordersDoNotSurroundHeader/>
  <w:bordersDoNotSurroundFooter/>
  <w:defaultTabStop w:val="420"/>
  <w:evenAndOddHeaders/>
  <w:drawingGridHorizontalSpacing w:val="160"/>
  <w:drawingGridVerticalSpacing w:val="435"/>
  <w:displayHorizontalDrawingGridEvery w:val="0"/>
  <w:displayVerticalDrawingGridEvery w:val="1"/>
  <w:characterSpacingControl w:val="compressPunctuation"/>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方正仿宋_GBK" w:cs="Times New Roman" w:hAnsi="Times New Roman"/>
      <w:kern w:val="2"/>
      <w:sz w:val="32"/>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eastAsia="黑体"/>
      <w:b/>
      <w:bCs/>
      <w:szCs w:val="32"/>
    </w:rPr>
  </w:style>
  <w:style w:type="paragraph" w:styleId="3">
    <w:name w:val="heading 3"/>
    <w:basedOn w:val="0"/>
    <w:next w:val="0"/>
    <w:pPr>
      <w:keepNext/>
      <w:keepLines/>
      <w:widowControl w:val="0"/>
      <w:spacing w:before="260" w:after="260" w:line="415" w:lineRule="auto"/>
      <w:outlineLvl w:val="2"/>
    </w:pPr>
    <w:rPr>
      <w:b/>
      <w:bCs/>
      <w:szCs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character" w:styleId="17">
    <w:name w:val="page number"/>
    <w:basedOn w:val="10"/>
  </w:style>
  <w:style w:type="paragraph" w:customStyle="1" w:styleId="18">
    <w:name w:val="样式 三号"/>
    <w:next w:val="27"/>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styleId="19">
    <w:name w:val="index 5"/>
    <w:basedOn w:val="0"/>
    <w:autoRedefine/>
    <w:next w:val="0"/>
    <w:pPr>
      <w:ind w:left="1680"/>
    </w:pPr>
    <w:rPr>
      <w:rFonts w:eastAsia="宋体"/>
    </w:rPr>
  </w:style>
  <w:style w:type="paragraph" w:styleId="20">
    <w:name w:val="index 6"/>
    <w:basedOn w:val="0"/>
    <w:autoRedefine/>
    <w:next w:val="0"/>
    <w:pPr>
      <w:ind w:left="2100"/>
    </w:pPr>
  </w:style>
  <w:style w:type="paragraph" w:styleId="21">
    <w:name w:val="index 7"/>
    <w:basedOn w:val="0"/>
    <w:autoRedefine/>
    <w:next w:val="0"/>
    <w:pPr>
      <w:ind w:left="2520"/>
    </w:pPr>
  </w:style>
  <w:style w:type="paragraph" w:styleId="22">
    <w:name w:val="index 8"/>
    <w:basedOn w:val="0"/>
    <w:autoRedefine/>
    <w:next w:val="0"/>
    <w:pPr>
      <w:ind w:left="2940"/>
    </w:pPr>
  </w:style>
  <w:style w:type="paragraph" w:styleId="23">
    <w:name w:val="toc 1"/>
    <w:basedOn w:val="0"/>
    <w:autoRedefine/>
    <w:next w:val="0"/>
  </w:style>
  <w:style w:type="paragraph" w:styleId="24">
    <w:name w:val="toc 2"/>
    <w:basedOn w:val="0"/>
    <w:autoRedefine/>
    <w:next w:val="0"/>
    <w:pPr>
      <w:ind w:left="420"/>
    </w:pPr>
  </w:style>
  <w:style w:type="paragraph" w:styleId="25">
    <w:name w:val="Normal (Web)"/>
    <w:next w:val="16"/>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26">
    <w:name w:val="样式 1 三号"/>
    <w:next w:val="23"/>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27">
    <w:name w:val="样式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28">
    <w:name w:val="样式 小三"/>
    <w:next w:val="24"/>
    <w:pPr>
      <w:widowControl w:val="0"/>
      <w:jc w:val="both"/>
    </w:pPr>
    <w:rPr>
      <w:rFonts w:ascii="Times New Roman" w:eastAsia="宋体" w:cs="Times New Roman" w:hAnsi="Times New Roman"/>
      <w:kern w:val="2"/>
      <w:sz w:val="30"/>
      <w:szCs w:val="30"/>
      <w:lang w:val="en-US" w:eastAsia="zh-CN" w:bidi="ar-SA"/>
    </w:rPr>
  </w:style>
  <w:style w:type="paragraph" w:customStyle="1" w:styleId="29">
    <w:name w:val="样式 1 小四"/>
    <w:next w:val="0"/>
    <w:pPr>
      <w:widowControl w:val="0"/>
    </w:pPr>
    <w:rPr>
      <w:rFonts w:ascii="宋体" w:eastAsia="宋体" w:cs="Times New Roman"/>
      <w:kern w:val="2"/>
      <w:sz w:val="24"/>
      <w:lang w:val="en-US" w:eastAsia="zh-CN" w:bidi="ar-SA"/>
    </w:rPr>
  </w:style>
  <w:style w:type="paragraph" w:customStyle="1" w:styleId="30">
    <w:name w:val="样式 6 小四"/>
    <w:next w:val="0"/>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31">
    <w:name w:val="样式 20 小四"/>
    <w:next w:val="19"/>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32">
    <w:name w:val="样式 12 三号"/>
    <w:next w:val="22"/>
    <w:pPr>
      <w:widowControl w:val="0"/>
      <w:jc w:val="both"/>
    </w:pPr>
    <w:rPr>
      <w:rFonts w:ascii="Times New Roman" w:eastAsia="方正仿宋_GBK" w:cs="Times New Roman" w:hAnsi="Times New Roman"/>
      <w:kern w:val="2"/>
      <w:sz w:val="32"/>
      <w:lang w:val="en-US" w:eastAsia="zh-CN" w:bidi="ar-SA"/>
    </w:rPr>
  </w:style>
  <w:style w:type="paragraph" w:customStyle="1" w:styleId="33">
    <w:name w:val="样式 50 三号"/>
    <w:next w:val="20"/>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34">
    <w:name w:val="样式 13 三号"/>
    <w:next w:val="21"/>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35">
    <w:name w:val="样式 2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36">
    <w:name w:val="样式 3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37">
    <w:name w:val="样式 4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38">
    <w:name w:val="样式 5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39">
    <w:name w:val="样式 6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40">
    <w:name w:val="样式 7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1">
    <w:name w:val="样式 8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2">
    <w:name w:val="样式 小四"/>
    <w:pPr>
      <w:widowControl w:val="0"/>
    </w:pPr>
    <w:rPr>
      <w:rFonts w:ascii="宋体" w:eastAsia="宋体" w:cs="Times New Roman"/>
      <w:kern w:val="2"/>
      <w:sz w:val="24"/>
      <w:lang w:val="en-US" w:eastAsia="zh-CN" w:bidi="ar-SA"/>
    </w:rPr>
  </w:style>
  <w:style w:type="paragraph" w:customStyle="1" w:styleId="43">
    <w:name w:val="样式 1 小三"/>
    <w:pPr>
      <w:widowControl w:val="0"/>
      <w:jc w:val="both"/>
    </w:pPr>
    <w:rPr>
      <w:rFonts w:ascii="Times New Roman" w:eastAsia="宋体" w:cs="Times New Roman" w:hAnsi="Times New Roman"/>
      <w:kern w:val="2"/>
      <w:sz w:val="30"/>
      <w:szCs w:val="30"/>
      <w:lang w:val="en-US" w:eastAsia="zh-CN" w:bidi="ar-SA"/>
    </w:rPr>
  </w:style>
  <w:style w:type="paragraph" w:customStyle="1" w:styleId="44">
    <w:name w:val="样式 2 小三"/>
    <w:pPr>
      <w:widowControl w:val="0"/>
      <w:jc w:val="both"/>
    </w:pPr>
    <w:rPr>
      <w:rFonts w:ascii="Times New Roman" w:eastAsia="宋体" w:cs="Times New Roman" w:hAnsi="Times New Roman"/>
      <w:kern w:val="2"/>
      <w:sz w:val="30"/>
      <w:szCs w:val="30"/>
      <w:lang w:val="en-US" w:eastAsia="zh-CN" w:bidi="ar-SA"/>
    </w:rPr>
  </w:style>
  <w:style w:type="paragraph" w:customStyle="1" w:styleId="45">
    <w:name w:val="样式 3 小三"/>
    <w:pPr>
      <w:widowControl w:val="0"/>
      <w:jc w:val="both"/>
    </w:pPr>
    <w:rPr>
      <w:rFonts w:ascii="Times New Roman" w:eastAsia="宋体" w:cs="Times New Roman" w:hAnsi="Times New Roman"/>
      <w:kern w:val="2"/>
      <w:sz w:val="30"/>
      <w:szCs w:val="30"/>
      <w:lang w:val="en-US" w:eastAsia="zh-CN" w:bidi="ar-SA"/>
    </w:rPr>
  </w:style>
  <w:style w:type="paragraph" w:customStyle="1" w:styleId="46">
    <w:name w:val="样式 4 小三"/>
    <w:pPr>
      <w:widowControl w:val="0"/>
      <w:jc w:val="both"/>
    </w:pPr>
    <w:rPr>
      <w:rFonts w:ascii="Times New Roman" w:eastAsia="宋体" w:cs="Times New Roman" w:hAnsi="Times New Roman"/>
      <w:kern w:val="2"/>
      <w:sz w:val="30"/>
      <w:szCs w:val="30"/>
      <w:lang w:val="en-US" w:eastAsia="zh-CN" w:bidi="ar-SA"/>
    </w:rPr>
  </w:style>
  <w:style w:type="paragraph" w:customStyle="1" w:styleId="47">
    <w:name w:val="样式 9 三号"/>
    <w:pPr>
      <w:widowControl w:val="0"/>
      <w:ind w:left="420"/>
      <w:jc w:val="both"/>
    </w:pPr>
    <w:rPr>
      <w:rFonts w:ascii="Times New Roman" w:eastAsia="方正仿宋_GBK" w:cs="Times New Roman" w:hAnsi="Times New Roman"/>
      <w:kern w:val="2"/>
      <w:sz w:val="32"/>
      <w:szCs w:val="22"/>
      <w:lang w:val="en-US" w:eastAsia="zh-CN" w:bidi="ar-SA"/>
    </w:rPr>
  </w:style>
  <w:style w:type="paragraph" w:customStyle="1" w:styleId="48">
    <w:name w:val="样式 2 小四"/>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49">
    <w:name w:val="样式 10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50">
    <w:name w:val="样式 3 小四"/>
    <w:pPr>
      <w:widowControl w:val="0"/>
    </w:pPr>
    <w:rPr>
      <w:rFonts w:ascii="宋体" w:eastAsia="宋体" w:cs="Times New Roman"/>
      <w:kern w:val="2"/>
      <w:sz w:val="24"/>
      <w:lang w:val="en-US" w:eastAsia="zh-CN" w:bidi="ar-SA"/>
    </w:rPr>
  </w:style>
  <w:style w:type="paragraph" w:styleId="51">
    <w:name w:val="List Number 2"/>
    <w:basedOn w:val="0"/>
    <w:pPr>
      <w:tabs>
        <w:tab w:val="left" w:pos="780"/>
      </w:tabs>
      <w:ind w:left="780" w:hanging="360"/>
    </w:pPr>
  </w:style>
  <w:style w:type="paragraph" w:customStyle="1" w:styleId="52">
    <w:name w:val="样式 5 小三"/>
    <w:pPr>
      <w:widowControl w:val="0"/>
      <w:jc w:val="both"/>
    </w:pPr>
    <w:rPr>
      <w:rFonts w:ascii="Times New Roman" w:eastAsia="宋体" w:cs="Times New Roman" w:hAnsi="Times New Roman"/>
      <w:kern w:val="2"/>
      <w:sz w:val="30"/>
      <w:szCs w:val="30"/>
      <w:lang w:val="en-US" w:eastAsia="zh-CN" w:bidi="ar-SA"/>
    </w:rPr>
  </w:style>
  <w:style w:type="paragraph" w:customStyle="1" w:styleId="53">
    <w:name w:val="样式 6 小三"/>
    <w:pPr>
      <w:widowControl w:val="0"/>
      <w:jc w:val="both"/>
    </w:pPr>
    <w:rPr>
      <w:rFonts w:ascii="Times New Roman" w:eastAsia="宋体" w:cs="Times New Roman" w:hAnsi="Times New Roman"/>
      <w:kern w:val="2"/>
      <w:sz w:val="30"/>
      <w:szCs w:val="30"/>
      <w:lang w:val="en-US" w:eastAsia="zh-CN" w:bidi="ar-SA"/>
    </w:rPr>
  </w:style>
  <w:style w:type="paragraph" w:customStyle="1" w:styleId="54">
    <w:name w:val="样式 7 小三"/>
    <w:pPr>
      <w:widowControl w:val="0"/>
      <w:jc w:val="both"/>
    </w:pPr>
    <w:rPr>
      <w:rFonts w:ascii="Times New Roman" w:eastAsia="宋体" w:cs="Times New Roman" w:hAnsi="Times New Roman"/>
      <w:kern w:val="2"/>
      <w:sz w:val="30"/>
      <w:szCs w:val="30"/>
      <w:lang w:val="en-US" w:eastAsia="zh-CN" w:bidi="ar-SA"/>
    </w:rPr>
  </w:style>
  <w:style w:type="paragraph" w:customStyle="1" w:styleId="55">
    <w:name w:val="样式 8 小三"/>
    <w:pPr>
      <w:widowControl w:val="0"/>
      <w:jc w:val="both"/>
    </w:pPr>
    <w:rPr>
      <w:rFonts w:ascii="Times New Roman" w:eastAsia="宋体" w:cs="Times New Roman" w:hAnsi="Times New Roman"/>
      <w:kern w:val="2"/>
      <w:sz w:val="30"/>
      <w:szCs w:val="30"/>
      <w:lang w:val="en-US" w:eastAsia="zh-CN" w:bidi="ar-SA"/>
    </w:rPr>
  </w:style>
  <w:style w:type="paragraph" w:customStyle="1" w:styleId="56">
    <w:name w:val="样式 9 小三"/>
    <w:pPr>
      <w:widowControl w:val="0"/>
      <w:jc w:val="both"/>
    </w:pPr>
    <w:rPr>
      <w:rFonts w:ascii="Times New Roman" w:eastAsia="宋体" w:cs="Times New Roman" w:hAnsi="Times New Roman"/>
      <w:kern w:val="2"/>
      <w:sz w:val="30"/>
      <w:szCs w:val="30"/>
      <w:lang w:val="en-US" w:eastAsia="zh-CN" w:bidi="ar-SA"/>
    </w:rPr>
  </w:style>
  <w:style w:type="paragraph" w:customStyle="1" w:styleId="57">
    <w:name w:val="样式 10 小三"/>
    <w:pPr>
      <w:widowControl w:val="0"/>
      <w:jc w:val="both"/>
    </w:pPr>
    <w:rPr>
      <w:rFonts w:ascii="Times New Roman" w:eastAsia="宋体" w:cs="Times New Roman" w:hAnsi="Times New Roman"/>
      <w:kern w:val="2"/>
      <w:sz w:val="30"/>
      <w:szCs w:val="30"/>
      <w:lang w:val="en-US" w:eastAsia="zh-CN" w:bidi="ar-SA"/>
    </w:rPr>
  </w:style>
  <w:style w:type="paragraph" w:customStyle="1" w:styleId="58">
    <w:name w:val="样式 11 小三"/>
    <w:pPr>
      <w:widowControl w:val="0"/>
      <w:jc w:val="both"/>
    </w:pPr>
    <w:rPr>
      <w:rFonts w:ascii="Times New Roman" w:eastAsia="宋体" w:cs="Times New Roman" w:hAnsi="Times New Roman"/>
      <w:kern w:val="2"/>
      <w:sz w:val="30"/>
      <w:szCs w:val="30"/>
      <w:lang w:val="en-US" w:eastAsia="zh-CN" w:bidi="ar-SA"/>
    </w:rPr>
  </w:style>
  <w:style w:type="paragraph" w:customStyle="1" w:styleId="59">
    <w:name w:val="样式 12 小三"/>
    <w:pPr>
      <w:widowControl w:val="0"/>
      <w:jc w:val="both"/>
    </w:pPr>
    <w:rPr>
      <w:rFonts w:ascii="Times New Roman" w:eastAsia="宋体" w:cs="Times New Roman" w:hAnsi="Times New Roman"/>
      <w:kern w:val="2"/>
      <w:sz w:val="30"/>
      <w:szCs w:val="30"/>
      <w:lang w:val="en-US" w:eastAsia="zh-CN" w:bidi="ar-SA"/>
    </w:rPr>
  </w:style>
  <w:style w:type="paragraph" w:customStyle="1" w:styleId="60">
    <w:name w:val="样式 13 小三"/>
    <w:pPr>
      <w:widowControl w:val="0"/>
      <w:jc w:val="both"/>
    </w:pPr>
    <w:rPr>
      <w:rFonts w:ascii="Times New Roman" w:eastAsia="宋体" w:cs="Times New Roman" w:hAnsi="Times New Roman"/>
      <w:kern w:val="2"/>
      <w:sz w:val="30"/>
      <w:szCs w:val="30"/>
      <w:lang w:val="en-US" w:eastAsia="zh-CN" w:bidi="ar-SA"/>
    </w:rPr>
  </w:style>
  <w:style w:type="paragraph" w:customStyle="1" w:styleId="61">
    <w:name w:val="样式 14 小三"/>
    <w:pPr>
      <w:widowControl w:val="0"/>
      <w:jc w:val="both"/>
    </w:pPr>
    <w:rPr>
      <w:rFonts w:ascii="Times New Roman" w:eastAsia="宋体" w:cs="Times New Roman" w:hAnsi="Times New Roman"/>
      <w:kern w:val="2"/>
      <w:sz w:val="30"/>
      <w:szCs w:val="30"/>
      <w:lang w:val="en-US" w:eastAsia="zh-CN" w:bidi="ar-SA"/>
    </w:rPr>
  </w:style>
  <w:style w:type="paragraph" w:customStyle="1" w:styleId="62">
    <w:name w:val="样式 15 小三"/>
    <w:pPr>
      <w:widowControl w:val="0"/>
      <w:jc w:val="both"/>
    </w:pPr>
    <w:rPr>
      <w:rFonts w:ascii="Times New Roman" w:eastAsia="宋体" w:cs="Times New Roman" w:hAnsi="Times New Roman"/>
      <w:kern w:val="2"/>
      <w:sz w:val="30"/>
      <w:szCs w:val="30"/>
      <w:lang w:val="en-US" w:eastAsia="zh-CN" w:bidi="ar-SA"/>
    </w:rPr>
  </w:style>
  <w:style w:type="paragraph" w:customStyle="1" w:styleId="63">
    <w:name w:val="样式 16 小三"/>
    <w:pPr>
      <w:widowControl w:val="0"/>
      <w:jc w:val="both"/>
    </w:pPr>
    <w:rPr>
      <w:rFonts w:ascii="Times New Roman" w:eastAsia="宋体" w:cs="Times New Roman" w:hAnsi="Times New Roman"/>
      <w:kern w:val="2"/>
      <w:sz w:val="30"/>
      <w:szCs w:val="30"/>
      <w:lang w:val="en-US" w:eastAsia="zh-CN" w:bidi="ar-SA"/>
    </w:rPr>
  </w:style>
  <w:style w:type="paragraph" w:customStyle="1" w:styleId="64">
    <w:name w:val="样式 17 小三"/>
    <w:pPr>
      <w:widowControl w:val="0"/>
      <w:jc w:val="both"/>
    </w:pPr>
    <w:rPr>
      <w:rFonts w:ascii="Times New Roman" w:eastAsia="宋体" w:cs="Times New Roman" w:hAnsi="Times New Roman"/>
      <w:kern w:val="2"/>
      <w:sz w:val="30"/>
      <w:szCs w:val="30"/>
      <w:lang w:val="en-US" w:eastAsia="zh-CN" w:bidi="ar-SA"/>
    </w:rPr>
  </w:style>
  <w:style w:type="paragraph" w:customStyle="1" w:styleId="65">
    <w:name w:val="样式 18 小三"/>
    <w:pPr>
      <w:widowControl w:val="0"/>
      <w:jc w:val="both"/>
    </w:pPr>
    <w:rPr>
      <w:rFonts w:ascii="Times New Roman" w:eastAsia="宋体" w:cs="Times New Roman" w:hAnsi="Times New Roman"/>
      <w:kern w:val="2"/>
      <w:sz w:val="30"/>
      <w:szCs w:val="30"/>
      <w:lang w:val="en-US" w:eastAsia="zh-CN" w:bidi="ar-SA"/>
    </w:rPr>
  </w:style>
  <w:style w:type="paragraph" w:customStyle="1" w:styleId="66">
    <w:name w:val="样式 19 小三"/>
    <w:pPr>
      <w:widowControl w:val="0"/>
      <w:jc w:val="both"/>
    </w:pPr>
    <w:rPr>
      <w:rFonts w:ascii="Times New Roman" w:eastAsia="宋体" w:cs="Times New Roman" w:hAnsi="Times New Roman"/>
      <w:kern w:val="2"/>
      <w:sz w:val="30"/>
      <w:szCs w:val="30"/>
      <w:lang w:val="en-US" w:eastAsia="zh-CN" w:bidi="ar-SA"/>
    </w:rPr>
  </w:style>
  <w:style w:type="paragraph" w:customStyle="1" w:styleId="67">
    <w:name w:val="样式 20 小三"/>
    <w:pPr>
      <w:widowControl w:val="0"/>
      <w:jc w:val="both"/>
    </w:pPr>
    <w:rPr>
      <w:rFonts w:ascii="Times New Roman" w:eastAsia="宋体" w:cs="Times New Roman" w:hAnsi="Times New Roman"/>
      <w:kern w:val="2"/>
      <w:sz w:val="30"/>
      <w:szCs w:val="30"/>
      <w:lang w:val="en-US" w:eastAsia="zh-CN" w:bidi="ar-SA"/>
    </w:rPr>
  </w:style>
  <w:style w:type="paragraph" w:customStyle="1" w:styleId="68">
    <w:name w:val="样式 10 磅"/>
    <w:pPr>
      <w:widowControl w:val="0"/>
      <w:jc w:val="both"/>
    </w:pPr>
    <w:rPr>
      <w:rFonts w:ascii="Calibri" w:eastAsia="宋体" w:cs="Times New Roman" w:hAnsi="Calibri"/>
      <w:kern w:val="2"/>
      <w:sz w:val="21"/>
      <w:szCs w:val="22"/>
      <w:lang w:val="en-US" w:eastAsia="zh-CN" w:bidi="ar-SA"/>
    </w:rPr>
  </w:style>
  <w:style w:type="paragraph" w:customStyle="1" w:styleId="69">
    <w:name w:val="样式 21 小三"/>
    <w:pPr>
      <w:widowControl w:val="0"/>
      <w:jc w:val="both"/>
    </w:pPr>
    <w:rPr>
      <w:rFonts w:ascii="Times New Roman" w:eastAsia="宋体" w:cs="Times New Roman" w:hAnsi="Times New Roman"/>
      <w:kern w:val="2"/>
      <w:sz w:val="30"/>
      <w:szCs w:val="30"/>
      <w:lang w:val="en-US" w:eastAsia="zh-CN" w:bidi="ar-SA"/>
    </w:rPr>
  </w:style>
  <w:style w:type="paragraph" w:customStyle="1" w:styleId="70">
    <w:name w:val="样式 22 小三"/>
    <w:pPr>
      <w:widowControl w:val="0"/>
      <w:jc w:val="both"/>
    </w:pPr>
    <w:rPr>
      <w:rFonts w:ascii="Times New Roman" w:eastAsia="宋体" w:cs="Times New Roman" w:hAnsi="Times New Roman"/>
      <w:kern w:val="2"/>
      <w:sz w:val="30"/>
      <w:szCs w:val="30"/>
      <w:lang w:val="en-US" w:eastAsia="zh-CN" w:bidi="ar-SA"/>
    </w:rPr>
  </w:style>
  <w:style w:type="paragraph" w:styleId="71">
    <w:name w:val="List Bullet"/>
    <w:basedOn w:val="0"/>
    <w:pPr>
      <w:tabs>
        <w:tab w:val="left" w:pos="360"/>
      </w:tabs>
      <w:ind w:left="360" w:hanging="360"/>
    </w:pPr>
  </w:style>
  <w:style w:type="paragraph" w:styleId="72">
    <w:name w:val="List Number"/>
    <w:basedOn w:val="0"/>
    <w:pPr>
      <w:tabs>
        <w:tab w:val="left" w:pos="360"/>
      </w:tabs>
      <w:ind w:left="360" w:hanging="360"/>
    </w:pPr>
  </w:style>
  <w:style w:type="paragraph" w:customStyle="1" w:styleId="73">
    <w:name w:val="样式 17 三号"/>
    <w:next w:val="71"/>
    <w:pPr>
      <w:widowControl w:val="0"/>
      <w:jc w:val="both"/>
    </w:pPr>
    <w:rPr>
      <w:rFonts w:ascii="Times New Roman" w:eastAsia="方正仿宋_GBK" w:cs="Times New Roman" w:hAnsi="Times New Roman"/>
      <w:kern w:val="2"/>
      <w:sz w:val="32"/>
      <w:lang w:val="en-US" w:eastAsia="zh-CN" w:bidi="ar-SA"/>
    </w:rPr>
  </w:style>
  <w:style w:type="paragraph" w:customStyle="1" w:styleId="74">
    <w:name w:val="样式 18 三号"/>
    <w:next w:val="72"/>
    <w:pPr>
      <w:widowControl w:val="0"/>
      <w:jc w:val="both"/>
    </w:pPr>
    <w:rPr>
      <w:rFonts w:ascii="Times New Roman" w:eastAsia="方正仿宋_GBK" w:cs="Times New Roman" w:hAnsi="Times New Roman"/>
      <w:kern w:val="2"/>
      <w:sz w:val="32"/>
      <w:szCs w:val="22"/>
      <w:lang w:val="en-US" w:eastAsia="zh-CN" w:bidi="ar-SA"/>
    </w:rPr>
  </w:style>
  <w:style w:type="paragraph" w:styleId="75">
    <w:name w:val="Balloon Text"/>
    <w:basedOn w:val="0"/>
    <w:rPr>
      <w:sz w:val="18"/>
      <w:szCs w:val="18"/>
    </w:rPr>
  </w:style>
  <w:style w:type="character" w:styleId="76">
    <w:name w:val="annotation reference"/>
    <w:basedOn w:val="10"/>
    <w:rPr>
      <w:sz w:val="21"/>
      <w:szCs w:val="21"/>
    </w:rPr>
  </w:style>
  <w:style w:type="paragraph" w:styleId="77">
    <w:name w:val="annotation text"/>
    <w:basedOn w:val="0"/>
    <w:pPr>
      <w:jc w:val="left"/>
    </w:pPr>
  </w:style>
  <w:style w:type="paragraph" w:styleId="78">
    <w:name w:val="annotation subject"/>
    <w:basedOn w:val="77"/>
    <w:next w:val="77"/>
    <w:rPr>
      <w:b/>
      <w:bCs/>
    </w:rPr>
  </w:style>
  <w:style w:type="paragraph" w:customStyle="1" w:styleId="79">
    <w:name w:val="Revision"/>
    <w:rPr>
      <w:rFonts w:ascii="Times New Roman" w:eastAsia="方正仿宋_GBK" w:cs="Times New Roman" w:hAnsi="Times New Roman"/>
      <w:kern w:val="2"/>
      <w:sz w:val="32"/>
      <w:szCs w:val="22"/>
      <w:lang w:val="en-US" w:eastAsia="zh-CN" w:bidi="ar-SA"/>
    </w:rPr>
  </w:style>
  <w:style w:type="paragraph" w:customStyle="1" w:styleId="80">
    <w:name w:val="样式 11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81">
    <w:name w:val="样式 14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82">
    <w:name w:val="样式 15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83">
    <w:name w:val="样式 16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84">
    <w:name w:val="样式 19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85">
    <w:name w:val="样式 8 小四"/>
    <w:next w:val="78"/>
    <w:pPr>
      <w:widowControl w:val="0"/>
      <w:spacing w:line="240" w:lineRule="auto"/>
      <w:jc w:val="left"/>
    </w:pPr>
    <w:rPr>
      <w:rFonts w:ascii="宋体" w:eastAsia="宋体" w:cs="Times New Roman"/>
      <w:kern w:val="2"/>
      <w:sz w:val="24"/>
      <w:szCs w:val="21"/>
      <w:lang w:val="en-US" w:eastAsia="zh-CN" w:bidi="ar-SA"/>
    </w:rPr>
  </w:style>
  <w:style w:type="paragraph" w:customStyle="1" w:styleId="86">
    <w:name w:val="样式 20 三号"/>
    <w:pPr>
      <w:widowControl w:val="0"/>
      <w:spacing w:line="560" w:lineRule="exact"/>
      <w:jc w:val="both"/>
    </w:pPr>
    <w:rPr>
      <w:rFonts w:ascii="Times New Roman" w:eastAsia="方正仿宋_GBK" w:cs="Times New Roman" w:hAnsi="Times New Roman"/>
      <w:spacing w:val="-4"/>
      <w:kern w:val="2"/>
      <w:sz w:val="32"/>
      <w:szCs w:val="32"/>
      <w:lang w:val="en-US" w:eastAsia="zh-CN" w:bidi="ar-SA"/>
    </w:rPr>
  </w:style>
  <w:style w:type="paragraph" w:customStyle="1" w:styleId="87">
    <w:name w:val="样式 21 三号"/>
    <w:pPr>
      <w:widowControl w:val="0"/>
      <w:spacing w:line="560" w:lineRule="exact"/>
      <w:jc w:val="both"/>
    </w:pPr>
    <w:rPr>
      <w:rFonts w:ascii="Times New Roman" w:eastAsia="方正仿宋_GBK" w:cs="Times New Roman" w:hAnsi="Times New Roman"/>
      <w:spacing w:val="-4"/>
      <w:kern w:val="2"/>
      <w:sz w:val="32"/>
      <w:szCs w:val="28"/>
      <w:lang w:val="en-US" w:eastAsia="zh-CN" w:bidi="ar-SA"/>
    </w:rPr>
  </w:style>
  <w:style w:type="paragraph" w:customStyle="1" w:styleId="179">
    <w:name w:val="样式 4 小四"/>
    <w:pPr>
      <w:widowControl w:val="0"/>
      <w:spacing w:before="100" w:beforeAutospacing="1" w:after="100" w:afterAutospacing="1"/>
      <w:jc w:val="left"/>
    </w:pPr>
    <w:rPr>
      <w:rFonts w:ascii="Times New Roman" w:eastAsia="宋体" w:cs="Times New Roman" w:hAnsi="Times New Roman"/>
      <w:kern w:val="0"/>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styles" Target="styles.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2475</TotalTime>
  <Application>Yozo_Office</Application>
  <Pages>7</Pages>
  <Words>2626</Words>
  <Characters>2727</Characters>
  <Lines>445</Lines>
  <Paragraphs>312</Paragraphs>
  <CharactersWithSpaces>2727</CharactersWithSpaces>
  <Company>ccic</Company>
</Properties>
</file>

<file path=docProps/core.xml><?xml version="1.0" encoding="utf-8"?>
<cp:coreProperties xmlns:cp="http://schemas.openxmlformats.org/package/2006/metadata/core-properties" xmlns:dc="http://purl.org/dc/elements/1.1/" xmlns:dcterms="http://purl.org/dc/terms/" xmlns:xsi="http://www.w3.org/2001/XMLSchema-instance">
  <dc:creator>吕大良</dc:creator>
  <cp:lastModifiedBy>刘书华</cp:lastModifiedBy>
  <cp:revision>105</cp:revision>
  <cp:lastPrinted>2025-01-14T10:12:00Z</cp:lastPrinted>
  <dcterms:created xsi:type="dcterms:W3CDTF">2008-05-09T07:46:00Z</dcterms:created>
  <dcterms:modified xsi:type="dcterms:W3CDTF">2025-01-26T07:54:27Z</dcterms:modified>
</cp:coreProperties>
</file>