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91"/>
        <w:shd w:val="clear" w:color="auto" w:fill="auto"/>
        <w:spacing w:line="560" w:lineRule="exact"/>
        <w:jc w:val="center"/>
        <w:rPr>
          <w:rFonts w:ascii="方正小标宋_GBK" w:eastAsia="方正小标宋_GBK" w:cs="方正小标宋_GBK" w:hint="eastAsia"/>
          <w:sz w:val="44"/>
          <w:szCs w:val="44"/>
          <w:shd w:val="clear" w:color="auto" w:fill="auto"/>
          <w:lang w:bidi="ar-SA"/>
        </w:rPr>
      </w:pPr>
      <w:bookmarkStart w:id="0" w:name="_Hlk25540369"/>
      <w:bookmarkStart w:id="1" w:name="cogw__正文__file"/>
      <w:r>
        <w:rPr>
          <w:rFonts w:ascii="方正小标宋_GBK" w:eastAsia="方正小标宋_GBK" w:hint="eastAsia"/>
          <w:sz w:val="44"/>
          <w:szCs w:val="44"/>
          <w:shd w:val="clear" w:color="auto" w:fill="auto"/>
          <w:lang w:val="en-US" w:eastAsia="zh-CN"/>
        </w:rPr>
        <w:t xml:space="preserve"> </w:t>
      </w:r>
      <w:r>
        <w:rPr>
          <w:rFonts w:ascii="方正小标宋_GBK" w:eastAsia="方正小标宋_GBK" w:hint="eastAsia"/>
          <w:sz w:val="44"/>
          <w:szCs w:val="44"/>
          <w:shd w:val="clear" w:color="auto" w:fill="auto"/>
        </w:rPr>
        <w:t>罗定海关202</w:t>
      </w:r>
      <w:r>
        <w:rPr>
          <w:rFonts w:ascii="方正小标宋_GBK" w:eastAsia="方正小标宋_GBK" w:hint="eastAsia"/>
          <w:sz w:val="44"/>
          <w:szCs w:val="44"/>
          <w:shd w:val="clear" w:color="auto" w:fill="auto"/>
          <w:lang w:val="en-US" w:eastAsia="zh-CN"/>
        </w:rPr>
        <w:t>4</w:t>
      </w:r>
      <w:r>
        <w:rPr>
          <w:rFonts w:ascii="方正小标宋_GBK" w:eastAsia="方正小标宋_GBK" w:hint="eastAsia"/>
          <w:sz w:val="44"/>
          <w:szCs w:val="44"/>
          <w:shd w:val="clear" w:color="auto" w:fill="auto"/>
        </w:rPr>
        <w:t>年政府信息公开工作年度报告</w:t>
      </w:r>
      <w:bookmarkEnd w:id="0"/>
    </w:p>
    <w:p>
      <w:pPr>
        <w:pStyle w:val="44"/>
        <w:shd w:val="clear" w:color="auto" w:fill="auto"/>
        <w:adjustRightInd w:val="0"/>
        <w:snapToGrid w:val="0"/>
        <w:spacing w:line="560" w:lineRule="exact"/>
        <w:ind w:firstLineChars="200" w:firstLine="624"/>
        <w:rPr>
          <w:rFonts w:ascii="Times New Roman" w:eastAsia="方正仿宋_GBK" w:hAnsi="Times New Roman"/>
          <w:spacing w:val="-4"/>
          <w:sz w:val="32"/>
          <w:szCs w:val="32"/>
          <w:shd w:val="clear" w:color="auto" w:fill="auto"/>
        </w:rPr>
      </w:pPr>
    </w:p>
    <w:p>
      <w:pPr>
        <w:pStyle w:val="27"/>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lang w:bidi="ar-SA"/>
        </w:rPr>
      </w:pPr>
      <w:r>
        <w:rPr>
          <w:rFonts w:ascii="Times New Roman" w:eastAsia="方正仿宋_GBK" w:cs="Times New Roman" w:hAnsi="Times New Roman" w:hint="eastAsia"/>
          <w:kern w:val="2"/>
          <w:sz w:val="32"/>
          <w:szCs w:val="32"/>
          <w:shd w:val="clear" w:color="auto" w:fill="auto"/>
          <w:lang w:val="en-US" w:eastAsia="zh-CN" w:bidi="ar-SA"/>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罗定海关</w:t>
      </w:r>
      <w:r>
        <w:rPr>
          <w:rFonts w:eastAsia="方正仿宋_GBK" w:cs="Times New Roman" w:hint="eastAsia"/>
          <w:kern w:val="2"/>
          <w:sz w:val="32"/>
          <w:szCs w:val="32"/>
          <w:shd w:val="clear" w:color="auto" w:fill="auto"/>
          <w:lang w:val="en-US" w:eastAsia="zh-CN" w:bidi="ar-SA"/>
        </w:rPr>
        <w:t>2024</w:t>
      </w:r>
      <w:r>
        <w:rPr>
          <w:rFonts w:ascii="Times New Roman" w:eastAsia="方正仿宋_GBK" w:cs="Times New Roman" w:hAnsi="Times New Roman" w:hint="eastAsia"/>
          <w:kern w:val="2"/>
          <w:sz w:val="32"/>
          <w:szCs w:val="32"/>
          <w:shd w:val="clear" w:color="auto" w:fill="auto"/>
          <w:lang w:val="en-US" w:eastAsia="zh-CN" w:bidi="ar-SA"/>
        </w:rPr>
        <w:t>年政府信息公开工作年报。年报中所列数据的统计期限，自202</w:t>
      </w:r>
      <w:r>
        <w:rPr>
          <w:rFonts w:eastAsia="方正仿宋_GBK" w:cs="Times New Roman" w:hint="eastAsia"/>
          <w:kern w:val="2"/>
          <w:sz w:val="32"/>
          <w:szCs w:val="32"/>
          <w:shd w:val="clear" w:color="auto" w:fill="auto"/>
          <w:lang w:val="en-US" w:eastAsia="zh-CN" w:bidi="ar-SA"/>
        </w:rPr>
        <w:t>4</w:t>
      </w:r>
      <w:r>
        <w:rPr>
          <w:rFonts w:ascii="Times New Roman" w:eastAsia="方正仿宋_GBK" w:cs="Times New Roman" w:hAnsi="Times New Roman" w:hint="eastAsia"/>
          <w:kern w:val="2"/>
          <w:sz w:val="32"/>
          <w:szCs w:val="32"/>
          <w:shd w:val="clear" w:color="auto" w:fill="auto"/>
          <w:lang w:val="en-US" w:eastAsia="zh-CN" w:bidi="ar-SA"/>
        </w:rPr>
        <w:t>年1月1日起至202</w:t>
      </w:r>
      <w:r>
        <w:rPr>
          <w:rFonts w:eastAsia="方正仿宋_GBK" w:cs="Times New Roman" w:hint="eastAsia"/>
          <w:kern w:val="2"/>
          <w:sz w:val="32"/>
          <w:szCs w:val="32"/>
          <w:shd w:val="clear" w:color="auto" w:fill="auto"/>
          <w:lang w:val="en-US" w:eastAsia="zh-CN" w:bidi="ar-SA"/>
        </w:rPr>
        <w:t>4</w:t>
      </w:r>
      <w:r>
        <w:rPr>
          <w:rFonts w:ascii="Times New Roman" w:eastAsia="方正仿宋_GBK" w:cs="Times New Roman" w:hAnsi="Times New Roman" w:hint="eastAsia"/>
          <w:kern w:val="2"/>
          <w:sz w:val="32"/>
          <w:szCs w:val="32"/>
          <w:shd w:val="clear" w:color="auto" w:fill="auto"/>
          <w:lang w:val="en-US" w:eastAsia="zh-CN" w:bidi="ar-SA"/>
        </w:rPr>
        <w:t>年12月31日止。如对本年报有疑问或有任何意见、建议，请联系罗定海关办公室。地址：广东省罗定市迎宾二路1号，邮编：527200；电话：0766-3829962；电子邮箱：luodingban@customs.gov.cn。</w:t>
      </w:r>
    </w:p>
    <w:p>
      <w:pPr>
        <w:pStyle w:val="27"/>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lang w:bidi="ar-SA"/>
        </w:rPr>
      </w:pPr>
      <w:r>
        <w:rPr>
          <w:rFonts w:ascii="方正黑体_GBK" w:eastAsia="方正黑体_GBK" w:cs="楷体_GB2312" w:hint="eastAsia"/>
          <w:bCs/>
          <w:sz w:val="32"/>
          <w:szCs w:val="32"/>
          <w:shd w:val="clear" w:color="auto" w:fill="auto"/>
          <w:lang w:bidi="ar-SA"/>
        </w:rPr>
        <w:t>一、总体情况</w:t>
      </w:r>
    </w:p>
    <w:p>
      <w:pPr>
        <w:pStyle w:val="44"/>
        <w:shd w:val="clear" w:color="auto" w:fill="auto"/>
        <w:adjustRightInd w:val="0"/>
        <w:snapToGrid w:val="0"/>
        <w:spacing w:line="560" w:lineRule="exact"/>
        <w:ind w:firstLineChars="200" w:firstLine="640"/>
        <w:jc w:val="both"/>
        <w:rPr>
          <w:rFonts w:ascii="Times New Roman" w:eastAsia="方正仿宋_GBK" w:hAnsi="Times New Roman"/>
          <w:sz w:val="32"/>
          <w:szCs w:val="32"/>
          <w:shd w:val="clear" w:color="auto" w:fill="auto"/>
        </w:rPr>
      </w:pPr>
      <w:r>
        <w:rPr>
          <w:rFonts w:ascii="Times New Roman" w:eastAsia="方正仿宋_GBK" w:hAnsi="Times New Roman"/>
          <w:sz w:val="32"/>
          <w:szCs w:val="32"/>
          <w:shd w:val="clear" w:color="auto" w:fill="auto"/>
        </w:rPr>
        <w:t>202</w:t>
      </w:r>
      <w:r>
        <w:rPr>
          <w:rFonts w:ascii="Times New Roman" w:eastAsia="方正仿宋_GBK" w:hAnsi="Times New Roman" w:hint="eastAsia"/>
          <w:sz w:val="32"/>
          <w:szCs w:val="32"/>
          <w:shd w:val="clear" w:color="auto" w:fill="auto"/>
          <w:lang w:val="en-US" w:eastAsia="zh-CN"/>
        </w:rPr>
        <w:t>4</w:t>
      </w:r>
      <w:r>
        <w:rPr>
          <w:rFonts w:ascii="Times New Roman" w:eastAsia="方正仿宋_GBK" w:hAnsi="Times New Roman"/>
          <w:sz w:val="32"/>
          <w:szCs w:val="32"/>
          <w:shd w:val="clear" w:color="auto" w:fill="auto"/>
        </w:rPr>
        <w:t>年，</w:t>
      </w:r>
      <w:r>
        <w:rPr>
          <w:rFonts w:ascii="Times New Roman" w:eastAsia="方正仿宋_GBK" w:hAnsi="Times New Roman" w:hint="eastAsia"/>
          <w:sz w:val="32"/>
          <w:szCs w:val="32"/>
          <w:shd w:val="clear" w:color="auto" w:fill="auto"/>
        </w:rPr>
        <w:t>罗定海关</w:t>
      </w:r>
      <w:r>
        <w:rPr>
          <w:rFonts w:ascii="Times New Roman" w:eastAsia="方正仿宋_GBK" w:hAnsi="Times New Roman" w:hint="eastAsia"/>
          <w:sz w:val="32"/>
          <w:szCs w:val="32"/>
          <w:shd w:val="clear" w:color="auto" w:fill="auto"/>
          <w:lang w:val="en-US" w:eastAsia="zh-CN"/>
        </w:rPr>
        <w:t>坚持以</w:t>
      </w:r>
      <w:r>
        <w:rPr>
          <w:rFonts w:ascii="Times New Roman" w:eastAsia="方正仿宋_GBK" w:hAnsi="Times New Roman" w:hint="eastAsia"/>
          <w:sz w:val="32"/>
          <w:szCs w:val="32"/>
          <w:shd w:val="clear" w:color="auto" w:fill="auto"/>
          <w:lang w:eastAsia="zh-CN"/>
        </w:rPr>
        <w:t>习近平新时代中国特色社会主义思想</w:t>
      </w:r>
      <w:r>
        <w:rPr>
          <w:rFonts w:ascii="Times New Roman" w:eastAsia="方正仿宋_GBK" w:hAnsi="Times New Roman" w:hint="eastAsia"/>
          <w:sz w:val="32"/>
          <w:szCs w:val="32"/>
          <w:shd w:val="clear" w:color="auto" w:fill="auto"/>
          <w:lang w:val="en-US" w:eastAsia="zh-CN"/>
        </w:rPr>
        <w:t>为指导</w:t>
      </w:r>
      <w:r>
        <w:rPr>
          <w:rFonts w:ascii="Times New Roman" w:eastAsia="方正仿宋_GBK" w:hAnsi="Times New Roman" w:hint="eastAsia"/>
          <w:sz w:val="32"/>
          <w:szCs w:val="32"/>
          <w:shd w:val="clear" w:color="auto" w:fill="auto"/>
          <w:lang w:eastAsia="zh-CN"/>
        </w:rPr>
        <w:t>，</w:t>
      </w:r>
      <w:r>
        <w:rPr>
          <w:rFonts w:ascii="Times New Roman" w:eastAsia="方正仿宋_GBK" w:hAnsi="Times New Roman" w:hint="eastAsia"/>
          <w:color w:val="auto"/>
          <w:sz w:val="32"/>
          <w:szCs w:val="32"/>
          <w:shd w:val="clear" w:color="auto" w:fill="auto"/>
          <w:lang w:val="en-US" w:eastAsia="zh-CN"/>
        </w:rPr>
        <w:t>全面贯彻落实党的二十大和二十届二中、三中全会精神</w:t>
      </w:r>
      <w:r>
        <w:rPr>
          <w:rFonts w:ascii="Times New Roman" w:eastAsia="方正仿宋_GBK" w:hAnsi="Times New Roman" w:hint="eastAsia"/>
          <w:color w:val="auto"/>
          <w:sz w:val="32"/>
          <w:szCs w:val="32"/>
          <w:shd w:val="clear" w:color="auto" w:fill="auto"/>
          <w:lang w:eastAsia="zh-CN"/>
        </w:rPr>
        <w:t>，</w:t>
      </w:r>
      <w:r>
        <w:rPr>
          <w:rFonts w:ascii="Times New Roman" w:eastAsia="方正仿宋_GBK" w:hAnsi="Times New Roman" w:hint="eastAsia"/>
          <w:sz w:val="32"/>
          <w:szCs w:val="32"/>
          <w:shd w:val="clear" w:color="auto" w:fill="auto"/>
          <w:lang w:eastAsia="zh-CN"/>
        </w:rPr>
        <w:t>深入学习贯彻习近平总书记</w:t>
      </w:r>
      <w:r>
        <w:rPr>
          <w:rFonts w:ascii="Times New Roman" w:eastAsia="方正仿宋_GBK" w:hAnsi="Times New Roman"/>
          <w:sz w:val="32"/>
          <w:szCs w:val="32"/>
          <w:shd w:val="clear" w:color="auto" w:fill="auto"/>
        </w:rPr>
        <w:t>重要指示批示和</w:t>
      </w:r>
      <w:r>
        <w:rPr>
          <w:rFonts w:ascii="Times New Roman" w:eastAsia="方正仿宋_GBK" w:hAnsi="Times New Roman" w:hint="eastAsia"/>
          <w:sz w:val="32"/>
          <w:szCs w:val="32"/>
          <w:shd w:val="clear" w:color="auto" w:fill="auto"/>
          <w:lang w:eastAsia="zh-CN"/>
        </w:rPr>
        <w:t>给红其拉甫海关全体关员重要回信精神，</w:t>
      </w:r>
      <w:r>
        <w:rPr>
          <w:rFonts w:ascii="Times New Roman" w:eastAsia="方正仿宋_GBK" w:hAnsi="Times New Roman" w:hint="eastAsia"/>
          <w:sz w:val="32"/>
          <w:szCs w:val="32"/>
          <w:shd w:val="clear" w:color="auto" w:fill="auto"/>
        </w:rPr>
        <w:t>按照</w:t>
      </w:r>
      <w:r>
        <w:rPr>
          <w:rFonts w:ascii="Times New Roman" w:eastAsia="方正仿宋_GBK" w:hAnsi="Times New Roman"/>
          <w:sz w:val="32"/>
          <w:szCs w:val="32"/>
          <w:shd w:val="clear" w:color="auto" w:fill="auto"/>
        </w:rPr>
        <w:t>《中华人民共和国政府信息公开条例》</w:t>
      </w:r>
      <w:r>
        <w:rPr>
          <w:rFonts w:ascii="Times New Roman" w:eastAsia="方正仿宋_GBK" w:hAnsi="Times New Roman" w:hint="eastAsia"/>
          <w:sz w:val="32"/>
          <w:szCs w:val="32"/>
          <w:shd w:val="clear" w:color="auto" w:fill="auto"/>
        </w:rPr>
        <w:t>（以下</w:t>
      </w:r>
      <w:r>
        <w:rPr>
          <w:rFonts w:ascii="Times New Roman" w:eastAsia="方正仿宋_GBK" w:hAnsi="Times New Roman"/>
          <w:sz w:val="32"/>
          <w:szCs w:val="32"/>
          <w:shd w:val="clear" w:color="auto" w:fill="auto"/>
        </w:rPr>
        <w:t>简称《条例》），</w:t>
      </w:r>
      <w:r>
        <w:rPr>
          <w:rFonts w:ascii="Times New Roman" w:eastAsia="方正仿宋_GBK" w:hAnsi="Times New Roman" w:hint="eastAsia"/>
          <w:sz w:val="32"/>
          <w:szCs w:val="32"/>
          <w:shd w:val="clear" w:color="auto" w:fill="auto"/>
          <w:lang w:val="en-US" w:eastAsia="zh-CN"/>
        </w:rPr>
        <w:t>紧紧围绕海关重点工作，全面推进基层政务公开依法依规、条块有序</w:t>
      </w:r>
      <w:r>
        <w:rPr>
          <w:rFonts w:ascii="Times New Roman" w:eastAsia="方正仿宋_GBK" w:hAnsi="Times New Roman" w:hint="eastAsia"/>
          <w:sz w:val="32"/>
          <w:szCs w:val="32"/>
          <w:shd w:val="clear" w:color="auto" w:fill="auto"/>
        </w:rPr>
        <w:t>。现将工作情况报告如下：</w:t>
      </w:r>
    </w:p>
    <w:p>
      <w:pPr>
        <w:shd w:val="clear" w:color="auto" w:fill="auto"/>
        <w:spacing w:line="560" w:lineRule="exact"/>
        <w:ind w:firstLineChars="200" w:firstLine="640"/>
        <w:rPr>
          <w:rFonts w:ascii="方正楷体_GBK" w:eastAsia="方正楷体_GBK" w:cs="方正仿宋_GBK" w:hint="eastAsia"/>
          <w:b/>
          <w:bCs/>
          <w:szCs w:val="20"/>
          <w:shd w:val="clear" w:color="auto" w:fill="auto"/>
          <w:lang w:bidi="ar-SA"/>
        </w:rPr>
      </w:pPr>
      <w:r>
        <w:rPr>
          <w:rFonts w:ascii="方正楷体_GBK" w:eastAsia="方正楷体_GBK" w:cs="方正仿宋_GBK" w:hint="eastAsia"/>
          <w:b/>
          <w:bCs/>
          <w:szCs w:val="20"/>
          <w:shd w:val="clear" w:color="auto" w:fill="auto"/>
          <w:lang w:bidi="ar-SA"/>
        </w:rPr>
        <w:t>（一）主动公开情况。</w:t>
      </w:r>
    </w:p>
    <w:p>
      <w:pPr>
        <w:pStyle w:val="44"/>
        <w:shd w:val="clear" w:color="auto" w:fill="auto"/>
        <w:adjustRightInd w:val="0"/>
        <w:snapToGrid w:val="0"/>
        <w:spacing w:line="560" w:lineRule="exact"/>
        <w:ind w:firstLineChars="200" w:firstLine="640"/>
        <w:jc w:val="both"/>
        <w:rPr>
          <w:rFonts w:ascii="Times New Roman" w:eastAsia="方正仿宋_GBK" w:hAnsi="Times New Roman"/>
          <w:sz w:val="32"/>
          <w:szCs w:val="32"/>
          <w:shd w:val="clear" w:color="auto" w:fill="auto"/>
        </w:rPr>
      </w:pPr>
      <w:r>
        <w:rPr>
          <w:rFonts w:ascii="Times New Roman" w:eastAsia="方正仿宋_GBK" w:hAnsi="Times New Roman" w:hint="eastAsia"/>
          <w:sz w:val="32"/>
          <w:szCs w:val="32"/>
          <w:shd w:val="clear" w:color="auto" w:fill="auto"/>
          <w:lang w:val="en-US" w:eastAsia="zh-CN"/>
        </w:rPr>
        <w:t>严格按照《条例》规定，依法依规对机构信息、行政执法信息、政策法规等相关事项</w:t>
      </w:r>
      <w:r>
        <w:rPr>
          <w:rFonts w:ascii="Times New Roman" w:eastAsia="方正仿宋_GBK" w:hAnsi="Times New Roman"/>
          <w:sz w:val="32"/>
          <w:szCs w:val="32"/>
          <w:shd w:val="clear" w:color="auto" w:fill="auto"/>
          <w:lang w:val="en-US" w:eastAsia="zh-CN"/>
        </w:rPr>
        <w:t>予以</w:t>
      </w:r>
      <w:r>
        <w:rPr>
          <w:rFonts w:ascii="Times New Roman" w:eastAsia="方正仿宋_GBK" w:hAnsi="Times New Roman" w:hint="eastAsia"/>
          <w:sz w:val="32"/>
          <w:szCs w:val="32"/>
          <w:shd w:val="clear" w:color="auto" w:fill="auto"/>
          <w:lang w:val="en-US" w:eastAsia="zh-CN"/>
        </w:rPr>
        <w:t>主动公开</w:t>
      </w:r>
      <w:r>
        <w:rPr>
          <w:rFonts w:ascii="Times New Roman" w:eastAsia="方正仿宋_GBK" w:hAnsi="Times New Roman"/>
          <w:sz w:val="32"/>
          <w:szCs w:val="32"/>
          <w:shd w:val="clear" w:color="auto" w:fill="auto"/>
          <w:lang w:val="en-US" w:eastAsia="zh-CN"/>
        </w:rPr>
        <w:t>，</w:t>
      </w:r>
      <w:r>
        <w:rPr>
          <w:rFonts w:ascii="Times New Roman" w:eastAsia="方正仿宋_GBK" w:hAnsi="Times New Roman" w:hint="eastAsia"/>
          <w:sz w:val="32"/>
          <w:szCs w:val="32"/>
          <w:shd w:val="clear" w:color="auto" w:fill="auto"/>
          <w:lang w:val="en-US" w:eastAsia="zh-CN"/>
        </w:rPr>
        <w:t>并及时更新。</w:t>
      </w:r>
      <w:r>
        <w:rPr>
          <w:rFonts w:ascii="Times New Roman" w:eastAsia="方正仿宋_GBK" w:hAnsi="Times New Roman"/>
          <w:sz w:val="32"/>
          <w:szCs w:val="32"/>
          <w:shd w:val="clear" w:color="auto" w:fill="auto"/>
          <w:lang w:val="en-US" w:eastAsia="zh-CN"/>
        </w:rPr>
        <w:t>年内</w:t>
      </w:r>
      <w:r>
        <w:rPr>
          <w:rFonts w:ascii="Times New Roman" w:eastAsia="方正仿宋_GBK" w:hAnsi="Times New Roman" w:hint="eastAsia"/>
          <w:sz w:val="32"/>
          <w:szCs w:val="32"/>
          <w:shd w:val="clear" w:color="auto" w:fill="auto"/>
          <w:lang w:val="en-US" w:eastAsia="zh-CN"/>
        </w:rPr>
        <w:t>通过广州海关门户网站、政务大厅现场公示栏主动公开、更新信息，包括“关长接待日”、</w:t>
      </w:r>
      <w:r>
        <w:rPr>
          <w:rFonts w:ascii="Times New Roman" w:eastAsia="方正仿宋_GBK" w:hAnsi="Times New Roman" w:hint="eastAsia"/>
          <w:color w:val="auto"/>
          <w:sz w:val="32"/>
          <w:szCs w:val="32"/>
          <w:shd w:val="clear" w:color="auto" w:fill="auto"/>
          <w:lang w:val="en-US" w:eastAsia="zh-CN"/>
        </w:rPr>
        <w:t>业务通知、</w:t>
      </w:r>
      <w:r>
        <w:rPr>
          <w:rFonts w:ascii="Times New Roman" w:eastAsia="方正仿宋_GBK" w:hAnsi="Times New Roman" w:hint="eastAsia"/>
          <w:sz w:val="32"/>
          <w:szCs w:val="32"/>
          <w:shd w:val="clear" w:color="auto" w:fill="auto"/>
          <w:lang w:val="en-US" w:eastAsia="zh-CN"/>
        </w:rPr>
        <w:t>业务咨询渠道等</w:t>
      </w:r>
      <w:r>
        <w:rPr>
          <w:rFonts w:ascii="Times New Roman" w:eastAsia="方正仿宋_GBK" w:hAnsi="Times New Roman"/>
          <w:sz w:val="32"/>
          <w:szCs w:val="32"/>
          <w:shd w:val="clear" w:color="auto" w:fill="auto"/>
          <w:lang w:val="en-US" w:eastAsia="zh-CN"/>
        </w:rPr>
        <w:t>政府信息</w:t>
      </w:r>
      <w:r>
        <w:rPr>
          <w:rFonts w:ascii="Times New Roman" w:eastAsia="方正仿宋_GBK" w:hAnsi="Times New Roman" w:hint="eastAsia"/>
          <w:sz w:val="32"/>
          <w:szCs w:val="32"/>
          <w:shd w:val="clear" w:color="auto" w:fill="auto"/>
        </w:rPr>
        <w:t>。</w:t>
      </w:r>
    </w:p>
    <w:p>
      <w:pPr>
        <w:shd w:val="clear" w:color="auto" w:fill="auto"/>
        <w:spacing w:line="560" w:lineRule="exact"/>
        <w:ind w:firstLineChars="200" w:firstLine="640"/>
        <w:rPr>
          <w:rFonts w:ascii="方正楷体_GBK" w:eastAsia="方正楷体_GBK" w:cs="方正仿宋_GBK" w:hint="eastAsia"/>
          <w:b/>
          <w:bCs/>
          <w:szCs w:val="20"/>
          <w:shd w:val="clear" w:color="auto" w:fill="auto"/>
          <w:lang w:bidi="ar-SA"/>
        </w:rPr>
      </w:pPr>
      <w:r>
        <w:rPr>
          <w:rFonts w:ascii="方正楷体_GBK" w:eastAsia="方正楷体_GBK" w:cs="方正仿宋_GBK" w:hint="eastAsia"/>
          <w:b/>
          <w:bCs/>
          <w:szCs w:val="20"/>
          <w:shd w:val="clear" w:color="auto" w:fill="auto"/>
          <w:lang w:bidi="ar-SA"/>
        </w:rPr>
        <w:t>（二）依申请公开方面。</w:t>
      </w:r>
    </w:p>
    <w:p>
      <w:pPr>
        <w:pStyle w:val="44"/>
        <w:shd w:val="clear" w:color="auto" w:fill="auto"/>
        <w:adjustRightInd w:val="0"/>
        <w:snapToGrid w:val="0"/>
        <w:spacing w:line="560" w:lineRule="exact"/>
        <w:ind w:firstLineChars="200" w:firstLine="640"/>
        <w:jc w:val="both"/>
        <w:rPr>
          <w:rFonts w:ascii="Times New Roman" w:eastAsia="方正仿宋_GBK" w:hAnsi="Times New Roman" w:hint="eastAsia"/>
          <w:sz w:val="32"/>
          <w:szCs w:val="32"/>
          <w:shd w:val="clear" w:color="auto" w:fill="auto"/>
          <w:lang w:val="en-US" w:eastAsia="zh-CN"/>
        </w:rPr>
      </w:pPr>
      <w:r>
        <w:rPr>
          <w:rFonts w:ascii="Times New Roman" w:eastAsia="方正仿宋_GBK" w:hAnsi="Times New Roman" w:hint="eastAsia"/>
          <w:color w:val="auto"/>
          <w:sz w:val="32"/>
          <w:szCs w:val="32"/>
          <w:shd w:val="clear" w:color="auto" w:fill="auto"/>
          <w:lang w:val="en-US" w:eastAsia="zh-CN"/>
        </w:rPr>
        <w:t>定期查看信件、电话、电邮、传真等政府信息公开申请受理渠道</w:t>
      </w:r>
      <w:r>
        <w:rPr>
          <w:rFonts w:ascii="Times New Roman" w:eastAsia="方正仿宋_GBK" w:hAnsi="Times New Roman" w:hint="eastAsia"/>
          <w:color w:val="auto"/>
          <w:sz w:val="32"/>
          <w:szCs w:val="32"/>
          <w:shd w:val="clear" w:color="auto" w:fill="auto"/>
        </w:rPr>
        <w:t>，确保</w:t>
      </w:r>
      <w:r>
        <w:rPr>
          <w:rFonts w:ascii="Times New Roman" w:eastAsia="方正仿宋_GBK" w:hAnsi="Times New Roman" w:hint="eastAsia"/>
          <w:color w:val="auto"/>
          <w:sz w:val="32"/>
          <w:szCs w:val="32"/>
          <w:shd w:val="clear" w:color="auto" w:fill="auto"/>
          <w:lang w:val="en-US" w:eastAsia="zh-CN"/>
        </w:rPr>
        <w:t>申请受理渠道保持畅通</w:t>
      </w:r>
      <w:r>
        <w:rPr>
          <w:rFonts w:ascii="Times New Roman" w:eastAsia="方正仿宋_GBK" w:hAnsi="Times New Roman" w:hint="eastAsia"/>
          <w:color w:val="auto"/>
          <w:sz w:val="32"/>
          <w:szCs w:val="32"/>
          <w:shd w:val="clear" w:color="auto" w:fill="auto"/>
          <w:lang w:eastAsia="zh-CN"/>
        </w:rPr>
        <w:t>。</w:t>
      </w:r>
      <w:r>
        <w:rPr>
          <w:rFonts w:ascii="Times New Roman" w:eastAsia="方正仿宋_GBK" w:hAnsi="Times New Roman" w:hint="eastAsia"/>
          <w:color w:val="auto"/>
          <w:sz w:val="32"/>
          <w:szCs w:val="32"/>
          <w:shd w:val="clear" w:color="auto" w:fill="auto"/>
          <w:lang w:val="en-US" w:eastAsia="zh-CN"/>
        </w:rPr>
        <w:t>强化规范办理，按照《中华人民共和国行政复议法》及相关规定，明确依申请公开办理规范要求，保障申请人的合法权益。加强岗位人员业务培训，分享、学习线上平台政务公开课程，提升干部业务水平。</w:t>
      </w:r>
      <w:r>
        <w:rPr>
          <w:rFonts w:ascii="Times New Roman" w:eastAsia="方正仿宋_GBK" w:hAnsi="Times New Roman"/>
          <w:color w:val="auto"/>
          <w:sz w:val="32"/>
          <w:szCs w:val="32"/>
          <w:shd w:val="clear" w:color="auto" w:fill="auto"/>
        </w:rPr>
        <w:t>年内</w:t>
      </w:r>
      <w:r>
        <w:rPr>
          <w:rFonts w:ascii="Times New Roman" w:eastAsia="方正仿宋_GBK" w:hAnsi="Times New Roman" w:hint="eastAsia"/>
          <w:color w:val="auto"/>
          <w:sz w:val="32"/>
          <w:szCs w:val="32"/>
          <w:shd w:val="clear" w:color="auto" w:fill="auto"/>
        </w:rPr>
        <w:t>未收到政府信息公开申请。</w:t>
      </w:r>
    </w:p>
    <w:p>
      <w:pPr>
        <w:shd w:val="clear" w:color="auto" w:fill="auto"/>
        <w:spacing w:line="560" w:lineRule="exact"/>
        <w:ind w:firstLineChars="200" w:firstLine="640"/>
        <w:rPr>
          <w:rFonts w:ascii="方正楷体_GBK" w:eastAsia="方正楷体_GBK" w:cs="方正仿宋_GBK" w:hint="eastAsia"/>
          <w:b/>
          <w:bCs/>
          <w:szCs w:val="20"/>
          <w:shd w:val="clear" w:color="auto" w:fill="auto"/>
          <w:lang w:bidi="ar-SA"/>
        </w:rPr>
      </w:pPr>
      <w:r>
        <w:rPr>
          <w:rFonts w:ascii="方正楷体_GBK" w:eastAsia="方正楷体_GBK" w:cs="方正仿宋_GBK" w:hint="eastAsia"/>
          <w:b/>
          <w:bCs/>
          <w:szCs w:val="20"/>
          <w:shd w:val="clear" w:color="auto" w:fill="auto"/>
          <w:lang w:bidi="ar-SA"/>
        </w:rPr>
        <w:t>（三）政府信息管理方面。</w:t>
      </w:r>
    </w:p>
    <w:p>
      <w:pPr>
        <w:pStyle w:val="44"/>
        <w:shd w:val="clear" w:color="auto" w:fill="auto"/>
        <w:adjustRightInd w:val="0"/>
        <w:snapToGrid w:val="0"/>
        <w:spacing w:line="560" w:lineRule="exact"/>
        <w:ind w:firstLineChars="200" w:firstLine="640"/>
        <w:rPr>
          <w:rFonts w:ascii="Times New Roman" w:eastAsia="方正仿宋_GBK" w:hAnsi="Times New Roman"/>
          <w:sz w:val="32"/>
          <w:szCs w:val="32"/>
          <w:shd w:val="clear" w:color="auto" w:fill="auto"/>
          <w:lang w:val="en-US" w:eastAsia="zh-CN"/>
        </w:rPr>
      </w:pPr>
      <w:r>
        <w:rPr>
          <w:rFonts w:ascii="Times New Roman" w:eastAsia="方正仿宋_GBK" w:hAnsi="Times New Roman" w:hint="eastAsia"/>
          <w:sz w:val="32"/>
          <w:szCs w:val="32"/>
          <w:shd w:val="clear" w:color="auto" w:fill="auto"/>
          <w:lang w:val="en-US" w:eastAsia="zh-CN"/>
        </w:rPr>
        <w:t>严格遵守《条例》规定，明确三级领导责任，梳理主动公开、信息</w:t>
      </w:r>
      <w:r>
        <w:rPr>
          <w:rFonts w:ascii="Times New Roman" w:eastAsia="方正仿宋_GBK" w:hAnsi="Times New Roman"/>
          <w:sz w:val="32"/>
          <w:szCs w:val="32"/>
          <w:shd w:val="clear" w:color="auto" w:fill="auto"/>
          <w:lang w:val="en-US" w:eastAsia="zh-CN"/>
        </w:rPr>
        <w:t>公开发布</w:t>
      </w:r>
      <w:r>
        <w:rPr>
          <w:rFonts w:ascii="Times New Roman" w:eastAsia="方正仿宋_GBK" w:hAnsi="Times New Roman" w:hint="eastAsia"/>
          <w:sz w:val="32"/>
          <w:szCs w:val="32"/>
          <w:shd w:val="clear" w:color="auto" w:fill="auto"/>
          <w:lang w:val="en-US" w:eastAsia="zh-CN"/>
        </w:rPr>
        <w:t>审查、公开属性管理等工作流程，</w:t>
      </w:r>
      <w:r>
        <w:rPr>
          <w:rFonts w:ascii="Times New Roman" w:eastAsia="方正仿宋_GBK" w:hAnsi="Times New Roman"/>
          <w:sz w:val="32"/>
          <w:szCs w:val="32"/>
          <w:shd w:val="clear" w:color="auto" w:fill="auto"/>
          <w:lang w:val="en-US" w:eastAsia="zh-CN"/>
        </w:rPr>
        <w:t>做好存档管理，</w:t>
      </w:r>
      <w:r>
        <w:rPr>
          <w:rFonts w:ascii="Times New Roman" w:eastAsia="方正仿宋_GBK" w:hAnsi="Times New Roman" w:hint="eastAsia"/>
          <w:sz w:val="32"/>
          <w:szCs w:val="32"/>
          <w:shd w:val="clear" w:color="auto" w:fill="auto"/>
          <w:lang w:val="en-US" w:eastAsia="zh-CN"/>
        </w:rPr>
        <w:t>防止信息违规发布</w:t>
      </w:r>
      <w:r>
        <w:rPr>
          <w:rFonts w:ascii="Times New Roman" w:eastAsia="方正仿宋_GBK" w:hAnsi="Times New Roman" w:hint="eastAsia"/>
          <w:sz w:val="32"/>
          <w:szCs w:val="32"/>
          <w:shd w:val="clear" w:color="auto" w:fill="auto"/>
        </w:rPr>
        <w:t>。</w:t>
      </w:r>
    </w:p>
    <w:p>
      <w:pPr>
        <w:shd w:val="clear" w:color="auto" w:fill="auto"/>
        <w:spacing w:line="560" w:lineRule="exact"/>
        <w:ind w:firstLineChars="200" w:firstLine="640"/>
        <w:rPr>
          <w:rFonts w:ascii="方正楷体_GBK" w:eastAsia="方正楷体_GBK" w:cs="方正仿宋_GBK" w:hint="eastAsia"/>
          <w:b/>
          <w:bCs/>
          <w:szCs w:val="20"/>
          <w:shd w:val="clear" w:color="auto" w:fill="auto"/>
          <w:lang w:bidi="ar-SA"/>
        </w:rPr>
      </w:pPr>
      <w:r>
        <w:rPr>
          <w:rFonts w:ascii="方正楷体_GBK" w:eastAsia="方正楷体_GBK" w:cs="方正仿宋_GBK" w:hint="eastAsia"/>
          <w:b/>
          <w:bCs/>
          <w:szCs w:val="20"/>
          <w:shd w:val="clear" w:color="auto" w:fill="auto"/>
          <w:lang w:bidi="ar-SA"/>
        </w:rPr>
        <w:t>（四）政府信息公开平台建设方面。</w:t>
      </w:r>
    </w:p>
    <w:p>
      <w:pPr>
        <w:pStyle w:val="44"/>
        <w:shd w:val="clear" w:color="auto" w:fill="auto"/>
        <w:adjustRightInd w:val="0"/>
        <w:snapToGrid w:val="0"/>
        <w:spacing w:line="560" w:lineRule="exact"/>
        <w:ind w:firstLineChars="200" w:firstLine="640"/>
        <w:jc w:val="both"/>
        <w:rPr>
          <w:rFonts w:ascii="Times New Roman" w:eastAsia="方正仿宋_GBK" w:hAnsi="Times New Roman" w:hint="eastAsia"/>
          <w:sz w:val="32"/>
          <w:szCs w:val="32"/>
          <w:shd w:val="clear" w:color="auto" w:fill="auto"/>
        </w:rPr>
      </w:pPr>
      <w:r>
        <w:rPr>
          <w:rFonts w:ascii="Times New Roman" w:eastAsia="方正仿宋_GBK" w:hAnsi="Times New Roman" w:hint="eastAsia"/>
          <w:color w:val="auto"/>
          <w:sz w:val="32"/>
          <w:szCs w:val="32"/>
          <w:shd w:val="clear" w:color="auto" w:fill="auto"/>
        </w:rPr>
        <w:t>加强政务服务窗口建设，畅通咨询服务渠道，深入开展调研，精准宣讲政策</w:t>
      </w:r>
      <w:r>
        <w:rPr>
          <w:rFonts w:ascii="Times New Roman" w:eastAsia="方正仿宋_GBK" w:hAnsi="Times New Roman" w:hint="eastAsia"/>
          <w:color w:val="auto"/>
          <w:sz w:val="32"/>
          <w:szCs w:val="32"/>
          <w:shd w:val="clear" w:color="auto" w:fill="auto"/>
          <w:lang w:eastAsia="zh-CN"/>
        </w:rPr>
        <w:t>。</w:t>
      </w:r>
      <w:r>
        <w:rPr>
          <w:rFonts w:ascii="Times New Roman" w:eastAsia="方正仿宋_GBK" w:hAnsi="Times New Roman"/>
          <w:sz w:val="32"/>
          <w:szCs w:val="32"/>
          <w:shd w:val="clear" w:color="auto" w:fill="auto"/>
        </w:rPr>
        <w:t>年内</w:t>
      </w:r>
      <w:r>
        <w:rPr>
          <w:rFonts w:ascii="Times New Roman" w:eastAsia="方正仿宋_GBK" w:hAnsi="Times New Roman"/>
          <w:sz w:val="32"/>
          <w:szCs w:val="32"/>
          <w:shd w:val="clear" w:color="auto" w:fill="auto"/>
          <w:lang w:val="en-US" w:eastAsia="zh-CN"/>
        </w:rPr>
        <w:t>组织</w:t>
      </w:r>
      <w:r>
        <w:rPr>
          <w:rFonts w:ascii="Times New Roman" w:eastAsia="方正仿宋_GBK" w:hAnsi="Times New Roman" w:hint="eastAsia"/>
          <w:sz w:val="32"/>
          <w:szCs w:val="32"/>
          <w:shd w:val="clear" w:color="auto" w:fill="auto"/>
          <w:lang w:val="en-US" w:eastAsia="zh-CN"/>
        </w:rPr>
        <w:t>政策宣贯会5次，参与</w:t>
      </w:r>
      <w:r>
        <w:rPr>
          <w:rFonts w:ascii="Times New Roman" w:eastAsia="方正仿宋_GBK" w:hAnsi="Times New Roman"/>
          <w:sz w:val="32"/>
          <w:szCs w:val="32"/>
          <w:shd w:val="clear" w:color="auto" w:fill="auto"/>
          <w:lang w:val="en-US" w:eastAsia="zh-CN"/>
        </w:rPr>
        <w:t>云浮</w:t>
      </w:r>
      <w:r>
        <w:rPr>
          <w:rFonts w:ascii="Times New Roman" w:eastAsia="方正仿宋_GBK" w:hAnsi="Times New Roman" w:hint="eastAsia"/>
          <w:sz w:val="32"/>
          <w:szCs w:val="32"/>
          <w:shd w:val="clear" w:color="auto" w:fill="auto"/>
          <w:lang w:val="en-US" w:eastAsia="zh-CN"/>
        </w:rPr>
        <w:t>RCEP产业合作发展大会、石展会等5场次招商引资推介会，惠及企业150余家次。利用“关长联系企业”“海关政策乡镇行”“我陪群众走流程”等形式，针对性宣讲RCEP、减免税等惠企便企政策，走进关区企业实地调研86家次</w:t>
      </w:r>
      <w:r>
        <w:rPr>
          <w:rFonts w:ascii="Times New Roman" w:eastAsia="方正仿宋_GBK" w:hAnsi="Times New Roman" w:hint="eastAsia"/>
          <w:sz w:val="32"/>
          <w:szCs w:val="32"/>
          <w:shd w:val="clear" w:color="auto" w:fill="auto"/>
        </w:rPr>
        <w:t>，</w:t>
      </w:r>
      <w:r>
        <w:rPr>
          <w:rFonts w:ascii="Times New Roman" w:eastAsia="方正仿宋_GBK" w:hAnsi="Times New Roman" w:hint="eastAsia"/>
          <w:sz w:val="32"/>
          <w:szCs w:val="32"/>
          <w:shd w:val="clear" w:color="auto" w:fill="auto"/>
          <w:lang w:val="en-US" w:eastAsia="zh-CN"/>
        </w:rPr>
        <w:t>形成调研报告10余篇，为地方决策</w:t>
      </w:r>
      <w:r>
        <w:rPr>
          <w:rFonts w:ascii="Times New Roman" w:eastAsia="方正仿宋_GBK" w:hAnsi="Times New Roman"/>
          <w:sz w:val="32"/>
          <w:szCs w:val="32"/>
          <w:shd w:val="clear" w:color="auto" w:fill="auto"/>
          <w:lang w:val="en-US" w:eastAsia="zh-CN"/>
        </w:rPr>
        <w:t>贡献</w:t>
      </w:r>
      <w:r>
        <w:rPr>
          <w:rFonts w:ascii="Times New Roman" w:eastAsia="方正仿宋_GBK" w:hAnsi="Times New Roman" w:hint="eastAsia"/>
          <w:sz w:val="32"/>
          <w:szCs w:val="32"/>
          <w:shd w:val="clear" w:color="auto" w:fill="auto"/>
          <w:lang w:val="en-US" w:eastAsia="zh-CN"/>
        </w:rPr>
        <w:t>“海关智慧”</w:t>
      </w:r>
      <w:r>
        <w:rPr>
          <w:rFonts w:ascii="Times New Roman" w:eastAsia="方正仿宋_GBK" w:hAnsi="Times New Roman" w:hint="eastAsia"/>
          <w:sz w:val="32"/>
          <w:szCs w:val="32"/>
          <w:shd w:val="clear" w:color="auto" w:fill="auto"/>
        </w:rPr>
        <w:t>。</w:t>
      </w:r>
      <w:r>
        <w:rPr>
          <w:rFonts w:ascii="Times New Roman" w:eastAsia="方正仿宋_GBK" w:hAnsi="Times New Roman"/>
          <w:sz w:val="32"/>
          <w:szCs w:val="32"/>
          <w:shd w:val="clear" w:color="auto" w:fill="auto"/>
        </w:rPr>
        <w:t>关区</w:t>
      </w:r>
      <w:r>
        <w:rPr>
          <w:rFonts w:ascii="Times New Roman" w:eastAsia="方正仿宋_GBK" w:hAnsi="Times New Roman" w:hint="eastAsia"/>
          <w:sz w:val="32"/>
          <w:szCs w:val="32"/>
          <w:shd w:val="clear" w:color="auto" w:fill="auto"/>
        </w:rPr>
        <w:t>累计新增注册登记备案企业</w:t>
      </w:r>
      <w:r>
        <w:rPr>
          <w:rFonts w:ascii="Times New Roman" w:eastAsia="方正仿宋_GBK" w:hAnsi="Times New Roman"/>
          <w:sz w:val="32"/>
          <w:szCs w:val="32"/>
          <w:shd w:val="clear" w:color="auto" w:fill="auto"/>
        </w:rPr>
        <w:t>137</w:t>
      </w:r>
      <w:r>
        <w:rPr>
          <w:rFonts w:ascii="Times New Roman" w:eastAsia="方正仿宋_GBK" w:hAnsi="Times New Roman" w:hint="eastAsia"/>
          <w:sz w:val="32"/>
          <w:szCs w:val="32"/>
          <w:shd w:val="clear" w:color="auto" w:fill="auto"/>
        </w:rPr>
        <w:t>家，</w:t>
      </w:r>
      <w:r>
        <w:rPr>
          <w:rFonts w:ascii="Times New Roman" w:eastAsia="方正仿宋_GBK" w:hAnsi="Times New Roman" w:hint="eastAsia"/>
          <w:sz w:val="32"/>
          <w:szCs w:val="32"/>
          <w:shd w:val="clear" w:color="auto" w:fill="auto"/>
          <w:lang w:val="en-US" w:eastAsia="zh-CN"/>
        </w:rPr>
        <w:t>23</w:t>
      </w:r>
      <w:r>
        <w:rPr>
          <w:rFonts w:ascii="Times New Roman" w:eastAsia="方正仿宋_GBK" w:hAnsi="Times New Roman" w:hint="eastAsia"/>
          <w:sz w:val="32"/>
          <w:szCs w:val="32"/>
          <w:shd w:val="clear" w:color="auto" w:fill="auto"/>
        </w:rPr>
        <w:t>家</w:t>
      </w:r>
      <w:r>
        <w:rPr>
          <w:rFonts w:ascii="Times New Roman" w:eastAsia="方正仿宋_GBK" w:hAnsi="Times New Roman" w:hint="eastAsia"/>
          <w:sz w:val="32"/>
          <w:szCs w:val="32"/>
          <w:shd w:val="clear" w:color="auto" w:fill="auto"/>
          <w:lang w:val="en-US" w:eastAsia="zh-CN"/>
        </w:rPr>
        <w:t>企业获得AEO</w:t>
      </w:r>
      <w:r>
        <w:rPr>
          <w:rFonts w:ascii="Times New Roman" w:eastAsia="方正仿宋_GBK" w:hAnsi="Times New Roman" w:hint="eastAsia"/>
          <w:sz w:val="32"/>
          <w:szCs w:val="32"/>
          <w:shd w:val="clear" w:color="auto" w:fill="auto"/>
        </w:rPr>
        <w:t>高级认证。</w:t>
      </w:r>
      <w:r>
        <w:rPr>
          <w:rFonts w:ascii="Times New Roman" w:eastAsia="方正仿宋_GBK" w:hAnsi="Times New Roman" w:hint="eastAsia"/>
          <w:color w:val="auto"/>
          <w:sz w:val="32"/>
          <w:szCs w:val="32"/>
          <w:shd w:val="clear" w:color="auto" w:fill="auto"/>
          <w:lang w:val="en-US" w:eastAsia="zh-CN"/>
        </w:rPr>
        <w:t>依托“海关进企业、海关进社区、海关进校园”——“三进”品牌，积极</w:t>
      </w:r>
      <w:r>
        <w:rPr>
          <w:rFonts w:ascii="Times New Roman" w:eastAsia="方正仿宋_GBK" w:hAnsi="Times New Roman" w:hint="eastAsia"/>
          <w:color w:val="auto"/>
          <w:sz w:val="32"/>
          <w:szCs w:val="32"/>
          <w:shd w:val="clear" w:color="auto" w:fill="auto"/>
        </w:rPr>
        <w:t>联合</w:t>
      </w:r>
      <w:r>
        <w:rPr>
          <w:rFonts w:ascii="Times New Roman" w:eastAsia="方正仿宋_GBK" w:hAnsi="Times New Roman" w:hint="eastAsia"/>
          <w:color w:val="auto"/>
          <w:sz w:val="32"/>
          <w:szCs w:val="32"/>
          <w:shd w:val="clear" w:color="auto" w:fill="auto"/>
          <w:lang w:val="en-US" w:eastAsia="zh-CN"/>
        </w:rPr>
        <w:t>辖区中小学</w:t>
      </w:r>
      <w:r>
        <w:rPr>
          <w:rFonts w:ascii="Times New Roman" w:eastAsia="方正仿宋_GBK" w:hAnsi="Times New Roman" w:hint="eastAsia"/>
          <w:color w:val="auto"/>
          <w:sz w:val="32"/>
          <w:szCs w:val="32"/>
          <w:shd w:val="clear" w:color="auto" w:fill="auto"/>
        </w:rPr>
        <w:t>开展</w:t>
      </w:r>
      <w:r>
        <w:rPr>
          <w:rFonts w:ascii="Times New Roman" w:eastAsia="方正仿宋_GBK" w:hAnsi="Times New Roman" w:hint="eastAsia"/>
          <w:color w:val="auto"/>
          <w:sz w:val="32"/>
          <w:szCs w:val="32"/>
          <w:shd w:val="clear" w:color="auto" w:fill="auto"/>
          <w:lang w:eastAsia="zh-CN"/>
        </w:rPr>
        <w:t>“</w:t>
      </w:r>
      <w:r>
        <w:rPr>
          <w:rFonts w:ascii="Times New Roman" w:eastAsia="方正仿宋_GBK" w:hAnsi="Times New Roman" w:hint="eastAsia"/>
          <w:color w:val="auto"/>
          <w:sz w:val="32"/>
          <w:szCs w:val="32"/>
          <w:shd w:val="clear" w:color="auto" w:fill="auto"/>
          <w:lang w:val="en-US" w:eastAsia="zh-CN"/>
        </w:rPr>
        <w:t>海关进校园</w:t>
      </w:r>
      <w:r>
        <w:rPr>
          <w:rFonts w:ascii="Times New Roman" w:eastAsia="方正仿宋_GBK" w:hAnsi="Times New Roman" w:hint="eastAsia"/>
          <w:color w:val="auto"/>
          <w:sz w:val="32"/>
          <w:szCs w:val="32"/>
          <w:shd w:val="clear" w:color="auto" w:fill="auto"/>
          <w:lang w:eastAsia="zh-CN"/>
        </w:rPr>
        <w:t>”</w:t>
      </w:r>
      <w:r>
        <w:rPr>
          <w:rFonts w:ascii="Times New Roman" w:eastAsia="方正仿宋_GBK" w:hAnsi="Times New Roman" w:hint="eastAsia"/>
          <w:color w:val="auto"/>
          <w:sz w:val="32"/>
          <w:szCs w:val="32"/>
          <w:shd w:val="clear" w:color="auto" w:fill="auto"/>
        </w:rPr>
        <w:t>活动</w:t>
      </w:r>
      <w:r>
        <w:rPr>
          <w:rFonts w:ascii="Times New Roman" w:eastAsia="方正仿宋_GBK" w:hAnsi="Times New Roman" w:hint="eastAsia"/>
          <w:color w:val="auto"/>
          <w:sz w:val="32"/>
          <w:szCs w:val="32"/>
          <w:shd w:val="clear" w:color="auto" w:fill="auto"/>
          <w:lang w:val="en-US" w:eastAsia="zh-CN"/>
        </w:rPr>
        <w:t>3次</w:t>
      </w:r>
      <w:r>
        <w:rPr>
          <w:rFonts w:ascii="Times New Roman" w:eastAsia="方正仿宋_GBK" w:hAnsi="Times New Roman" w:hint="eastAsia"/>
          <w:color w:val="auto"/>
          <w:sz w:val="32"/>
          <w:szCs w:val="32"/>
          <w:shd w:val="clear" w:color="auto" w:fill="auto"/>
        </w:rPr>
        <w:t>，</w:t>
      </w:r>
      <w:r>
        <w:rPr>
          <w:rFonts w:ascii="Times New Roman" w:eastAsia="方正仿宋_GBK" w:hAnsi="Times New Roman" w:hint="eastAsia"/>
          <w:color w:val="auto"/>
          <w:sz w:val="32"/>
          <w:szCs w:val="32"/>
          <w:shd w:val="clear" w:color="auto" w:fill="auto"/>
          <w:lang w:val="en-US" w:eastAsia="zh-CN"/>
        </w:rPr>
        <w:t>宣讲海关进出境、毒品查获案例等内容，进一步增强学生对国门生物安全、食品安全的认识，累计参加师生超500人</w:t>
      </w:r>
      <w:r>
        <w:rPr>
          <w:rFonts w:ascii="Times New Roman" w:eastAsia="方正仿宋_GBK" w:hAnsi="Times New Roman"/>
          <w:color w:val="auto"/>
          <w:sz w:val="32"/>
          <w:szCs w:val="32"/>
          <w:shd w:val="clear" w:color="auto" w:fill="auto"/>
        </w:rPr>
        <w:t>。</w:t>
      </w:r>
    </w:p>
    <w:p>
      <w:pPr>
        <w:shd w:val="clear" w:color="auto" w:fill="auto"/>
        <w:spacing w:line="560" w:lineRule="exact"/>
        <w:ind w:firstLineChars="200" w:firstLine="640"/>
        <w:rPr>
          <w:rFonts w:ascii="方正楷体_GBK" w:eastAsia="方正楷体_GBK" w:cs="方正仿宋_GBK" w:hint="eastAsia"/>
          <w:b/>
          <w:bCs/>
          <w:szCs w:val="20"/>
          <w:shd w:val="clear" w:color="auto" w:fill="auto"/>
          <w:lang w:bidi="ar-SA"/>
        </w:rPr>
      </w:pPr>
      <w:r>
        <w:rPr>
          <w:rFonts w:ascii="方正楷体_GBK" w:eastAsia="方正楷体_GBK" w:cs="方正仿宋_GBK" w:hint="eastAsia"/>
          <w:b/>
          <w:bCs/>
          <w:szCs w:val="20"/>
          <w:shd w:val="clear" w:color="auto" w:fill="auto"/>
          <w:lang w:bidi="ar-SA"/>
        </w:rPr>
        <w:t>（五）监督保障方面。</w:t>
      </w:r>
    </w:p>
    <w:p>
      <w:pPr>
        <w:pStyle w:val="44"/>
        <w:shd w:val="clear" w:color="auto" w:fill="auto"/>
        <w:adjustRightInd w:val="0"/>
        <w:snapToGrid w:val="0"/>
        <w:spacing w:line="560" w:lineRule="exact"/>
        <w:ind w:firstLineChars="200" w:firstLine="640"/>
        <w:jc w:val="both"/>
        <w:rPr>
          <w:rFonts w:ascii="Times New Roman" w:eastAsia="方正仿宋_GBK" w:hAnsi="Times New Roman"/>
          <w:sz w:val="32"/>
          <w:szCs w:val="32"/>
          <w:shd w:val="clear" w:color="auto" w:fill="auto"/>
          <w:lang w:val="en-US" w:eastAsia="zh-CN"/>
        </w:rPr>
      </w:pPr>
      <w:r>
        <w:rPr>
          <w:rFonts w:ascii="Times New Roman" w:eastAsia="方正仿宋_GBK" w:hAnsi="Times New Roman"/>
          <w:color w:val="auto"/>
          <w:sz w:val="32"/>
          <w:szCs w:val="32"/>
          <w:shd w:val="clear" w:color="auto" w:fill="auto"/>
          <w:lang w:val="en-US" w:eastAsia="zh-CN"/>
        </w:rPr>
        <w:t>积极</w:t>
      </w:r>
      <w:r>
        <w:rPr>
          <w:rFonts w:ascii="Times New Roman" w:eastAsia="方正仿宋_GBK" w:hAnsi="Times New Roman" w:hint="eastAsia"/>
          <w:color w:val="auto"/>
          <w:sz w:val="32"/>
          <w:szCs w:val="32"/>
          <w:shd w:val="clear" w:color="auto" w:fill="auto"/>
        </w:rPr>
        <w:t>开展“关长接待日”</w:t>
      </w:r>
      <w:r>
        <w:rPr>
          <w:rFonts w:ascii="Times New Roman" w:eastAsia="方正仿宋_GBK" w:hAnsi="Times New Roman"/>
          <w:color w:val="auto"/>
          <w:sz w:val="32"/>
          <w:szCs w:val="32"/>
          <w:shd w:val="clear" w:color="auto" w:fill="auto"/>
        </w:rPr>
        <w:t>活动</w:t>
      </w:r>
      <w:r>
        <w:rPr>
          <w:rFonts w:ascii="Times New Roman" w:eastAsia="方正仿宋_GBK" w:hAnsi="Times New Roman" w:hint="eastAsia"/>
          <w:color w:val="auto"/>
          <w:sz w:val="32"/>
          <w:szCs w:val="32"/>
          <w:shd w:val="clear" w:color="auto" w:fill="auto"/>
        </w:rPr>
        <w:t>，</w:t>
      </w:r>
      <w:r>
        <w:rPr>
          <w:rFonts w:ascii="Times New Roman" w:eastAsia="方正仿宋_GBK" w:hAnsi="Times New Roman" w:hint="eastAsia"/>
          <w:color w:val="auto"/>
          <w:sz w:val="32"/>
          <w:szCs w:val="32"/>
          <w:shd w:val="clear" w:color="auto" w:fill="auto"/>
          <w:lang w:val="en-US" w:eastAsia="zh-CN"/>
        </w:rPr>
        <w:t>关领导与企业群众“面对面”</w:t>
      </w:r>
      <w:r>
        <w:rPr>
          <w:rFonts w:ascii="Times New Roman" w:eastAsia="方正仿宋_GBK" w:hAnsi="Times New Roman"/>
          <w:color w:val="auto"/>
          <w:sz w:val="32"/>
          <w:szCs w:val="32"/>
          <w:shd w:val="clear" w:color="auto" w:fill="auto"/>
          <w:lang w:val="en-US" w:eastAsia="zh-CN"/>
        </w:rPr>
        <w:t>沟通</w:t>
      </w:r>
      <w:r>
        <w:rPr>
          <w:rFonts w:ascii="Times New Roman" w:eastAsia="方正仿宋_GBK" w:hAnsi="Times New Roman" w:hint="eastAsia"/>
          <w:color w:val="auto"/>
          <w:sz w:val="32"/>
          <w:szCs w:val="32"/>
          <w:shd w:val="clear" w:color="auto" w:fill="auto"/>
        </w:rPr>
        <w:t>公开</w:t>
      </w:r>
      <w:r>
        <w:rPr>
          <w:rFonts w:ascii="Times New Roman" w:eastAsia="方正仿宋_GBK" w:hAnsi="Times New Roman"/>
          <w:color w:val="auto"/>
          <w:sz w:val="32"/>
          <w:szCs w:val="32"/>
          <w:shd w:val="clear" w:color="auto" w:fill="auto"/>
        </w:rPr>
        <w:t>工作</w:t>
      </w:r>
      <w:r>
        <w:rPr>
          <w:rFonts w:ascii="Times New Roman" w:eastAsia="方正仿宋_GBK" w:hAnsi="Times New Roman" w:hint="eastAsia"/>
          <w:color w:val="auto"/>
          <w:sz w:val="32"/>
          <w:szCs w:val="32"/>
          <w:shd w:val="clear" w:color="auto" w:fill="auto"/>
        </w:rPr>
        <w:t>中存在的问题，</w:t>
      </w:r>
      <w:r>
        <w:rPr>
          <w:rFonts w:ascii="Times New Roman" w:eastAsia="方正仿宋_GBK" w:hAnsi="Times New Roman" w:hint="eastAsia"/>
          <w:sz w:val="32"/>
          <w:szCs w:val="32"/>
          <w:shd w:val="clear" w:color="auto" w:fill="auto"/>
          <w:lang w:val="en-US" w:eastAsia="zh-CN"/>
        </w:rPr>
        <w:t>了解企业经营情况，指导企业合规健康发展，对企业提出的意见建议给予答复，</w:t>
      </w:r>
      <w:r>
        <w:rPr>
          <w:rFonts w:ascii="Times New Roman" w:eastAsia="方正仿宋_GBK" w:hAnsi="Times New Roman" w:hint="eastAsia"/>
          <w:color w:val="auto"/>
          <w:sz w:val="32"/>
          <w:szCs w:val="32"/>
          <w:shd w:val="clear" w:color="auto" w:fill="auto"/>
        </w:rPr>
        <w:t>主动接受社会监督。</w:t>
      </w:r>
      <w:r>
        <w:rPr>
          <w:rFonts w:ascii="Times New Roman" w:eastAsia="方正仿宋_GBK" w:hAnsi="Times New Roman"/>
          <w:color w:val="auto"/>
          <w:sz w:val="32"/>
          <w:szCs w:val="32"/>
          <w:shd w:val="clear" w:color="auto" w:fill="auto"/>
          <w:lang w:val="en-US" w:eastAsia="zh-CN"/>
        </w:rPr>
        <w:t>年内</w:t>
      </w:r>
      <w:r>
        <w:rPr>
          <w:rFonts w:ascii="Times New Roman" w:eastAsia="方正仿宋_GBK" w:hAnsi="Times New Roman"/>
          <w:sz w:val="32"/>
          <w:szCs w:val="32"/>
          <w:shd w:val="clear" w:color="auto" w:fill="auto"/>
        </w:rPr>
        <w:t>共</w:t>
      </w:r>
      <w:r>
        <w:rPr>
          <w:rFonts w:ascii="Times New Roman" w:eastAsia="方正仿宋_GBK" w:hAnsi="Times New Roman" w:hint="eastAsia"/>
          <w:sz w:val="32"/>
          <w:szCs w:val="32"/>
          <w:shd w:val="clear" w:color="auto" w:fill="auto"/>
        </w:rPr>
        <w:t>开展“关长接待日”12次</w:t>
      </w:r>
      <w:r>
        <w:rPr>
          <w:rFonts w:ascii="Times New Roman" w:eastAsia="方正仿宋_GBK" w:hAnsi="Times New Roman" w:hint="eastAsia"/>
          <w:sz w:val="32"/>
          <w:szCs w:val="32"/>
          <w:shd w:val="clear" w:color="auto" w:fill="auto"/>
          <w:lang w:eastAsia="zh-CN"/>
        </w:rPr>
        <w:t>，</w:t>
      </w:r>
      <w:r>
        <w:rPr>
          <w:rFonts w:ascii="Times New Roman" w:eastAsia="方正仿宋_GBK" w:hAnsi="Times New Roman" w:hint="eastAsia"/>
          <w:sz w:val="32"/>
          <w:szCs w:val="32"/>
          <w:shd w:val="clear" w:color="auto" w:fill="auto"/>
          <w:lang w:val="en-US" w:eastAsia="zh-CN"/>
        </w:rPr>
        <w:t>协调解决企业合理合法诉求24个</w:t>
      </w:r>
      <w:r>
        <w:rPr>
          <w:rFonts w:ascii="Times New Roman" w:eastAsia="方正仿宋_GBK" w:hAnsi="Times New Roman" w:hint="eastAsia"/>
          <w:sz w:val="32"/>
          <w:szCs w:val="32"/>
          <w:shd w:val="clear" w:color="auto" w:fill="auto"/>
        </w:rPr>
        <w:t>。</w:t>
      </w:r>
    </w:p>
    <w:p>
      <w:pPr>
        <w:pStyle w:val="48"/>
        <w:shd w:val="clear" w:color="auto" w:fill="auto"/>
        <w:adjustRightInd w:val="0"/>
        <w:snapToGrid w:val="0"/>
        <w:ind w:firstLineChars="200" w:firstLine="624"/>
        <w:rPr>
          <w:rFonts w:ascii="方正黑体_GBK" w:eastAsia="方正黑体_GBK" w:cs="楷体_GB2312" w:hint="eastAsia"/>
          <w:bCs/>
          <w:szCs w:val="32"/>
          <w:shd w:val="clear" w:color="auto" w:fill="auto"/>
          <w:lang w:bidi="ar-SA"/>
        </w:rPr>
      </w:pPr>
      <w:r>
        <w:rPr>
          <w:rFonts w:ascii="方正黑体_GBK" w:eastAsia="方正黑体_GBK" w:cs="楷体_GB2312" w:hint="eastAsia"/>
          <w:bCs/>
          <w:szCs w:val="32"/>
          <w:shd w:val="clear" w:color="auto" w:fill="auto"/>
          <w:lang w:bidi="ar-SA"/>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19"/>
        <w:gridCol w:w="2183"/>
        <w:gridCol w:w="1936"/>
        <w:gridCol w:w="2156"/>
      </w:tblGrid>
      <w:tr>
        <w:trPr>
          <w:trHeight w:val="495"/>
        </w:trPr>
        <w:tc>
          <w:tcPr>
            <w:tcW w:w="8994"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第二十条第（一）项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信息内容</w:t>
            </w:r>
          </w:p>
        </w:tc>
        <w:tc>
          <w:tcPr>
            <w:tcW w:w="2183"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本年</w:t>
            </w:r>
            <w:r>
              <w:rPr>
                <w:kern w:val="0"/>
                <w:sz w:val="24"/>
                <w:szCs w:val="24"/>
                <w:shd w:val="clear" w:color="auto" w:fill="auto"/>
              </w:rPr>
              <w:t>制发件数</w:t>
            </w:r>
          </w:p>
        </w:tc>
        <w:tc>
          <w:tcPr>
            <w:tcW w:w="1936"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本年废止件</w:t>
            </w:r>
            <w:r>
              <w:rPr>
                <w:kern w:val="0"/>
                <w:sz w:val="24"/>
                <w:szCs w:val="24"/>
                <w:shd w:val="clear" w:color="auto" w:fill="auto"/>
              </w:rPr>
              <w:t>数</w:t>
            </w:r>
          </w:p>
        </w:tc>
        <w:tc>
          <w:tcPr>
            <w:tcW w:w="2156" w:type="dxa"/>
            <w:tcBorders>
              <w:top w:val="nil"/>
              <w:left w:val="nil"/>
              <w:bottom w:val="single" w:sz="8" w:space="0" w:color="auto"/>
              <w:right w:val="single" w:sz="8" w:space="0" w:color="auto"/>
              <w:tl2br w:val="nil"/>
              <w:tr2bl w:val="nil"/>
            </w:tcBorders>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现行有效件数</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规章</w:t>
            </w:r>
          </w:p>
        </w:tc>
        <w:tc>
          <w:tcPr>
            <w:tcW w:w="2183"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1936"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2156"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行政规范性文件</w:t>
            </w:r>
          </w:p>
        </w:tc>
        <w:tc>
          <w:tcPr>
            <w:tcW w:w="2183"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1936"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2156"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435"/>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第二十条第（五）项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66"/>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本年处理决定数量</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行政许可</w:t>
            </w:r>
          </w:p>
        </w:tc>
        <w:tc>
          <w:tcPr>
            <w:tcW w:w="6275" w:type="dxa"/>
            <w:gridSpan w:val="3"/>
            <w:tcBorders>
              <w:top w:val="nil"/>
              <w:left w:val="nil"/>
              <w:bottom w:val="single" w:sz="8" w:space="0" w:color="auto"/>
              <w:right w:val="single" w:sz="8" w:space="0" w:color="auto"/>
              <w:tl2br w:val="nil"/>
              <w:tr2bl w:val="nil"/>
            </w:tcBorders>
            <w:tcMar>
              <w:left w:w="108" w:type="dxa"/>
              <w:right w:w="108" w:type="dxa"/>
            </w:tcMar>
            <w:vAlign w:val="center"/>
          </w:tcPr>
          <w:p>
            <w:pPr>
              <w:pStyle w:val="77"/>
              <w:shd w:val="clear" w:color="auto" w:fill="auto"/>
              <w:spacing w:line="560" w:lineRule="exact"/>
              <w:jc w:val="center"/>
              <w:rPr>
                <w:rFonts w:eastAsia="方正仿宋_GBK" w:cs="宋体"/>
                <w:sz w:val="24"/>
                <w:szCs w:val="24"/>
                <w:shd w:val="clear" w:color="auto" w:fill="auto"/>
                <w:lang w:bidi="ar-SA"/>
              </w:rPr>
            </w:pPr>
            <w:r>
              <w:rPr>
                <w:rFonts w:eastAsia="方正仿宋_GBK" w:cs="宋体"/>
                <w:sz w:val="24"/>
                <w:szCs w:val="24"/>
                <w:shd w:val="clear" w:color="auto" w:fill="auto"/>
                <w:lang w:bidi="ar-SA"/>
              </w:rPr>
              <w:t>2</w:t>
            </w:r>
          </w:p>
        </w:tc>
      </w:tr>
      <w:tr>
        <w:trPr>
          <w:trHeight w:val="406"/>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第二十条第（六）项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69"/>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本年处理决定数量</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行政处罚</w:t>
            </w:r>
          </w:p>
        </w:tc>
        <w:tc>
          <w:tcPr>
            <w:tcW w:w="6275" w:type="dxa"/>
            <w:gridSpan w:val="3"/>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cs="宋体" w:hint="eastAsia"/>
                <w:sz w:val="24"/>
                <w:szCs w:val="24"/>
                <w:shd w:val="clear" w:color="auto" w:fill="auto"/>
                <w:lang w:eastAsia="zh-CN" w:bidi="ar-SA"/>
              </w:rPr>
            </w:pPr>
            <w:r>
              <w:rPr>
                <w:rFonts w:eastAsia="方正仿宋_GBK" w:cs="宋体"/>
                <w:sz w:val="24"/>
                <w:szCs w:val="24"/>
                <w:shd w:val="clear" w:color="auto" w:fill="auto"/>
                <w:lang w:val="en-US" w:eastAsia="zh-CN" w:bidi="ar-SA"/>
                <w:highlight w:val="auto"/>
              </w:rPr>
              <w:t>4</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行政强制</w:t>
            </w:r>
          </w:p>
        </w:tc>
        <w:tc>
          <w:tcPr>
            <w:tcW w:w="6275" w:type="dxa"/>
            <w:gridSpan w:val="3"/>
            <w:tcBorders>
              <w:top w:val="nil"/>
              <w:left w:val="nil"/>
              <w:bottom w:val="single" w:sz="8" w:space="0" w:color="auto"/>
              <w:right w:val="single" w:sz="8" w:space="0" w:color="auto"/>
              <w:tl2br w:val="nil"/>
              <w:tr2bl w:val="nil"/>
            </w:tcBorders>
            <w:tcMar>
              <w:left w:w="108" w:type="dxa"/>
              <w:right w:w="108" w:type="dxa"/>
            </w:tcMar>
            <w:vAlign w:val="center"/>
          </w:tcPr>
          <w:p>
            <w:pPr>
              <w:pStyle w:val="78"/>
              <w:shd w:val="clear" w:color="auto" w:fill="auto"/>
              <w:spacing w:line="560" w:lineRule="exact"/>
              <w:jc w:val="center"/>
              <w:rPr>
                <w:rFonts w:eastAsia="方正仿宋_GBK" w:cs="宋体"/>
                <w:sz w:val="24"/>
                <w:szCs w:val="24"/>
                <w:shd w:val="clear" w:color="auto" w:fill="auto"/>
                <w:lang w:bidi="ar-SA"/>
              </w:rPr>
            </w:pPr>
            <w:r>
              <w:rPr>
                <w:rFonts w:eastAsia="方正仿宋_GBK" w:cs="宋体"/>
                <w:sz w:val="24"/>
                <w:szCs w:val="24"/>
                <w:shd w:val="clear" w:color="auto" w:fill="auto"/>
                <w:lang w:bidi="ar-SA"/>
              </w:rPr>
              <w:t>0</w:t>
            </w:r>
          </w:p>
        </w:tc>
      </w:tr>
      <w:tr>
        <w:trPr>
          <w:trHeight w:val="474"/>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第二十条第（八）项</w:t>
            </w:r>
          </w:p>
        </w:tc>
      </w:tr>
      <w:tr>
        <w:trPr>
          <w:trHeight w:val="68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信息内容</w:t>
            </w:r>
          </w:p>
        </w:tc>
        <w:tc>
          <w:tcPr>
            <w:tcW w:w="6275" w:type="dxa"/>
            <w:gridSpan w:val="3"/>
            <w:tcBorders>
              <w:top w:val="nil"/>
              <w:left w:val="nil"/>
              <w:bottom w:val="single" w:sz="8" w:space="0" w:color="auto"/>
              <w:right w:val="single" w:sz="8" w:space="0" w:color="000000"/>
              <w:tl2br w:val="nil"/>
              <w:tr2bl w:val="nil"/>
            </w:tcBorders>
            <w:tcMar>
              <w:left w:w="108" w:type="dxa"/>
              <w:right w:w="108" w:type="dxa"/>
            </w:tcMar>
            <w:vAlign w:val="center"/>
          </w:tcPr>
          <w:p>
            <w:pPr>
              <w:pStyle w:val="73"/>
              <w:widowControl/>
              <w:shd w:val="clear" w:color="auto" w:fill="auto"/>
              <w:adjustRightInd w:val="0"/>
              <w:snapToGrid w:val="0"/>
              <w:spacing w:line="560" w:lineRule="exact"/>
              <w:jc w:val="center"/>
              <w:rPr>
                <w:sz w:val="24"/>
                <w:szCs w:val="24"/>
                <w:shd w:val="clear" w:color="auto" w:fill="auto"/>
              </w:rPr>
            </w:pPr>
            <w:r>
              <w:rPr>
                <w:rFonts w:ascii="宋体" w:cs="宋体" w:hint="eastAsia"/>
                <w:kern w:val="0"/>
                <w:sz w:val="24"/>
                <w:szCs w:val="24"/>
                <w:shd w:val="clear" w:color="auto" w:fill="auto"/>
                <w:lang w:bidi="ar-SA"/>
              </w:rPr>
              <w:t>本年收费金额（单位：万元）</w:t>
            </w:r>
          </w:p>
        </w:tc>
      </w:tr>
      <w:tr>
        <w:trPr>
          <w:trHeight w:val="510"/>
        </w:trPr>
        <w:tc>
          <w:tcPr>
            <w:tcW w:w="2719"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adjustRightInd w:val="0"/>
              <w:snapToGrid w:val="0"/>
              <w:spacing w:line="560" w:lineRule="exact"/>
              <w:jc w:val="center"/>
              <w:rPr>
                <w:shd w:val="clear" w:color="auto" w:fill="auto"/>
              </w:rPr>
            </w:pPr>
            <w:r>
              <w:rPr>
                <w:rFonts w:ascii="宋体" w:cs="宋体" w:hint="eastAsia"/>
                <w:kern w:val="0"/>
                <w:sz w:val="24"/>
                <w:szCs w:val="24"/>
                <w:shd w:val="clear" w:color="auto" w:fill="auto"/>
                <w:lang w:bidi="ar-SA"/>
              </w:rPr>
              <w:t>行政事业性收费</w:t>
            </w:r>
          </w:p>
        </w:tc>
        <w:tc>
          <w:tcPr>
            <w:tcW w:w="6275" w:type="dxa"/>
            <w:gridSpan w:val="3"/>
            <w:tcBorders>
              <w:top w:val="nil"/>
              <w:left w:val="nil"/>
              <w:bottom w:val="single" w:sz="8" w:space="0" w:color="auto"/>
              <w:right w:val="single" w:sz="8" w:space="0" w:color="000000"/>
              <w:tl2br w:val="nil"/>
              <w:tr2bl w:val="nil"/>
            </w:tcBorders>
            <w:tcMar>
              <w:left w:w="108" w:type="dxa"/>
              <w:right w:w="108" w:type="dxa"/>
            </w:tcMar>
            <w:vAlign w:val="center"/>
          </w:tcPr>
          <w:p>
            <w:pPr>
              <w:pStyle w:val="43"/>
              <w:shd w:val="clear" w:color="auto" w:fill="auto"/>
              <w:spacing w:line="560" w:lineRule="exact"/>
              <w:jc w:val="center"/>
              <w:rPr>
                <w:rFonts w:eastAsia="方正仿宋_GBK" w:cs="宋体"/>
                <w:sz w:val="24"/>
                <w:szCs w:val="24"/>
                <w:shd w:val="clear" w:color="auto" w:fill="auto"/>
                <w:lang w:bidi="ar-SA"/>
              </w:rPr>
            </w:pPr>
            <w:r>
              <w:rPr>
                <w:rFonts w:eastAsia="方正仿宋_GBK" w:cs="宋体" w:hint="eastAsia"/>
                <w:sz w:val="24"/>
                <w:szCs w:val="24"/>
                <w:shd w:val="clear" w:color="auto" w:fill="auto"/>
                <w:lang w:bidi="ar-SA"/>
              </w:rPr>
              <w:t>0</w:t>
            </w:r>
          </w:p>
        </w:tc>
      </w:tr>
    </w:tbl>
    <w:p>
      <w:pPr>
        <w:pStyle w:val="188"/>
        <w:widowControl/>
        <w:shd w:val="clear" w:color="auto" w:fill="auto"/>
        <w:adjustRightInd w:val="0"/>
        <w:snapToGrid w:val="0"/>
        <w:spacing w:before="0" w:beforeAutospacing="0" w:after="0" w:afterAutospacing="0" w:line="560" w:lineRule="exact"/>
        <w:ind w:firstLineChars="200" w:firstLine="640"/>
        <w:jc w:val="both"/>
        <w:rPr>
          <w:rFonts w:eastAsia="方正仿宋_GBK" w:cs="方正黑体_GBK" w:hint="eastAsia"/>
          <w:kern w:val="2"/>
          <w:sz w:val="32"/>
          <w:szCs w:val="32"/>
          <w:shd w:val="clear" w:color="auto" w:fill="auto"/>
        </w:rPr>
      </w:pPr>
      <w:r>
        <w:rPr>
          <w:rFonts w:eastAsia="方正仿宋_GBK" w:cs="方正黑体_GBK" w:hint="eastAsia"/>
          <w:kern w:val="2"/>
          <w:sz w:val="32"/>
          <w:szCs w:val="32"/>
          <w:shd w:val="clear" w:color="auto" w:fill="auto"/>
        </w:rPr>
        <w:t>*备注：本表格</w:t>
      </w:r>
      <w:bookmarkStart w:id="2" w:name="_GoBack"/>
      <w:bookmarkEnd w:id="2"/>
      <w:r>
        <w:rPr>
          <w:rFonts w:eastAsia="方正仿宋_GBK" w:cs="方正黑体_GBK" w:hint="eastAsia"/>
          <w:kern w:val="2"/>
          <w:sz w:val="32"/>
          <w:szCs w:val="32"/>
          <w:shd w:val="clear" w:color="auto" w:fill="auto"/>
        </w:rPr>
        <w:t>行政许可的处理决定数量，包括本机关在本年度内作出的准予许可决定、不予许可决定、变更许可决定、延期（延续）许可决定、撤销许可决定、撤回许可决定等。</w:t>
      </w:r>
    </w:p>
    <w:p>
      <w:pPr>
        <w:pStyle w:val="48"/>
        <w:shd w:val="clear" w:color="auto" w:fill="auto"/>
        <w:ind w:firstLine="624"/>
        <w:rPr>
          <w:rFonts w:ascii="方正黑体_GBK" w:eastAsia="方正黑体_GBK" w:cs="楷体_GB2312" w:hint="eastAsia"/>
          <w:bCs/>
          <w:sz w:val="32"/>
          <w:szCs w:val="32"/>
          <w:shd w:val="clear" w:color="auto" w:fill="auto"/>
          <w:lang w:bidi="ar-SA"/>
        </w:rPr>
      </w:pPr>
      <w:r>
        <w:rPr>
          <w:rFonts w:ascii="方正黑体_GBK" w:eastAsia="方正黑体_GBK" w:cs="楷体_GB2312" w:hint="eastAsia"/>
          <w:bCs/>
          <w:sz w:val="32"/>
          <w:szCs w:val="32"/>
          <w:shd w:val="clear" w:color="auto" w:fill="auto"/>
          <w:lang w:bidi="ar-SA"/>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自然人</w:t>
            </w:r>
          </w:p>
        </w:tc>
        <w:tc>
          <w:tcPr>
            <w:tcW w:w="3452"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商业企业</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科研机构</w:t>
            </w:r>
          </w:p>
        </w:tc>
        <w:tc>
          <w:tcPr>
            <w:tcW w:w="76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社会公益组织</w:t>
            </w:r>
          </w:p>
        </w:tc>
        <w:tc>
          <w:tcPr>
            <w:tcW w:w="76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法律服务机构</w:t>
            </w:r>
          </w:p>
        </w:tc>
        <w:tc>
          <w:tcPr>
            <w:tcW w:w="497"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hd w:val="clear" w:color="auto" w:fill="auto"/>
              </w:rPr>
            </w:pPr>
            <w:r>
              <w:rPr>
                <w:rFonts w:ascii="宋体" w:cs="宋体" w:hint="eastAsia"/>
                <w:kern w:val="0"/>
                <w:sz w:val="20"/>
                <w:szCs w:val="20"/>
                <w:shd w:val="clear" w:color="auto" w:fill="auto"/>
                <w:lang w:bidi="ar-SA"/>
              </w:rPr>
              <w:t>其他</w:t>
            </w:r>
          </w:p>
        </w:tc>
        <w:tc>
          <w:tcPr>
            <w:tcW w:w="682"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tcPr>
          <w:p>
            <w:pPr>
              <w:pStyle w:val="43"/>
              <w:widowControl/>
              <w:shd w:val="clear" w:color="auto" w:fill="auto"/>
              <w:spacing w:line="560" w:lineRule="exact"/>
              <w:jc w:val="left"/>
              <w:rPr>
                <w:sz w:val="24"/>
                <w:szCs w:val="24"/>
                <w:shd w:val="clear" w:color="auto" w:fill="auto"/>
              </w:rPr>
            </w:pPr>
            <w:r>
              <w:rPr>
                <w:rFonts w:ascii="宋体" w:cs="宋体" w:hint="eastAsia"/>
                <w:kern w:val="0"/>
                <w:sz w:val="24"/>
                <w:szCs w:val="24"/>
                <w:shd w:val="clear" w:color="auto" w:fill="auto"/>
                <w:lang w:bidi="ar-SA"/>
              </w:rPr>
              <w:t>一、本年新收政府信息公开申请数量</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tcPr>
          <w:p>
            <w:pPr>
              <w:pStyle w:val="43"/>
              <w:widowControl/>
              <w:shd w:val="clear" w:color="auto" w:fill="auto"/>
              <w:spacing w:line="560" w:lineRule="exact"/>
              <w:jc w:val="left"/>
              <w:rPr>
                <w:sz w:val="24"/>
                <w:szCs w:val="24"/>
                <w:shd w:val="clear" w:color="auto" w:fill="auto"/>
              </w:rPr>
            </w:pPr>
            <w:r>
              <w:rPr>
                <w:rFonts w:ascii="宋体" w:cs="宋体" w:hint="eastAsia"/>
                <w:kern w:val="0"/>
                <w:sz w:val="24"/>
                <w:szCs w:val="24"/>
                <w:shd w:val="clear" w:color="auto" w:fill="auto"/>
                <w:lang w:bidi="ar-SA"/>
              </w:rPr>
              <w:t>二、上年结转政府信息公开申请数量</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val="restart"/>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三、本年度办理结果</w:t>
            </w: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left"/>
              <w:rPr>
                <w:sz w:val="24"/>
                <w:szCs w:val="24"/>
                <w:shd w:val="clear" w:color="auto" w:fill="auto"/>
              </w:rPr>
            </w:pPr>
            <w:r>
              <w:rPr>
                <w:rFonts w:ascii="楷体" w:eastAsia="楷体" w:cs="楷体" w:hint="eastAsia"/>
                <w:kern w:val="0"/>
                <w:sz w:val="24"/>
                <w:szCs w:val="24"/>
                <w:shd w:val="clear" w:color="auto" w:fill="auto"/>
                <w:lang w:bidi="ar-SA"/>
              </w:rPr>
              <w:t>（一）予以公开</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left"/>
              <w:rPr>
                <w:sz w:val="24"/>
                <w:szCs w:val="24"/>
                <w:shd w:val="clear" w:color="auto" w:fill="auto"/>
              </w:rPr>
            </w:pPr>
            <w:r>
              <w:rPr>
                <w:rFonts w:ascii="楷体" w:eastAsia="楷体" w:cs="楷体" w:hint="eastAsia"/>
                <w:kern w:val="0"/>
                <w:sz w:val="24"/>
                <w:szCs w:val="24"/>
                <w:shd w:val="clear" w:color="auto" w:fill="auto"/>
                <w:lang w:bidi="ar-SA"/>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（三）不予公开</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1.属于国家秘密</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2.其他法律行政法规禁止公开</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3.危及“三安全一稳定”</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4.保护第三方合法权益</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5.属于三类内部事务信息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6.属于四类过程性信息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7.属于行政执法案卷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8.属于行政查询事项</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（四）无法提供</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1.本机关不掌握相关政府信息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2.没有现成信息需要另行制作</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3.补正后申请内容仍不明确</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（五）不予处理</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1.信访举报投诉类申请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2.重复申请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3.要求提供公开出版物</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4.无正当理由大量反复申请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5.要求行政机关确认或重新出具已获取信息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（六）其他处理</w:t>
            </w:r>
          </w:p>
        </w:tc>
        <w:tc>
          <w:tcPr>
            <w:tcW w:w="2670" w:type="dxa"/>
            <w:tcBorders>
              <w:top w:val="nil"/>
              <w:left w:val="single" w:sz="8" w:space="0" w:color="auto"/>
              <w:bottom w:val="single" w:sz="8" w:space="0" w:color="auto"/>
              <w:right w:val="single" w:sz="8" w:space="0" w:color="auto"/>
              <w:tl2br w:val="nil"/>
              <w:tr2bl w:val="nil"/>
            </w:tcBorders>
            <w:tcMar>
              <w:left w:w="108" w:type="dxa"/>
              <w:right w:w="108" w:type="dxa"/>
            </w:tcMar>
          </w:tcPr>
          <w:p>
            <w:pPr>
              <w:pStyle w:val="43"/>
              <w:widowControl/>
              <w:shd w:val="clear" w:color="auto" w:fill="auto"/>
              <w:spacing w:line="560" w:lineRule="exact"/>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vAlign w:val="center"/>
          </w:tcPr>
          <w:p/>
        </w:tc>
        <w:tc>
          <w:tcPr>
            <w:tcW w:w="936" w:type="dxa"/>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43"/>
              <w:widowControl/>
              <w:shd w:val="clear" w:color="auto" w:fill="auto"/>
              <w:spacing w:line="560" w:lineRule="exact"/>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vAlign w:val="center"/>
          </w:tcPr>
          <w:p/>
        </w:tc>
        <w:tc>
          <w:tcPr>
            <w:tcW w:w="936" w:type="dxa"/>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43"/>
              <w:widowControl/>
              <w:shd w:val="clear" w:color="auto" w:fill="auto"/>
              <w:spacing w:line="560" w:lineRule="exact"/>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3.咨询事项，指引咨询渠道</w:t>
            </w:r>
          </w:p>
        </w:tc>
        <w:tc>
          <w:tcPr>
            <w:tcW w:w="63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vAlign w:val="center"/>
          </w:tcPr>
          <w:p/>
        </w:tc>
        <w:tc>
          <w:tcPr>
            <w:tcW w:w="936" w:type="dxa"/>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43"/>
              <w:widowControl/>
              <w:shd w:val="clear" w:color="auto" w:fill="auto"/>
              <w:spacing w:line="560" w:lineRule="exact"/>
              <w:rPr>
                <w:rFonts w:ascii="楷体" w:eastAsia="楷体" w:cs="楷体" w:hint="eastAsia"/>
                <w:kern w:val="0"/>
                <w:sz w:val="24"/>
                <w:szCs w:val="24"/>
                <w:shd w:val="clear" w:color="auto" w:fill="auto"/>
                <w:lang w:bidi="ar-SA"/>
              </w:rPr>
            </w:pPr>
            <w:r>
              <w:rPr>
                <w:rFonts w:ascii="楷体" w:eastAsia="楷体" w:cs="楷体" w:hint="eastAsia"/>
                <w:kern w:val="0"/>
                <w:sz w:val="24"/>
                <w:szCs w:val="24"/>
                <w:shd w:val="clear" w:color="auto" w:fill="auto"/>
                <w:lang w:bidi="ar-SA"/>
              </w:rPr>
              <w:t>4.申请人撤销申请</w:t>
            </w:r>
          </w:p>
        </w:tc>
        <w:tc>
          <w:tcPr>
            <w:tcW w:w="63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rPr>
                <w:sz w:val="24"/>
                <w:szCs w:val="24"/>
                <w:shd w:val="clear" w:color="auto" w:fill="auto"/>
              </w:rPr>
            </w:pPr>
            <w:r>
              <w:rPr>
                <w:rFonts w:ascii="楷体" w:eastAsia="楷体" w:cs="楷体" w:hint="eastAsia"/>
                <w:kern w:val="0"/>
                <w:sz w:val="24"/>
                <w:szCs w:val="24"/>
                <w:shd w:val="clear" w:color="auto" w:fill="auto"/>
                <w:lang w:bidi="ar-SA"/>
              </w:rPr>
              <w:t>（七）总计</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sz w:val="24"/>
                <w:szCs w:val="24"/>
                <w:shd w:val="clear" w:color="auto" w:fill="auto"/>
              </w:rPr>
              <w:t>0</w:t>
            </w: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left"/>
              <w:rPr>
                <w:shd w:val="clear" w:color="auto" w:fill="auto"/>
              </w:rPr>
            </w:pPr>
            <w:r>
              <w:rPr>
                <w:rFonts w:ascii="宋体" w:cs="宋体" w:hint="eastAsia"/>
                <w:kern w:val="0"/>
                <w:sz w:val="24"/>
                <w:szCs w:val="24"/>
                <w:shd w:val="clear" w:color="auto" w:fill="auto"/>
                <w:lang w:bidi="ar-SA"/>
              </w:rPr>
              <w:t>四、结转下年度继续办理</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shd w:val="clear" w:color="auto" w:fill="auto"/>
              <w:spacing w:line="560" w:lineRule="exact"/>
              <w:jc w:val="center"/>
              <w:rPr>
                <w:rFonts w:eastAsia="方正仿宋_GBK"/>
                <w:sz w:val="24"/>
                <w:szCs w:val="24"/>
                <w:shd w:val="clear" w:color="auto" w:fill="auto"/>
              </w:rPr>
            </w:pPr>
            <w:r>
              <w:rPr>
                <w:rFonts w:eastAsia="方正仿宋_GBK" w:hint="eastAsia"/>
                <w:sz w:val="24"/>
                <w:szCs w:val="24"/>
                <w:shd w:val="clear" w:color="auto" w:fill="auto"/>
              </w:rPr>
              <w:t>0</w:t>
            </w:r>
          </w:p>
        </w:tc>
      </w:tr>
    </w:tbl>
    <w:p>
      <w:pPr>
        <w:pStyle w:val="27"/>
        <w:widowControl/>
        <w:shd w:val="clear" w:color="auto" w:fill="auto"/>
        <w:spacing w:beforeAutospacing="0" w:afterAutospacing="0" w:line="560" w:lineRule="exact"/>
        <w:ind w:firstLineChars="200" w:firstLine="640"/>
        <w:jc w:val="both"/>
        <w:rPr>
          <w:rFonts w:ascii="宋体" w:cs="宋体" w:hint="eastAsia"/>
          <w:szCs w:val="24"/>
          <w:shd w:val="clear" w:color="auto" w:fill="auto"/>
          <w:lang w:bidi="ar-SA"/>
        </w:rPr>
      </w:pPr>
      <w:r>
        <w:rPr>
          <w:rFonts w:ascii="方正黑体_GBK" w:eastAsia="方正黑体_GBK" w:cs="楷体_GB2312" w:hint="eastAsia"/>
          <w:bCs/>
          <w:sz w:val="32"/>
          <w:szCs w:val="32"/>
          <w:shd w:val="clear" w:color="auto" w:fill="auto"/>
          <w:lang w:bidi="ar-SA"/>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行政复议</w:t>
            </w:r>
          </w:p>
        </w:tc>
        <w:tc>
          <w:tcPr>
            <w:tcW w:w="5997" w:type="dxa"/>
            <w:gridSpan w:val="10"/>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结果维持</w:t>
            </w:r>
          </w:p>
        </w:tc>
        <w:tc>
          <w:tcPr>
            <w:tcW w:w="604"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结果纠正</w:t>
            </w:r>
          </w:p>
        </w:tc>
        <w:tc>
          <w:tcPr>
            <w:tcW w:w="604"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其他结果</w:t>
            </w:r>
          </w:p>
        </w:tc>
        <w:tc>
          <w:tcPr>
            <w:tcW w:w="604"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尚未审结</w:t>
            </w:r>
          </w:p>
        </w:tc>
        <w:tc>
          <w:tcPr>
            <w:tcW w:w="658"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总计</w:t>
            </w:r>
          </w:p>
        </w:tc>
        <w:tc>
          <w:tcPr>
            <w:tcW w:w="2970"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复议后起诉</w:t>
            </w:r>
          </w:p>
        </w:tc>
      </w:tr>
      <w:tr>
        <w:tc>
          <w:tcPr>
            <w:tcW w:w="604" w:type="dxa"/>
            <w:vMerge/>
            <w:tcBorders>
              <w:top w:val="nil"/>
              <w:left w:val="single" w:sz="8" w:space="0" w:color="auto"/>
              <w:bottom w:val="single" w:sz="8" w:space="0" w:color="auto"/>
              <w:right w:val="single" w:sz="8" w:space="0" w:color="auto"/>
              <w:tl2br w:val="nil"/>
              <w:tr2bl w:val="nil"/>
            </w:tcBorders>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结果维持</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结果纠正</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其他结果</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尚未审结</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总计</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结果维持</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结果纠正</w:t>
            </w:r>
          </w:p>
        </w:tc>
        <w:tc>
          <w:tcPr>
            <w:tcW w:w="60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其他结果</w:t>
            </w:r>
          </w:p>
        </w:tc>
        <w:tc>
          <w:tcPr>
            <w:tcW w:w="606"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尚未审结</w:t>
            </w:r>
          </w:p>
        </w:tc>
        <w:tc>
          <w:tcPr>
            <w:tcW w:w="606"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4"/>
                <w:szCs w:val="24"/>
                <w:shd w:val="clear" w:color="auto" w:fill="auto"/>
              </w:rPr>
            </w:pPr>
            <w:r>
              <w:rPr>
                <w:rFonts w:ascii="宋体" w:cs="宋体" w:hint="eastAsia"/>
                <w:kern w:val="0"/>
                <w:sz w:val="24"/>
                <w:szCs w:val="24"/>
                <w:shd w:val="clear" w:color="auto" w:fill="auto"/>
                <w:lang w:bidi="ar-SA"/>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4"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4"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4"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58"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550"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5"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sz w:val="28"/>
                <w:szCs w:val="28"/>
                <w:shd w:val="clear" w:color="auto" w:fill="auto"/>
              </w:rPr>
            </w:pPr>
            <w:r>
              <w:rPr>
                <w:rFonts w:hint="eastAsia"/>
                <w:sz w:val="28"/>
                <w:szCs w:val="28"/>
                <w:shd w:val="clear" w:color="auto" w:fill="auto"/>
              </w:rPr>
              <w:t>0</w:t>
            </w:r>
          </w:p>
        </w:tc>
        <w:tc>
          <w:tcPr>
            <w:tcW w:w="606"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kern w:val="0"/>
                <w:sz w:val="28"/>
                <w:szCs w:val="28"/>
                <w:shd w:val="clear" w:color="auto" w:fill="auto"/>
              </w:rPr>
            </w:pPr>
            <w:r>
              <w:rPr>
                <w:rFonts w:hint="eastAsia"/>
                <w:kern w:val="0"/>
                <w:sz w:val="28"/>
                <w:szCs w:val="28"/>
                <w:shd w:val="clear" w:color="auto" w:fill="auto"/>
              </w:rPr>
              <w:t>0</w:t>
            </w:r>
          </w:p>
        </w:tc>
        <w:tc>
          <w:tcPr>
            <w:tcW w:w="606" w:type="dxa"/>
            <w:tcBorders>
              <w:top w:val="nil"/>
              <w:left w:val="nil"/>
              <w:bottom w:val="single" w:sz="8" w:space="0" w:color="auto"/>
              <w:right w:val="single" w:sz="8" w:space="0" w:color="auto"/>
              <w:tl2br w:val="nil"/>
              <w:tr2bl w:val="nil"/>
            </w:tcBorders>
            <w:tcMar>
              <w:left w:w="108" w:type="dxa"/>
              <w:right w:w="108" w:type="dxa"/>
            </w:tcMar>
            <w:vAlign w:val="center"/>
          </w:tcPr>
          <w:p>
            <w:pPr>
              <w:pStyle w:val="43"/>
              <w:widowControl/>
              <w:shd w:val="clear" w:color="auto" w:fill="auto"/>
              <w:spacing w:line="560" w:lineRule="exact"/>
              <w:jc w:val="center"/>
              <w:rPr>
                <w:kern w:val="0"/>
                <w:sz w:val="28"/>
                <w:szCs w:val="28"/>
                <w:shd w:val="clear" w:color="auto" w:fill="auto"/>
              </w:rPr>
            </w:pPr>
            <w:r>
              <w:rPr>
                <w:rFonts w:hint="eastAsia"/>
                <w:kern w:val="0"/>
                <w:sz w:val="28"/>
                <w:szCs w:val="28"/>
                <w:shd w:val="clear" w:color="auto" w:fill="auto"/>
              </w:rPr>
              <w:t>0</w:t>
            </w:r>
          </w:p>
        </w:tc>
      </w:tr>
    </w:tbl>
    <w:p>
      <w:pPr>
        <w:pStyle w:val="27"/>
        <w:widowControl/>
        <w:shd w:val="clear" w:color="auto" w:fill="auto"/>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lang w:bidi="ar-SA"/>
        </w:rPr>
      </w:pPr>
      <w:r>
        <w:rPr>
          <w:rFonts w:ascii="方正黑体_GBK" w:eastAsia="方正黑体_GBK" w:cs="楷体_GB2312" w:hint="eastAsia"/>
          <w:bCs/>
          <w:sz w:val="32"/>
          <w:szCs w:val="32"/>
          <w:shd w:val="clear" w:color="auto" w:fill="auto"/>
          <w:lang w:bidi="ar-SA"/>
        </w:rPr>
        <w:t>五、存在的主要问题及改进情况</w:t>
      </w:r>
    </w:p>
    <w:p>
      <w:pPr>
        <w:pStyle w:val="56"/>
        <w:shd w:val="clear" w:color="auto" w:fill="auto"/>
        <w:adjustRightInd w:val="0"/>
        <w:snapToGrid w:val="0"/>
        <w:ind w:firstLineChars="200" w:firstLine="624"/>
        <w:rPr>
          <w:b/>
          <w:bCs/>
          <w:shd w:val="clear" w:color="auto" w:fill="auto"/>
        </w:rPr>
      </w:pPr>
      <w:r>
        <w:rPr>
          <w:rFonts w:ascii="方正楷体_GBK" w:eastAsia="方正楷体_GBK" w:hint="eastAsia"/>
          <w:b/>
          <w:bCs/>
          <w:shd w:val="clear" w:color="auto" w:fill="auto"/>
        </w:rPr>
        <w:t>（一）202</w:t>
      </w:r>
      <w:r>
        <w:rPr>
          <w:rFonts w:ascii="方正楷体_GBK" w:eastAsia="方正楷体_GBK" w:hint="eastAsia"/>
          <w:b/>
          <w:bCs/>
          <w:shd w:val="clear" w:color="auto" w:fill="auto"/>
          <w:lang w:val="en-US" w:eastAsia="zh-CN"/>
        </w:rPr>
        <w:t>3</w:t>
      </w:r>
      <w:r>
        <w:rPr>
          <w:rFonts w:ascii="方正楷体_GBK" w:eastAsia="方正楷体_GBK" w:hint="eastAsia"/>
          <w:b/>
          <w:bCs/>
          <w:shd w:val="clear" w:color="auto" w:fill="auto"/>
        </w:rPr>
        <w:t>年年报中所提问题整改情况。</w:t>
      </w:r>
    </w:p>
    <w:p>
      <w:pPr>
        <w:pStyle w:val="49"/>
        <w:shd w:val="clear" w:color="auto" w:fill="auto"/>
        <w:adjustRightInd w:val="0"/>
        <w:snapToGrid w:val="0"/>
        <w:ind w:firstLineChars="200" w:firstLine="624"/>
        <w:rPr>
          <w:szCs w:val="32"/>
          <w:shd w:val="clear" w:color="auto" w:fill="auto"/>
        </w:rPr>
      </w:pPr>
      <w:r>
        <w:rPr>
          <w:szCs w:val="32"/>
          <w:shd w:val="clear" w:color="auto" w:fill="auto"/>
        </w:rPr>
        <w:t>罗定海关</w:t>
      </w:r>
      <w:r>
        <w:rPr>
          <w:rFonts w:hint="eastAsia"/>
          <w:szCs w:val="32"/>
          <w:shd w:val="clear" w:color="auto" w:fill="auto"/>
        </w:rPr>
        <w:t>202</w:t>
      </w:r>
      <w:r>
        <w:rPr>
          <w:rFonts w:hint="eastAsia"/>
          <w:szCs w:val="32"/>
          <w:shd w:val="clear" w:color="auto" w:fill="auto"/>
          <w:lang w:val="en-US" w:eastAsia="zh-CN"/>
        </w:rPr>
        <w:t>3</w:t>
      </w:r>
      <w:r>
        <w:rPr>
          <w:rFonts w:hint="eastAsia"/>
          <w:szCs w:val="32"/>
          <w:shd w:val="clear" w:color="auto" w:fill="auto"/>
        </w:rPr>
        <w:t>年年报中提出以下问题：</w:t>
      </w:r>
      <w:r>
        <w:rPr>
          <w:rFonts w:hint="eastAsia"/>
          <w:szCs w:val="32"/>
          <w:shd w:val="clear" w:color="auto" w:fill="auto"/>
          <w:lang w:val="en-US" w:eastAsia="zh-CN"/>
        </w:rPr>
        <w:t>对最新海关政策、便民利企措施解读工作的全面性和时效性有待进一步提高</w:t>
      </w:r>
      <w:r>
        <w:rPr>
          <w:szCs w:val="32"/>
          <w:shd w:val="clear" w:color="auto" w:fill="auto"/>
        </w:rPr>
        <w:t>。</w:t>
      </w:r>
    </w:p>
    <w:p>
      <w:pPr>
        <w:pStyle w:val="49"/>
        <w:shd w:val="clear" w:color="auto" w:fill="auto"/>
        <w:adjustRightInd w:val="0"/>
        <w:snapToGrid w:val="0"/>
        <w:ind w:firstLineChars="200" w:firstLine="624"/>
        <w:rPr>
          <w:rFonts w:eastAsia="方正仿宋_GBK" w:hint="eastAsia"/>
          <w:shd w:val="clear" w:color="auto" w:fill="auto"/>
          <w:lang w:eastAsia="zh-CN"/>
        </w:rPr>
      </w:pPr>
      <w:r>
        <w:rPr>
          <w:rFonts w:hint="eastAsia"/>
          <w:szCs w:val="32"/>
          <w:shd w:val="clear" w:color="auto" w:fill="auto"/>
        </w:rPr>
        <w:t>上述问题在202</w:t>
      </w:r>
      <w:r>
        <w:rPr>
          <w:rFonts w:hint="eastAsia"/>
          <w:szCs w:val="32"/>
          <w:shd w:val="clear" w:color="auto" w:fill="auto"/>
          <w:lang w:val="en-US" w:eastAsia="zh-CN"/>
        </w:rPr>
        <w:t>4</w:t>
      </w:r>
      <w:r>
        <w:rPr>
          <w:rFonts w:hint="eastAsia"/>
          <w:szCs w:val="32"/>
          <w:shd w:val="clear" w:color="auto" w:fill="auto"/>
        </w:rPr>
        <w:t>年均已采取措施完成整改：</w:t>
      </w:r>
      <w:r>
        <w:rPr>
          <w:rFonts w:hint="eastAsia"/>
          <w:b/>
          <w:bCs/>
          <w:szCs w:val="32"/>
          <w:shd w:val="clear" w:color="auto" w:fill="auto"/>
          <w:lang w:val="en-US" w:eastAsia="zh-CN"/>
        </w:rPr>
        <w:t>一是</w:t>
      </w:r>
      <w:r>
        <w:rPr>
          <w:rFonts w:hint="eastAsia"/>
          <w:bCs/>
          <w:szCs w:val="32"/>
          <w:shd w:val="clear" w:color="auto" w:fill="auto"/>
          <w:lang w:val="en-US" w:eastAsia="zh-CN"/>
        </w:rPr>
        <w:t>加强政府信息公开业务培训，相关业务科室</w:t>
      </w:r>
      <w:r>
        <w:rPr>
          <w:rFonts w:hint="eastAsia"/>
          <w:bCs/>
          <w:color w:val="auto"/>
          <w:szCs w:val="32"/>
          <w:shd w:val="clear" w:color="auto" w:fill="auto"/>
          <w:lang w:val="en-US" w:eastAsia="zh-CN"/>
        </w:rPr>
        <w:t>全面</w:t>
      </w:r>
      <w:r>
        <w:rPr>
          <w:rFonts w:hint="eastAsia"/>
          <w:bCs/>
          <w:szCs w:val="32"/>
          <w:shd w:val="clear" w:color="auto" w:fill="auto"/>
          <w:lang w:val="en-US" w:eastAsia="zh-CN"/>
        </w:rPr>
        <w:t>学习《条例》和最新海关政策</w:t>
      </w:r>
      <w:r>
        <w:rPr>
          <w:bCs/>
          <w:szCs w:val="32"/>
          <w:shd w:val="clear" w:color="auto" w:fill="auto"/>
          <w:lang w:val="en-US" w:eastAsia="zh-CN"/>
        </w:rPr>
        <w:t>，提升政策解读和服务意识</w:t>
      </w:r>
      <w:r>
        <w:rPr>
          <w:rFonts w:hint="eastAsia"/>
          <w:bCs/>
          <w:szCs w:val="32"/>
          <w:shd w:val="clear" w:color="auto" w:fill="auto"/>
          <w:lang w:val="en-US" w:eastAsia="zh-CN"/>
        </w:rPr>
        <w:t>。</w:t>
      </w:r>
      <w:r>
        <w:rPr>
          <w:rFonts w:hint="eastAsia"/>
          <w:b/>
          <w:bCs/>
          <w:szCs w:val="32"/>
          <w:shd w:val="clear" w:color="auto" w:fill="auto"/>
          <w:lang w:val="en-US" w:eastAsia="zh-CN"/>
        </w:rPr>
        <w:t>二是</w:t>
      </w:r>
      <w:r>
        <w:rPr>
          <w:rFonts w:hint="eastAsia"/>
          <w:bCs/>
          <w:szCs w:val="32"/>
          <w:shd w:val="clear" w:color="auto" w:fill="auto"/>
          <w:lang w:val="en-US" w:eastAsia="zh-CN"/>
        </w:rPr>
        <w:t>开展“我陪群众走流程”</w:t>
      </w:r>
      <w:r>
        <w:rPr>
          <w:bCs/>
          <w:szCs w:val="32"/>
          <w:shd w:val="clear" w:color="auto" w:fill="auto"/>
          <w:lang w:val="en-US" w:eastAsia="zh-CN"/>
        </w:rPr>
        <w:t>政务服务提升行</w:t>
      </w:r>
      <w:r>
        <w:rPr>
          <w:rFonts w:hint="eastAsia"/>
          <w:bCs/>
          <w:szCs w:val="32"/>
          <w:shd w:val="clear" w:color="auto" w:fill="auto"/>
          <w:lang w:val="en-US" w:eastAsia="zh-CN"/>
        </w:rPr>
        <w:t>动，代入式</w:t>
      </w:r>
      <w:r>
        <w:rPr>
          <w:bCs/>
          <w:szCs w:val="32"/>
          <w:shd w:val="clear" w:color="auto" w:fill="auto"/>
          <w:lang w:val="en-US" w:eastAsia="zh-CN"/>
        </w:rPr>
        <w:t>、沉浸式</w:t>
      </w:r>
      <w:r>
        <w:rPr>
          <w:rFonts w:hint="eastAsia"/>
          <w:bCs/>
          <w:szCs w:val="32"/>
          <w:shd w:val="clear" w:color="auto" w:fill="auto"/>
          <w:lang w:val="en-US" w:eastAsia="zh-CN"/>
        </w:rPr>
        <w:t>转化视角，深入了解企业群众办事难点、堵点问题，并及时解答企业群众对法律法规</w:t>
      </w:r>
      <w:r>
        <w:rPr>
          <w:bCs/>
          <w:szCs w:val="32"/>
          <w:shd w:val="clear" w:color="auto" w:fill="auto"/>
          <w:lang w:val="en-US" w:eastAsia="zh-CN"/>
        </w:rPr>
        <w:t>、</w:t>
      </w:r>
      <w:r>
        <w:rPr>
          <w:rFonts w:hint="eastAsia"/>
          <w:bCs/>
          <w:szCs w:val="32"/>
          <w:shd w:val="clear" w:color="auto" w:fill="auto"/>
          <w:lang w:val="en-US" w:eastAsia="zh-CN"/>
        </w:rPr>
        <w:t>海关政策的</w:t>
      </w:r>
      <w:r>
        <w:rPr>
          <w:bCs/>
          <w:szCs w:val="32"/>
          <w:shd w:val="clear" w:color="auto" w:fill="auto"/>
          <w:lang w:val="en-US" w:eastAsia="zh-CN"/>
        </w:rPr>
        <w:t>困</w:t>
      </w:r>
      <w:r>
        <w:rPr>
          <w:rFonts w:hint="eastAsia"/>
          <w:bCs/>
          <w:szCs w:val="32"/>
          <w:shd w:val="clear" w:color="auto" w:fill="auto"/>
          <w:lang w:val="en-US" w:eastAsia="zh-CN"/>
        </w:rPr>
        <w:t>惑。</w:t>
      </w:r>
    </w:p>
    <w:p>
      <w:pPr>
        <w:pStyle w:val="49"/>
        <w:shd w:val="clear" w:color="auto" w:fill="auto"/>
        <w:adjustRightInd w:val="0"/>
        <w:snapToGrid w:val="0"/>
        <w:ind w:firstLineChars="200" w:firstLine="624"/>
        <w:rPr>
          <w:b/>
          <w:bCs/>
          <w:shd w:val="clear" w:color="auto" w:fill="auto"/>
        </w:rPr>
      </w:pPr>
      <w:r>
        <w:rPr>
          <w:rFonts w:ascii="方正楷体_GBK" w:eastAsia="方正楷体_GBK" w:hint="eastAsia"/>
          <w:b/>
          <w:bCs/>
          <w:shd w:val="clear" w:color="auto" w:fill="auto"/>
        </w:rPr>
        <w:t>（二）目前存在问题。</w:t>
      </w:r>
    </w:p>
    <w:p>
      <w:pPr>
        <w:pStyle w:val="49"/>
        <w:shd w:val="clear" w:color="auto" w:fill="auto"/>
        <w:adjustRightInd w:val="0"/>
        <w:snapToGrid w:val="0"/>
        <w:ind w:firstLineChars="200" w:firstLine="624"/>
        <w:rPr>
          <w:shd w:val="clear" w:color="auto" w:fill="auto"/>
        </w:rPr>
      </w:pPr>
      <w:r>
        <w:rPr>
          <w:rFonts w:hint="eastAsia"/>
          <w:shd w:val="clear" w:color="auto" w:fill="auto"/>
          <w:lang w:val="en-US" w:eastAsia="zh-CN"/>
        </w:rPr>
        <w:t>依申请公开办理经验不足，</w:t>
      </w:r>
      <w:r>
        <w:rPr>
          <w:shd w:val="clear" w:color="auto" w:fill="auto"/>
          <w:lang w:val="en-US" w:eastAsia="zh-CN"/>
        </w:rPr>
        <w:t>办理规范</w:t>
      </w:r>
      <w:r>
        <w:rPr>
          <w:rFonts w:hint="eastAsia"/>
          <w:shd w:val="clear" w:color="auto" w:fill="auto"/>
          <w:lang w:val="en-US" w:eastAsia="zh-CN"/>
        </w:rPr>
        <w:t>培训不够，</w:t>
      </w:r>
      <w:r>
        <w:rPr>
          <w:shd w:val="clear" w:color="auto" w:fill="auto"/>
          <w:lang w:val="en-US" w:eastAsia="zh-CN"/>
        </w:rPr>
        <w:t>需进一步加强</w:t>
      </w:r>
      <w:r>
        <w:rPr>
          <w:rFonts w:hint="eastAsia"/>
          <w:shd w:val="clear" w:color="auto" w:fill="auto"/>
          <w:lang w:val="en-US" w:eastAsia="zh-CN"/>
        </w:rPr>
        <w:t>对信息公开全流程操作</w:t>
      </w:r>
      <w:r>
        <w:rPr>
          <w:shd w:val="clear" w:color="auto" w:fill="auto"/>
          <w:lang w:val="en-US" w:eastAsia="zh-CN"/>
        </w:rPr>
        <w:t>的</w:t>
      </w:r>
      <w:r>
        <w:rPr>
          <w:rFonts w:hint="eastAsia"/>
          <w:shd w:val="clear" w:color="auto" w:fill="auto"/>
          <w:lang w:val="en-US" w:eastAsia="zh-CN"/>
        </w:rPr>
        <w:t>学习</w:t>
      </w:r>
      <w:r>
        <w:rPr>
          <w:rFonts w:ascii="Times New Roman" w:eastAsia="方正仿宋_GBK" w:hAnsi="Times New Roman" w:hint="eastAsia"/>
          <w:kern w:val="0"/>
          <w:sz w:val="32"/>
          <w:szCs w:val="32"/>
          <w:shd w:val="clear" w:color="auto" w:fill="auto"/>
        </w:rPr>
        <w:t>。</w:t>
      </w:r>
    </w:p>
    <w:p>
      <w:pPr>
        <w:pStyle w:val="27"/>
        <w:widowControl/>
        <w:shd w:val="clear" w:color="auto" w:fill="auto"/>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lang w:bidi="ar-SA"/>
        </w:rPr>
      </w:pPr>
      <w:r>
        <w:rPr>
          <w:rFonts w:ascii="方正黑体_GBK" w:eastAsia="方正黑体_GBK" w:cs="楷体_GB2312" w:hint="eastAsia"/>
          <w:bCs/>
          <w:sz w:val="32"/>
          <w:szCs w:val="32"/>
          <w:shd w:val="clear" w:color="auto" w:fill="auto"/>
          <w:lang w:bidi="ar-SA"/>
        </w:rPr>
        <w:t>六、其他需要报告的事项</w:t>
      </w:r>
      <w:bookmarkEnd w:id="1"/>
    </w:p>
    <w:p>
      <w:pPr>
        <w:pStyle w:val="83"/>
        <w:shd w:val="clear" w:color="auto" w:fill="auto"/>
        <w:tabs>
          <w:tab w:val="clear" w:pos="4153"/>
          <w:tab w:val="clear" w:pos="8306"/>
          <w:tab w:val="center" w:pos="4153"/>
          <w:tab w:val="right" w:pos="8306"/>
        </w:tabs>
        <w:spacing w:line="560" w:lineRule="exact"/>
        <w:ind w:firstLine="624"/>
        <w:jc w:val="both"/>
        <w:rPr>
          <w:shd w:val="clear" w:color="auto" w:fill="auto"/>
        </w:rPr>
      </w:pPr>
      <w:r>
        <w:rPr>
          <w:spacing w:val="-4"/>
          <w:sz w:val="32"/>
          <w:szCs w:val="20"/>
          <w:shd w:val="clear" w:color="auto" w:fill="auto"/>
        </w:rPr>
        <w:t>罗定海关严格按照《国务院办公厅关于印发〈政府信息公开信息处理费管理办法〉的通知》</w:t>
      </w:r>
      <w:r>
        <w:rPr>
          <w:rFonts w:hint="eastAsia"/>
          <w:sz w:val="32"/>
          <w:szCs w:val="32"/>
          <w:shd w:val="clear" w:color="auto" w:fill="auto"/>
        </w:rPr>
        <w:t>，规范政府信息公开信息处理费收取工作</w:t>
      </w:r>
      <w:r>
        <w:rPr>
          <w:spacing w:val="-4"/>
          <w:sz w:val="32"/>
          <w:szCs w:val="20"/>
          <w:shd w:val="clear" w:color="auto" w:fill="auto"/>
        </w:rPr>
        <w:t>，202</w:t>
      </w:r>
      <w:r>
        <w:rPr>
          <w:rFonts w:hint="eastAsia"/>
          <w:spacing w:val="-4"/>
          <w:sz w:val="32"/>
          <w:szCs w:val="20"/>
          <w:shd w:val="clear" w:color="auto" w:fill="auto"/>
          <w:lang w:val="en-US" w:eastAsia="zh-CN"/>
        </w:rPr>
        <w:t>4</w:t>
      </w:r>
      <w:r>
        <w:rPr>
          <w:spacing w:val="-4"/>
          <w:sz w:val="32"/>
          <w:szCs w:val="20"/>
          <w:shd w:val="clear" w:color="auto" w:fill="auto"/>
        </w:rPr>
        <w:t>年未收取政府信息公开信息处理费</w:t>
      </w:r>
      <w:r>
        <w:rPr>
          <w:rFonts w:hint="eastAsia"/>
          <w:spacing w:val="-4"/>
          <w:sz w:val="32"/>
          <w:szCs w:val="20"/>
          <w:shd w:val="clear" w:color="auto" w:fill="auto"/>
        </w:rPr>
        <w:t>。</w:t>
      </w:r>
    </w:p>
    <w:sectPr>
      <w:footerReference w:type="first" r:id="rId2"/>
      <w:pgSz w:w="11907" w:h="16840"/>
      <w:pgMar w:top="1928" w:right="1588" w:bottom="1588" w:left="1588" w:header="851" w:footer="992" w:gutter="0"/>
      <w:pgNumType w:fmt="numberInDash" w:start="1"/>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00000001" w:usb1="08000000" w:usb2="00000000" w:usb3="00000000" w:csb0="00040000" w:csb1="00000000"/>
  </w:font>
  <w:font w:name="Times New Roman">
    <w:altName w:val="DejaVu Sans"/>
    <w:panose1 w:val="00000000000000000000"/>
    <w:charset w:val="00"/>
    <w:family w:val="auto"/>
    <w:pitch w:val="variable"/>
    <w:sig w:usb0="00000000" w:usb1="00000000" w:usb2="00000000" w:usb3="00000000" w:csb0="00000000" w:csb1="00000000"/>
  </w:font>
  <w:font w:name="方正仿宋_GBK">
    <w:panose1 w:val="02000000000000000000"/>
    <w:charset w:val="86"/>
    <w:family w:val="script"/>
    <w:pitch w:val="variable"/>
    <w:sig w:usb0="00000001" w:usb1="08000000" w:usb2="00000000" w:usb3="00000000" w:csb0="00040000" w:csb1="00000000"/>
  </w:font>
  <w:font w:name="方正黑体_GBK">
    <w:panose1 w:val="02000000000000000000"/>
    <w:charset w:val="86"/>
    <w:family w:val="script"/>
    <w:pitch w:val="variable"/>
    <w:sig w:usb0="00000001" w:usb1="08000000" w:usb2="00000000" w:usb3="00000000" w:csb0="00040000" w:csb1="00000000"/>
  </w:font>
  <w:font w:name="楷体_GB2312">
    <w:altName w:val="楷体"/>
    <w:panose1 w:val="02010609030101010101"/>
    <w:charset w:val="00"/>
    <w:family w:val="modern"/>
    <w:pitch w:val="variable"/>
    <w:sig w:usb0="00000001" w:usb1="080E0000" w:usb2="00000000" w:usb3="00000000" w:csb0="00040000" w:csb1="00000000"/>
  </w:font>
  <w:font w:name="方正楷体_GBK">
    <w:panose1 w:val="02000000000000000000"/>
    <w:charset w:val="86"/>
    <w:family w:val="script"/>
    <w:pitch w:val="variable"/>
    <w:sig w:usb0="00000001" w:usb1="08000000" w:usb2="00000000" w:usb3="00000000" w:csb0="00040000" w:csb1="00000000"/>
  </w:font>
  <w:font w:name="宋体">
    <w:altName w:val="方正书宋_GBK"/>
    <w:panose1 w:val="02010600030101010101"/>
    <w:charset w:val="86"/>
    <w:family w:val="auto"/>
    <w:pitch w:val="variable"/>
    <w:sig w:usb0="00000203" w:usb1="288F0000" w:usb2="00000006" w:usb3="00000000" w:csb0="00040001" w:csb1="00000000"/>
  </w:font>
  <w:font w:name="楷体">
    <w:altName w:val="方正楷体_GBK"/>
    <w:panose1 w:val="02010609060101010101"/>
    <w:charset w:val="00"/>
    <w:family w:val="modern"/>
    <w:pitch w:val="variable"/>
    <w:sig w:usb0="800002BF" w:usb1="38CF7CFA" w:usb2="00000016" w:usb3="00000000" w:csb0="00040001" w:csb1="00000000"/>
  </w:font>
  <w:font w:name="Calibri Light">
    <w:altName w:val="Calibri"/>
    <w:panose1 w:val="020F0302020204030204"/>
    <w:charset w:val="00"/>
    <w:family w:val="swiss"/>
    <w:pitch w:val="variable"/>
    <w:sig w:usb0="E4002EFF" w:usb1="C200247B" w:usb2="00000009" w:usb3="00000000" w:csb0="200001FF" w:csb1="00000000"/>
  </w:font>
  <w:font w:name="Calibri">
    <w:altName w:val="DejaVu Sans"/>
    <w:panose1 w:val="020F0502020204030204"/>
    <w:charset w:val="00"/>
    <w:family w:val="swiss"/>
    <w:pitch w:val="variable"/>
    <w:sig w:usb0="00000000" w:usb1="00000000" w:usb2="00000001" w:usb3="00000000" w:csb0="0000019F" w:csb1="00000000"/>
  </w:font>
  <w:font w:name="Arial">
    <w:altName w:val="DejaVu Sans"/>
    <w:panose1 w:val="020B0604020202020204"/>
    <w:charset w:val="00"/>
    <w:family w:val="swiss"/>
    <w:pitch w:val="variable"/>
    <w:sig w:usb0="E0002EFF" w:usb1="C000785B"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1"/>
      <w:tabs>
        <w:tab w:val="clear" w:pos="4153"/>
        <w:tab w:val="clear" w:pos="8306"/>
        <w:tab w:val="center" w:pos="4153"/>
        <w:tab w:val="right" w:pos="8306"/>
      </w:tabs>
      <w:jc w:val="right"/>
    </w:pPr>
    <w:r>
      <w:fldChar w:fldCharType="begin"/>
    </w:r>
    <w:r>
      <w:instrText>Page</w:instrText>
    </w:r>
    <w:r>
      <w:fldChar w:fldCharType="separate"/>
    </w:r>
    <w:r>
      <w:t>- 1 -</w:t>
    </w:r>
    <w:r>
      <w:fldChar w:fldCharType="end"/>
    </w:r>
    <w:r>
      <w:fldChar w:fldCharType="begin"/>
    </w:r>
    <w:r>
      <w:instrText>NumPages</w:instrText>
    </w:r>
    <w:r>
      <w:fldChar w:fldCharType="separate"/>
    </w:r>
    <w:r>
      <w:t>2</w:t>
    </w:r>
    <w:r>
      <w:fldChar w:fldCharType="end"/>
    </w:r>
    <w:r>
      <w:fldChar w:fldCharType="begin"/>
    </w:r>
    <w:r>
      <w:instrText>Page</w:instrText>
    </w:r>
    <w:r>
      <w:fldChar w:fldCharType="separate"/>
    </w:r>
    <w:r>
      <w:t>- 1 -</w:t>
    </w:r>
    <w:r>
      <w:fldChar w:fldCharType="end"/>
    </w:r>
    <w:r>
      <w:fldChar w:fldCharType="begin"/>
    </w:r>
    <w:r>
      <w:instrText>Page</w:instrText>
    </w:r>
    <w:r>
      <w:fldChar w:fldCharType="separate"/>
    </w:r>
    <w:r>
      <w:t>- 1 -</w:t>
    </w:r>
    <w:r>
      <w:fldChar w:fldCharType="end"/>
    </w:r>
  </w:p>
  <w:p>
    <w:pPr>
      <w:pStyle w:val="21"/>
      <w:tabs>
        <w:tab w:val="clear" w:pos="4153"/>
        <w:tab w:val="clear" w:pos="8306"/>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27C375F8"/>
    <w:multiLevelType w:val="singleLevel"/>
    <w:tmpl w:val="27C375F8"/>
    <w:lvl w:ilvl="0">
      <w:start w:val="1"/>
      <w:numFmt w:val="decimal"/>
      <w:lvlRestart w:val="0"/>
      <w:lvlText w:val="%1."/>
      <w:lvlJc w:val="left"/>
      <w:pPr>
        <w:tabs>
          <w:tab w:val="num" w:pos="780"/>
        </w:tabs>
        <w:ind w:left="780" w:hanging="36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5"/>
  <w:doNotDisplayPageBoundaries/>
  <w:bordersDoNotSurroundHeader w:val="0"/>
  <w:bordersDoNotSurroundFooter w:val="0"/>
  <w:defaultTabStop w:val="420"/>
  <w:evenAndOddHeaders/>
  <w:drawingGridHorizontalSpacing w:val="160"/>
  <w:drawingGridVerticalSpacing w:val="435"/>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docVar w:name="commondata" w:val="eyJoZGlkIjoiYTYwOTBkZWYwYTlmNzE5M2ZlNmVkOWI5YjEyNjcxMTk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szCs w:val="22"/>
      <w:lang w:val="en-US" w:eastAsia="zh-CN" w:bidi="ar-SA"/>
    </w:rPr>
  </w:style>
  <w:style w:type="character" w:default="1" w:styleId="10">
    <w:name w:val="Default Paragraph Font"/>
  </w:style>
  <w:style w:type="paragraph" w:styleId="15">
    <w:name w:val="List Number 2"/>
    <w:basedOn w:val="0"/>
    <w:pPr>
      <w:numPr>
        <w:ilvl w:val="0"/>
        <w:numId w:val="1"/>
      </w:numPr>
      <w:tabs>
        <w:tab w:val="clear" w:pos="780"/>
        <w:tab w:val="left" w:pos="780"/>
      </w:tabs>
    </w:pPr>
  </w:style>
  <w:style w:type="paragraph" w:styleId="16">
    <w:name w:val="index 8"/>
    <w:basedOn w:val="0"/>
    <w:next w:val="0"/>
    <w:pPr>
      <w:ind w:left="2940"/>
    </w:pPr>
  </w:style>
  <w:style w:type="paragraph" w:styleId="17">
    <w:name w:val="index 5"/>
    <w:basedOn w:val="0"/>
    <w:next w:val="0"/>
    <w:pPr>
      <w:ind w:left="1680"/>
    </w:pPr>
  </w:style>
  <w:style w:type="paragraph" w:styleId="18">
    <w:name w:val="annotation text"/>
    <w:basedOn w:val="0"/>
    <w:pPr>
      <w:jc w:val="left"/>
    </w:pPr>
  </w:style>
  <w:style w:type="paragraph" w:styleId="19">
    <w:name w:val="index 6"/>
    <w:basedOn w:val="0"/>
    <w:next w:val="0"/>
    <w:pPr>
      <w:ind w:left="2100"/>
    </w:pPr>
  </w:style>
  <w:style w:type="paragraph" w:styleId="20">
    <w:name w:val="Balloon Text"/>
    <w:basedOn w:val="0"/>
    <w:rPr>
      <w:sz w:val="18"/>
      <w:szCs w:val="18"/>
    </w:rPr>
  </w:style>
  <w:style w:type="paragraph" w:styleId="21">
    <w:name w:val="footer"/>
    <w:basedOn w:val="0"/>
    <w:pPr>
      <w:tabs>
        <w:tab w:val="center" w:pos="4153"/>
        <w:tab w:val="right" w:pos="8306"/>
      </w:tabs>
      <w:snapToGrid w:val="0"/>
      <w:jc w:val="left"/>
    </w:pPr>
    <w:rPr>
      <w:sz w:val="18"/>
      <w:szCs w:val="18"/>
    </w:rPr>
  </w:style>
  <w:style w:type="paragraph" w:styleId="22">
    <w:name w:val="header"/>
    <w:basedOn w:val="0"/>
    <w:pPr>
      <w:pBdr>
        <w:bottom w:val="single" w:sz="6" w:space="1" w:color="auto"/>
      </w:pBdr>
      <w:tabs>
        <w:tab w:val="center" w:pos="4153"/>
        <w:tab w:val="right" w:pos="8306"/>
      </w:tabs>
      <w:snapToGrid w:val="0"/>
      <w:jc w:val="center"/>
    </w:pPr>
    <w:rPr>
      <w:sz w:val="18"/>
      <w:szCs w:val="18"/>
      <w:bdr w:val="none" w:sz="0" w:space="0" w:color="auto"/>
    </w:rPr>
  </w:style>
  <w:style w:type="paragraph" w:styleId="23">
    <w:name w:val="toc 1"/>
    <w:basedOn w:val="0"/>
    <w:next w:val="0"/>
  </w:style>
  <w:style w:type="paragraph" w:styleId="24">
    <w:name w:val="footnote text"/>
    <w:basedOn w:val="0"/>
    <w:pPr>
      <w:snapToGrid w:val="0"/>
      <w:jc w:val="left"/>
    </w:pPr>
    <w:rPr>
      <w:sz w:val="18"/>
      <w:szCs w:val="18"/>
    </w:rPr>
  </w:style>
  <w:style w:type="paragraph" w:styleId="25">
    <w:name w:val="index 7"/>
    <w:basedOn w:val="0"/>
    <w:next w:val="0"/>
    <w:pPr>
      <w:ind w:left="2520"/>
    </w:pPr>
  </w:style>
  <w:style w:type="paragraph" w:styleId="26">
    <w:name w:val="toc 2"/>
    <w:basedOn w:val="0"/>
    <w:next w:val="0"/>
    <w:pPr>
      <w:ind w:left="420"/>
    </w:pPr>
  </w:style>
  <w:style w:type="paragraph" w:styleId="27">
    <w:name w:val="Normal (Web)"/>
    <w:next w:val="21"/>
    <w:pPr>
      <w:widowControl w:val="0"/>
      <w:spacing w:beforeAutospacing="1" w:afterAutospacing="1"/>
    </w:pPr>
    <w:rPr>
      <w:rFonts w:ascii="Times New Roman" w:eastAsia="宋体" w:cs="Times New Roman" w:hAnsi="Times New Roman"/>
      <w:sz w:val="24"/>
      <w:szCs w:val="30"/>
      <w:lang w:val="en-US" w:eastAsia="zh-CN" w:bidi="ar-SA"/>
    </w:rPr>
  </w:style>
  <w:style w:type="paragraph" w:styleId="28">
    <w:name w:val="Title"/>
    <w:basedOn w:val="0"/>
    <w:next w:val="0"/>
    <w:pPr>
      <w:spacing w:before="240" w:after="60"/>
      <w:jc w:val="center"/>
      <w:outlineLvl w:val="0"/>
    </w:pPr>
    <w:rPr>
      <w:rFonts w:ascii="Calibri Light" w:eastAsia="宋体" w:cs="Times New Roman" w:hAnsi="Calibri Light"/>
      <w:b/>
      <w:bCs/>
      <w:szCs w:val="32"/>
      <w:lang w:bidi="ar-SA"/>
    </w:rPr>
  </w:style>
  <w:style w:type="paragraph" w:styleId="29">
    <w:name w:val="annotation subject"/>
    <w:basedOn w:val="18"/>
    <w:next w:val="18"/>
    <w:rPr>
      <w:b/>
    </w:rPr>
  </w:style>
  <w:style w:type="character" w:styleId="30">
    <w:name w:val="page number"/>
    <w:basedOn w:val="10"/>
  </w:style>
  <w:style w:type="character" w:styleId="31">
    <w:name w:val="Hyperlink"/>
    <w:rPr>
      <w:color w:val="0563C1"/>
      <w:u w:val="single"/>
    </w:rPr>
  </w:style>
  <w:style w:type="character" w:styleId="32">
    <w:name w:val="annotation reference"/>
    <w:basedOn w:val="10"/>
    <w:rPr>
      <w:sz w:val="21"/>
      <w:szCs w:val="21"/>
    </w:rPr>
  </w:style>
  <w:style w:type="character" w:styleId="33">
    <w:name w:val="footnote reference"/>
    <w:rPr>
      <w:vertAlign w:val="superscript"/>
    </w:rPr>
  </w:style>
  <w:style w:type="paragraph" w:customStyle="1" w:styleId="34">
    <w:name w:val="样式 三号"/>
    <w:next w:val="35"/>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35">
    <w:name w:val="样式 三号1"/>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36">
    <w:name w:val="正文1"/>
    <w:pPr>
      <w:widowControl w:val="0"/>
      <w:jc w:val="both"/>
    </w:pPr>
    <w:rPr>
      <w:rFonts w:ascii="Times New Roman" w:eastAsia="方正仿宋_GBK" w:cs="Times New Roman" w:hAnsi="Times New Roman"/>
      <w:kern w:val="2"/>
      <w:sz w:val="32"/>
      <w:lang w:val="en-US" w:eastAsia="zh-CN" w:bidi="ar-SA"/>
    </w:rPr>
  </w:style>
  <w:style w:type="paragraph" w:customStyle="1" w:styleId="37">
    <w:name w:val="正文2"/>
    <w:pPr>
      <w:widowControl w:val="0"/>
      <w:jc w:val="both"/>
    </w:pPr>
    <w:rPr>
      <w:rFonts w:ascii="Times New Roman" w:eastAsia="方正仿宋_GBK" w:cs="Times New Roman" w:hAnsi="Times New Roman"/>
      <w:kern w:val="2"/>
      <w:sz w:val="32"/>
      <w:lang w:val="en-US" w:eastAsia="zh-CN" w:bidi="ar-SA"/>
    </w:rPr>
  </w:style>
  <w:style w:type="paragraph" w:customStyle="1" w:styleId="38">
    <w:name w:val="正文3"/>
    <w:pPr>
      <w:widowControl w:val="0"/>
      <w:jc w:val="both"/>
    </w:pPr>
    <w:rPr>
      <w:rFonts w:ascii="Times New Roman" w:eastAsia="方正仿宋_GBK" w:cs="Times New Roman" w:hAnsi="Times New Roman"/>
      <w:kern w:val="2"/>
      <w:sz w:val="32"/>
      <w:lang w:val="en-US" w:eastAsia="zh-CN" w:bidi="ar-SA"/>
    </w:rPr>
  </w:style>
  <w:style w:type="paragraph" w:customStyle="1" w:styleId="39">
    <w:name w:val="正文4"/>
    <w:pPr>
      <w:widowControl w:val="0"/>
      <w:jc w:val="both"/>
    </w:pPr>
    <w:rPr>
      <w:rFonts w:ascii="Times New Roman" w:eastAsia="方正仿宋_GBK" w:cs="Times New Roman" w:hAnsi="Times New Roman"/>
      <w:kern w:val="2"/>
      <w:sz w:val="32"/>
      <w:lang w:val="en-US" w:eastAsia="zh-CN" w:bidi="ar-SA"/>
    </w:rPr>
  </w:style>
  <w:style w:type="paragraph" w:customStyle="1" w:styleId="40">
    <w:name w:val="正文5"/>
    <w:pPr>
      <w:widowControl w:val="0"/>
      <w:jc w:val="both"/>
    </w:pPr>
    <w:rPr>
      <w:rFonts w:ascii="Times New Roman" w:eastAsia="方正仿宋_GBK" w:cs="Times New Roman" w:hAnsi="Times New Roman"/>
      <w:kern w:val="2"/>
      <w:sz w:val="32"/>
      <w:lang w:val="en-US" w:eastAsia="zh-CN" w:bidi="ar-SA"/>
    </w:rPr>
  </w:style>
  <w:style w:type="paragraph" w:customStyle="1" w:styleId="41">
    <w:name w:val="正文6"/>
    <w:pPr>
      <w:widowControl w:val="0"/>
      <w:jc w:val="both"/>
    </w:pPr>
    <w:rPr>
      <w:rFonts w:ascii="Times New Roman" w:eastAsia="方正仿宋_GBK" w:cs="Times New Roman" w:hAnsi="Times New Roman"/>
      <w:kern w:val="2"/>
      <w:sz w:val="32"/>
      <w:lang w:val="en-US" w:eastAsia="zh-CN" w:bidi="ar-SA"/>
    </w:rPr>
  </w:style>
  <w:style w:type="paragraph" w:customStyle="1" w:styleId="42">
    <w:name w:val="样式 1 三号"/>
    <w:next w:val="23"/>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43">
    <w:name w:val="样式 小三"/>
    <w:next w:val="26"/>
    <w:pPr>
      <w:widowControl w:val="0"/>
      <w:jc w:val="both"/>
    </w:pPr>
    <w:rPr>
      <w:rFonts w:ascii="Times New Roman" w:eastAsia="宋体" w:cs="Times New Roman" w:hAnsi="Times New Roman"/>
      <w:kern w:val="2"/>
      <w:sz w:val="30"/>
      <w:szCs w:val="30"/>
      <w:lang w:val="en-US" w:eastAsia="zh-CN" w:bidi="ar-SA"/>
    </w:rPr>
  </w:style>
  <w:style w:type="paragraph" w:customStyle="1" w:styleId="44">
    <w:name w:val="样式 1 小四"/>
    <w:next w:val="40"/>
    <w:pPr>
      <w:widowControl w:val="0"/>
    </w:pPr>
    <w:rPr>
      <w:rFonts w:ascii="宋体" w:eastAsia="宋体" w:cs="Times New Roman"/>
      <w:kern w:val="2"/>
      <w:sz w:val="24"/>
      <w:lang w:val="en-US" w:eastAsia="zh-CN" w:bidi="ar-SA"/>
    </w:rPr>
  </w:style>
  <w:style w:type="paragraph" w:customStyle="1" w:styleId="45">
    <w:name w:val="样式 6 小四"/>
    <w:next w:val="41"/>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46">
    <w:name w:val="样式 20 小四"/>
    <w:next w:val="17"/>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47">
    <w:name w:val="样式 12 三号"/>
    <w:next w:val="16"/>
    <w:pPr>
      <w:widowControl w:val="0"/>
      <w:jc w:val="both"/>
    </w:pPr>
    <w:rPr>
      <w:rFonts w:ascii="Times New Roman" w:eastAsia="方正仿宋_GBK" w:cs="Times New Roman" w:hAnsi="Times New Roman"/>
      <w:kern w:val="2"/>
      <w:sz w:val="32"/>
      <w:lang w:val="en-US" w:eastAsia="zh-CN" w:bidi="ar-SA"/>
    </w:rPr>
  </w:style>
  <w:style w:type="paragraph" w:customStyle="1" w:styleId="48">
    <w:name w:val="样式 50 三号"/>
    <w:next w:val="19"/>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9">
    <w:name w:val="样式 13 三号"/>
    <w:next w:val="25"/>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0">
    <w:name w:val="样式 2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51">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2">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3">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54">
    <w:name w:val="样式 6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5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6">
    <w:name w:val="样式 8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7">
    <w:name w:val="样式 小四"/>
    <w:pPr>
      <w:widowControl w:val="0"/>
    </w:pPr>
    <w:rPr>
      <w:rFonts w:ascii="宋体" w:eastAsia="宋体" w:cs="Times New Roman"/>
      <w:kern w:val="2"/>
      <w:sz w:val="24"/>
      <w:lang w:val="en-US" w:eastAsia="zh-CN" w:bidi="ar-SA"/>
    </w:rPr>
  </w:style>
  <w:style w:type="paragraph" w:customStyle="1" w:styleId="58">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60">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9 三号"/>
    <w:pPr>
      <w:widowControl w:val="0"/>
      <w:ind w:left="420"/>
      <w:jc w:val="both"/>
    </w:pPr>
    <w:rPr>
      <w:rFonts w:ascii="Times New Roman" w:eastAsia="方正仿宋_GBK" w:cs="Times New Roman" w:hAnsi="Times New Roman"/>
      <w:kern w:val="2"/>
      <w:sz w:val="32"/>
      <w:szCs w:val="22"/>
      <w:lang w:val="en-US" w:eastAsia="zh-CN" w:bidi="ar-SA"/>
    </w:rPr>
  </w:style>
  <w:style w:type="paragraph" w:customStyle="1" w:styleId="63">
    <w:name w:val="样式 2 小四"/>
    <w:pPr>
      <w:widowControl w:val="0"/>
    </w:pPr>
    <w:rPr>
      <w:rFonts w:ascii="宋体" w:eastAsia="宋体" w:cs="宋体"/>
      <w:kern w:val="2"/>
      <w:sz w:val="24"/>
      <w:szCs w:val="24"/>
      <w:lang w:val="en-US" w:eastAsia="zh-CN" w:bidi="ar-SA"/>
    </w:rPr>
  </w:style>
  <w:style w:type="paragraph" w:customStyle="1" w:styleId="64">
    <w:name w:val="样式 10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5">
    <w:name w:val="样式 3 小四"/>
    <w:pPr>
      <w:widowControl w:val="0"/>
    </w:pPr>
    <w:rPr>
      <w:rFonts w:ascii="宋体" w:eastAsia="宋体" w:cs="Times New Roman"/>
      <w:kern w:val="2"/>
      <w:sz w:val="24"/>
      <w:lang w:val="en-US" w:eastAsia="zh-CN" w:bidi="ar-SA"/>
    </w:rPr>
  </w:style>
  <w:style w:type="paragraph" w:customStyle="1" w:styleId="66">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67">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68">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69">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71">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72">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73">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74">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75">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76">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77">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78">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79">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80">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81">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82">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83">
    <w:name w:val="样式 小五"/>
    <w:pPr>
      <w:widowControl w:val="0"/>
      <w:tabs>
        <w:tab w:val="center" w:pos="4153"/>
        <w:tab w:val="right" w:pos="8306"/>
      </w:tabs>
      <w:snapToGrid w:val="0"/>
    </w:pPr>
    <w:rPr>
      <w:rFonts w:ascii="Times New Roman" w:eastAsia="方正仿宋_GBK" w:cs="Times New Roman" w:hAnsi="Times New Roman"/>
      <w:kern w:val="2"/>
      <w:sz w:val="18"/>
      <w:szCs w:val="18"/>
      <w:lang w:val="en-US" w:eastAsia="zh-CN" w:bidi="ar-SA"/>
    </w:rPr>
  </w:style>
  <w:style w:type="paragraph" w:customStyle="1" w:styleId="84">
    <w:name w:val="样式 11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85">
    <w:name w:val="样式 79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86">
    <w:name w:val="样式 1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87">
    <w:name w:val="样式 15 三号"/>
    <w:pPr>
      <w:widowControl w:val="0"/>
      <w:jc w:val="both"/>
    </w:pPr>
    <w:rPr>
      <w:rFonts w:ascii="Times New Roman" w:eastAsia="方正仿宋_GBK" w:cs="Times New Roman" w:hAnsi="Times New Roman"/>
      <w:kern w:val="2"/>
      <w:sz w:val="32"/>
      <w:lang w:val="en-US" w:eastAsia="zh-CN" w:bidi="ar-SA"/>
    </w:rPr>
  </w:style>
  <w:style w:type="paragraph" w:customStyle="1" w:styleId="88">
    <w:name w:val="样式 16 三号"/>
    <w:pPr>
      <w:widowControl w:val="0"/>
    </w:pPr>
    <w:rPr>
      <w:rFonts w:ascii="Times New Roman" w:eastAsia="方正仿宋_GBK" w:cs="Times New Roman" w:hAnsi="Times New Roman"/>
      <w:kern w:val="2"/>
      <w:sz w:val="32"/>
      <w:szCs w:val="22"/>
      <w:lang w:val="en-US" w:eastAsia="zh-CN" w:bidi="ar-SA"/>
    </w:rPr>
  </w:style>
  <w:style w:type="paragraph" w:customStyle="1" w:styleId="89">
    <w:name w:val="样式 17 三号"/>
    <w:pPr>
      <w:widowControl w:val="0"/>
    </w:pPr>
    <w:rPr>
      <w:rFonts w:ascii="Times New Roman" w:eastAsia="方正仿宋_GBK" w:cs="Times New Roman" w:hAnsi="Times New Roman"/>
      <w:b/>
      <w:kern w:val="2"/>
      <w:sz w:val="32"/>
      <w:szCs w:val="22"/>
      <w:lang w:val="en-US" w:eastAsia="zh-CN" w:bidi="ar-SA"/>
    </w:rPr>
  </w:style>
  <w:style w:type="paragraph" w:customStyle="1" w:styleId="90">
    <w:name w:val="样式 18 三号"/>
    <w:pPr>
      <w:widowControl w:val="0"/>
      <w:jc w:val="both"/>
    </w:pPr>
    <w:rPr>
      <w:rFonts w:ascii="Times New Roman" w:eastAsia="方正仿宋_GBK" w:cs="Times New Roman" w:hAnsi="Times New Roman"/>
      <w:kern w:val="2"/>
      <w:sz w:val="32"/>
      <w:lang w:val="en-US" w:eastAsia="zh-CN" w:bidi="ar-SA"/>
    </w:rPr>
  </w:style>
  <w:style w:type="paragraph" w:customStyle="1" w:styleId="91">
    <w:name w:val="样式 39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92">
    <w:name w:val="样式 1 小五"/>
    <w:pPr>
      <w:widowControl w:val="0"/>
      <w:tabs>
        <w:tab w:val="center" w:pos="4153"/>
        <w:tab w:val="right" w:pos="8306"/>
      </w:tabs>
      <w:snapToGrid w:val="0"/>
    </w:pPr>
    <w:rPr>
      <w:rFonts w:ascii="Times New Roman" w:eastAsia="方正仿宋_GBK" w:cs="Times New Roman" w:hAnsi="Times New Roman"/>
      <w:kern w:val="2"/>
      <w:sz w:val="18"/>
      <w:szCs w:val="18"/>
      <w:lang w:val="en-US" w:eastAsia="zh-CN" w:bidi="ar-SA"/>
    </w:rPr>
  </w:style>
  <w:style w:type="paragraph" w:customStyle="1" w:styleId="93">
    <w:name w:val="样式 20 10 磅"/>
    <w:pPr>
      <w:widowControl w:val="0"/>
      <w:jc w:val="both"/>
    </w:pPr>
    <w:rPr>
      <w:rFonts w:ascii="Calibri" w:eastAsia="宋体" w:cs="Arial" w:hAnsi="Calibri"/>
      <w:kern w:val="2"/>
      <w:sz w:val="21"/>
      <w:szCs w:val="22"/>
      <w:lang w:val="en-US" w:eastAsia="zh-CN" w:bidi="ar-SA"/>
    </w:rPr>
  </w:style>
  <w:style w:type="paragraph" w:customStyle="1" w:styleId="94">
    <w:name w:val="样式 19 三号"/>
    <w:pPr>
      <w:widowControl w:val="0"/>
      <w:jc w:val="both"/>
    </w:pPr>
    <w:rPr>
      <w:rFonts w:ascii="Times New Roman" w:eastAsia="方正仿宋_GBK" w:cs="Times New Roman" w:hAnsi="Times New Roman"/>
      <w:kern w:val="2"/>
      <w:sz w:val="32"/>
      <w:lang w:val="en-US" w:eastAsia="zh-CN" w:bidi="ar-SA"/>
    </w:rPr>
  </w:style>
  <w:style w:type="paragraph" w:customStyle="1" w:styleId="95">
    <w:name w:val="样式 20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96">
    <w:name w:val="样式 4 小四"/>
    <w:pPr>
      <w:widowControl w:val="0"/>
    </w:pPr>
    <w:rPr>
      <w:rFonts w:ascii="宋体" w:eastAsia="宋体" w:cs="Times New Roman"/>
      <w:kern w:val="2"/>
      <w:sz w:val="24"/>
      <w:lang w:val="en-US" w:eastAsia="zh-CN" w:bidi="ar-SA"/>
    </w:rPr>
  </w:style>
  <w:style w:type="paragraph" w:customStyle="1" w:styleId="97">
    <w:name w:val="样式 8 小四"/>
    <w:next w:val="78"/>
    <w:pPr>
      <w:widowControl w:val="0"/>
      <w:spacing w:line="240" w:lineRule="auto"/>
      <w:jc w:val="left"/>
    </w:pPr>
    <w:rPr>
      <w:rFonts w:ascii="宋体" w:eastAsia="宋体" w:cs="Times New Roman"/>
      <w:kern w:val="2"/>
      <w:sz w:val="24"/>
      <w:szCs w:val="21"/>
      <w:lang w:val="en-US" w:eastAsia="zh-CN" w:bidi="ar-SA"/>
    </w:rPr>
  </w:style>
  <w:style w:type="paragraph" w:customStyle="1" w:styleId="98">
    <w:name w:val="样式 5 小四"/>
    <w:pPr>
      <w:widowControl w:val="0"/>
    </w:pPr>
    <w:rPr>
      <w:rFonts w:ascii="宋体" w:eastAsia="宋体" w:cs="Times New Roman"/>
      <w:kern w:val="2"/>
      <w:sz w:val="24"/>
      <w:lang w:val="en-US" w:eastAsia="zh-CN" w:bidi="ar-SA"/>
    </w:rPr>
  </w:style>
  <w:style w:type="paragraph" w:customStyle="1" w:styleId="188">
    <w:name w:val="样式 7 小四"/>
    <w:pPr>
      <w:widowControl w:val="0"/>
      <w:spacing w:before="100" w:beforeAutospacing="1" w:after="100" w:afterAutospacing="1"/>
      <w:jc w:val="left"/>
    </w:pPr>
    <w:rPr>
      <w:rFonts w:ascii="Times New Roman" w:eastAsia="宋体" w:cs="Times New Roman" w:hAnsi="Times New Roman"/>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14324519</TotalTime>
  <Application>Yozo_Office</Application>
  <Pages>7</Pages>
  <Words>2562</Words>
  <Characters>2672</Characters>
  <Lines>441</Lines>
  <Paragraphs>313</Paragraphs>
  <CharactersWithSpaces>2673</CharactersWithSpaces>
  <Company>ccic</Company>
</Properties>
</file>

<file path=docProps/core.xml><?xml version="1.0" encoding="utf-8"?>
<cp:coreProperties xmlns:cp="http://schemas.openxmlformats.org/package/2006/metadata/core-properties" xmlns:dc="http://purl.org/dc/elements/1.1/" xmlns:dcterms="http://purl.org/dc/terms/" xmlns:xsi="http://www.w3.org/2001/XMLSchema-instance">
  <dc:title>罗定海关2022年政府信息公开工作年度报告</dc:title>
  <dc:creator>吕大良</dc:creator>
  <cp:lastModifiedBy>刘书华</cp:lastModifiedBy>
  <cp:revision>27</cp:revision>
  <cp:lastPrinted>2021-12-01T07:27:00Z</cp:lastPrinted>
  <dcterms:created xsi:type="dcterms:W3CDTF">2023-01-05T01:07:00Z</dcterms:created>
  <dcterms:modified xsi:type="dcterms:W3CDTF">2025-01-26T07:58:23Z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2052-11.8.2.10125</vt:lpwstr>
  </property>
</Properties>
</file>