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hd w:val="clear" w:color="auto" w:fill="auto"/>
        <w:spacing w:line="560" w:lineRule="exact"/>
        <w:jc w:val="center"/>
        <w:rPr>
          <w:rFonts w:ascii="方正小标宋_GBK" w:eastAsia="方正小标宋_GBK" w:hint="eastAsia"/>
          <w:sz w:val="44"/>
          <w:szCs w:val="44"/>
          <w:shd w:val="clear" w:color="auto" w:fill="auto"/>
        </w:rPr>
      </w:pPr>
      <w:r>
        <w:rPr>
          <w:rFonts w:ascii="方正小标宋_GBK" w:eastAsia="方正小标宋_GBK" w:hint="eastAsia"/>
          <w:sz w:val="44"/>
          <w:szCs w:val="44"/>
          <w:shd w:val="clear" w:color="auto" w:fill="auto"/>
        </w:rPr>
        <w:t>花都海关2024年政府信息公开工作年度报告</w:t>
      </w:r>
    </w:p>
    <w:p>
      <w:pPr>
        <w:shd w:val="clear" w:color="auto" w:fill="auto"/>
        <w:spacing w:line="560" w:lineRule="exact"/>
        <w:rPr>
          <w:shd w:val="clear" w:color="auto" w:fill="auto"/>
        </w:rPr>
      </w:pPr>
    </w:p>
    <w:p>
      <w:pPr>
        <w:shd w:val="clear" w:color="auto" w:fill="auto"/>
        <w:spacing w:line="560" w:lineRule="exact"/>
        <w:ind w:firstLineChars="200" w:firstLine="640"/>
        <w:rPr>
          <w:rFonts w:ascii="Times New Roman" w:eastAsia="方正仿宋_GBK" w:hAnsi="Times New Roman" w:hint="eastAsia"/>
          <w:sz w:val="32"/>
          <w:shd w:val="clear" w:color="auto" w:fill="auto"/>
        </w:rPr>
      </w:pPr>
      <w:r>
        <w:rPr>
          <w:rFonts w:ascii="Times New Roman" w:eastAsia="方正仿宋_GBK" w:hAnsi="Times New Roman" w:hint="eastAsia"/>
          <w:sz w:val="32"/>
          <w:shd w:val="clear" w:color="auto" w:fill="auto"/>
        </w:rPr>
        <w:t>根据《中华人民共和国政府信息公开条例》《国务院办公厅政府信息与政务公开办公室关于政府信息公开工作年度报告有关事项的通知》《国务院办公厅政府信息与政务公开办公室关于印发〈中华人民共和国政府信息公开工作年度报告格式〉的通知》等规定，梳理编制花都海关2024年政府信息公开工作年报。年报中所列数据的统计期限，自2024年1月1日起至2024年12月31日止。如对本年报有疑问或有任何意见、建议，请联系花都海关办公室。地址：广东省广州市花都区建设北路79号，邮编：510800；电话：020-36913360；电子邮箱：huadu@customs.gov.cn。</w:t>
      </w:r>
    </w:p>
    <w:p>
      <w:pPr>
        <w:shd w:val="clear" w:color="auto" w:fill="auto"/>
        <w:spacing w:line="560" w:lineRule="exact"/>
        <w:ind w:firstLineChars="200" w:firstLine="640"/>
        <w:rPr>
          <w:rFonts w:ascii="方正黑体_GBK" w:eastAsia="方正黑体_GBK" w:hint="eastAsia"/>
          <w:sz w:val="32"/>
          <w:shd w:val="clear" w:color="auto" w:fill="auto"/>
        </w:rPr>
      </w:pPr>
      <w:r>
        <w:rPr>
          <w:rFonts w:ascii="方正黑体_GBK" w:eastAsia="方正黑体_GBK" w:hint="eastAsia"/>
          <w:sz w:val="32"/>
          <w:shd w:val="clear" w:color="auto" w:fill="auto"/>
        </w:rPr>
        <w:t>一、总体情况</w:t>
      </w:r>
    </w:p>
    <w:p>
      <w:pPr>
        <w:shd w:val="clear" w:color="auto" w:fill="auto"/>
        <w:spacing w:line="560" w:lineRule="exact"/>
        <w:ind w:firstLineChars="200" w:firstLine="640"/>
        <w:rPr>
          <w:rFonts w:ascii="Times New Roman" w:eastAsia="方正仿宋_GBK" w:hAnsi="Times New Roman" w:hint="eastAsia"/>
          <w:sz w:val="32"/>
          <w:shd w:val="clear" w:color="auto" w:fill="auto"/>
        </w:rPr>
      </w:pPr>
      <w:r>
        <w:rPr>
          <w:rFonts w:ascii="Times New Roman" w:eastAsia="方正仿宋_GBK" w:hAnsi="Times New Roman" w:hint="eastAsia"/>
          <w:sz w:val="32"/>
          <w:shd w:val="clear" w:color="auto" w:fill="auto"/>
        </w:rPr>
        <w:t>2024年，花都海关以习近平新时代中国特色社会主义思想为指导，</w:t>
      </w:r>
      <w:r>
        <w:rPr>
          <w:rFonts w:ascii="Times New Roman" w:eastAsia="方正仿宋_GBK" w:hAnsi="Times New Roman"/>
          <w:sz w:val="32"/>
          <w:shd w:val="clear" w:color="auto" w:fill="auto"/>
        </w:rPr>
        <w:t>全面贯彻落实党的二十大和二十届二中、三中全会精神，</w:t>
      </w:r>
      <w:r>
        <w:rPr>
          <w:rFonts w:ascii="Times New Roman" w:eastAsia="方正仿宋_GBK" w:hAnsi="Times New Roman" w:hint="eastAsia"/>
          <w:sz w:val="32"/>
          <w:shd w:val="clear" w:color="auto" w:fill="auto"/>
        </w:rPr>
        <w:t>深入学习贯彻落实习近平总书记</w:t>
      </w:r>
      <w:r>
        <w:rPr>
          <w:rFonts w:ascii="Times New Roman" w:eastAsia="方正仿宋_GBK" w:hAnsi="Times New Roman"/>
          <w:sz w:val="32"/>
          <w:szCs w:val="32"/>
          <w:shd w:val="clear" w:color="auto" w:fill="auto"/>
        </w:rPr>
        <w:t>重要指示批示和</w:t>
      </w:r>
      <w:r>
        <w:rPr>
          <w:rFonts w:ascii="Times New Roman" w:eastAsia="方正仿宋_GBK" w:hAnsi="Times New Roman" w:hint="eastAsia"/>
          <w:sz w:val="32"/>
          <w:shd w:val="clear" w:color="auto" w:fill="auto"/>
        </w:rPr>
        <w:t>给红其拉甫海关全体关员重要回信精神，按照《中华人民共和国政府信息公开条例》，认真落实</w:t>
      </w:r>
      <w:r>
        <w:rPr>
          <w:rFonts w:ascii="Times New Roman" w:eastAsia="方正仿宋_GBK" w:hAnsi="Times New Roman"/>
          <w:sz w:val="32"/>
          <w:shd w:val="clear" w:color="auto" w:fill="auto"/>
        </w:rPr>
        <w:t>新时代政务</w:t>
      </w:r>
      <w:r>
        <w:rPr>
          <w:rFonts w:ascii="Times New Roman" w:eastAsia="方正仿宋_GBK" w:hAnsi="Times New Roman" w:hint="eastAsia"/>
          <w:sz w:val="32"/>
          <w:shd w:val="clear" w:color="auto" w:fill="auto"/>
        </w:rPr>
        <w:t>公开工作有关要求，加强组织协调</w:t>
      </w:r>
      <w:r>
        <w:rPr>
          <w:rFonts w:ascii="Times New Roman" w:eastAsia="方正仿宋_GBK" w:hAnsi="Times New Roman"/>
          <w:sz w:val="32"/>
          <w:shd w:val="clear" w:color="auto" w:fill="auto"/>
        </w:rPr>
        <w:t>、</w:t>
      </w:r>
      <w:r>
        <w:rPr>
          <w:rFonts w:ascii="Times New Roman" w:eastAsia="方正仿宋_GBK" w:hAnsi="Times New Roman" w:hint="eastAsia"/>
          <w:sz w:val="32"/>
          <w:shd w:val="clear" w:color="auto" w:fill="auto"/>
        </w:rPr>
        <w:t>完善体制机制</w:t>
      </w:r>
      <w:r>
        <w:rPr>
          <w:rFonts w:ascii="Times New Roman" w:eastAsia="方正仿宋_GBK" w:hAnsi="Times New Roman"/>
          <w:sz w:val="32"/>
          <w:shd w:val="clear" w:color="auto" w:fill="auto"/>
        </w:rPr>
        <w:t>、</w:t>
      </w:r>
      <w:r>
        <w:rPr>
          <w:rFonts w:ascii="Times New Roman" w:eastAsia="方正仿宋_GBK" w:hAnsi="Times New Roman" w:hint="eastAsia"/>
          <w:sz w:val="32"/>
          <w:shd w:val="clear" w:color="auto" w:fill="auto"/>
        </w:rPr>
        <w:t>细化日常管理，有序推进政务公开各项工作。现将工作情况报告如下：</w:t>
      </w:r>
    </w:p>
    <w:p>
      <w:pPr>
        <w:shd w:val="clear" w:color="auto" w:fill="auto"/>
        <w:spacing w:line="560" w:lineRule="exact"/>
        <w:ind w:firstLineChars="200" w:firstLine="640"/>
        <w:rPr>
          <w:rFonts w:ascii="方正楷体_GBK" w:eastAsia="方正楷体_GBK" w:hint="eastAsia"/>
          <w:b/>
          <w:sz w:val="32"/>
          <w:shd w:val="clear" w:color="auto" w:fill="auto"/>
        </w:rPr>
      </w:pPr>
      <w:r>
        <w:rPr>
          <w:rFonts w:ascii="方正楷体_GBK" w:eastAsia="方正楷体_GBK" w:hint="eastAsia"/>
          <w:b/>
          <w:sz w:val="32"/>
          <w:shd w:val="clear" w:color="auto" w:fill="auto"/>
        </w:rPr>
        <w:t>（一）聚焦主动公开效率，提升公开及时性。</w:t>
      </w:r>
    </w:p>
    <w:p>
      <w:pPr>
        <w:shd w:val="clear" w:color="auto" w:fill="auto"/>
        <w:spacing w:line="560" w:lineRule="exact"/>
        <w:ind w:firstLineChars="200" w:firstLine="640"/>
        <w:rPr>
          <w:rFonts w:ascii="Times New Roman" w:eastAsia="方正仿宋_GBK" w:hAnsi="Times New Roman"/>
          <w:sz w:val="32"/>
          <w:shd w:val="clear" w:color="auto" w:fill="auto"/>
        </w:rPr>
      </w:pPr>
      <w:r>
        <w:rPr>
          <w:rFonts w:ascii="Times New Roman" w:eastAsia="方正仿宋_GBK" w:hAnsi="Times New Roman" w:hint="eastAsia"/>
          <w:sz w:val="32"/>
          <w:shd w:val="clear" w:color="auto" w:fill="auto"/>
        </w:rPr>
        <w:t>根据工作实际优化主动公开信息收集、整理、发布工作流程，通过广州海关门户网站及时</w:t>
      </w:r>
      <w:r>
        <w:rPr>
          <w:rFonts w:ascii="Times New Roman" w:eastAsia="方正仿宋_GBK" w:hAnsi="Times New Roman"/>
          <w:sz w:val="32"/>
          <w:shd w:val="clear" w:color="auto" w:fill="auto"/>
        </w:rPr>
        <w:t>、全面、准确</w:t>
      </w:r>
      <w:r>
        <w:rPr>
          <w:rFonts w:ascii="Times New Roman" w:eastAsia="方正仿宋_GBK" w:hAnsi="Times New Roman" w:hint="eastAsia"/>
          <w:sz w:val="32"/>
          <w:shd w:val="clear" w:color="auto" w:fill="auto"/>
        </w:rPr>
        <w:t>公开花都海关</w:t>
      </w:r>
      <w:r>
        <w:rPr>
          <w:rFonts w:ascii="Times New Roman" w:eastAsia="方正仿宋_GBK" w:hAnsi="Times New Roman"/>
          <w:sz w:val="32"/>
          <w:shd w:val="clear" w:color="auto" w:fill="auto"/>
        </w:rPr>
        <w:t>机构</w:t>
      </w:r>
      <w:r>
        <w:rPr>
          <w:rFonts w:ascii="Times New Roman" w:eastAsia="方正仿宋_GBK" w:hAnsi="Times New Roman" w:hint="eastAsia"/>
          <w:sz w:val="32"/>
          <w:shd w:val="clear" w:color="auto" w:fill="auto"/>
        </w:rPr>
        <w:t>职能、业务咨询渠道、财务预决算、行政执法决定等信息，保障企业群众知情权、监督权</w:t>
      </w:r>
      <w:r>
        <w:rPr>
          <w:rFonts w:ascii="Times New Roman" w:eastAsia="方正仿宋_GBK" w:hAnsi="Times New Roman"/>
          <w:sz w:val="32"/>
          <w:shd w:val="clear" w:color="auto" w:fill="auto"/>
        </w:rPr>
        <w:t>，</w:t>
      </w:r>
      <w:r>
        <w:rPr>
          <w:rFonts w:ascii="Times New Roman" w:eastAsia="方正仿宋_GBK" w:hAnsi="Times New Roman" w:hint="eastAsia"/>
          <w:sz w:val="32"/>
          <w:shd w:val="clear" w:color="auto" w:fill="auto"/>
        </w:rPr>
        <w:t>动态维护更新</w:t>
      </w:r>
      <w:r>
        <w:rPr>
          <w:rFonts w:ascii="Times New Roman" w:eastAsia="方正仿宋_GBK" w:hAnsi="Times New Roman"/>
          <w:sz w:val="32"/>
          <w:shd w:val="clear" w:color="auto" w:fill="auto"/>
        </w:rPr>
        <w:t>办事场所</w:t>
      </w:r>
      <w:r>
        <w:rPr>
          <w:rFonts w:ascii="Times New Roman" w:eastAsia="方正仿宋_GBK" w:hAnsi="Times New Roman" w:hint="eastAsia"/>
          <w:sz w:val="32"/>
          <w:shd w:val="clear" w:color="auto" w:fill="auto"/>
        </w:rPr>
        <w:t>政务公开栏、标识牌</w:t>
      </w:r>
      <w:r>
        <w:rPr>
          <w:rFonts w:ascii="Times New Roman" w:eastAsia="方正仿宋_GBK" w:hAnsi="Times New Roman"/>
          <w:sz w:val="32"/>
          <w:shd w:val="clear" w:color="auto" w:fill="auto"/>
        </w:rPr>
        <w:t>等</w:t>
      </w:r>
      <w:r>
        <w:rPr>
          <w:rFonts w:ascii="Times New Roman" w:eastAsia="方正仿宋_GBK" w:hAnsi="Times New Roman" w:hint="eastAsia"/>
          <w:sz w:val="32"/>
          <w:shd w:val="clear" w:color="auto" w:fill="auto"/>
        </w:rPr>
        <w:t>，</w:t>
      </w:r>
      <w:r>
        <w:rPr>
          <w:rFonts w:ascii="Times New Roman" w:eastAsia="方正仿宋_GBK" w:hAnsi="Times New Roman"/>
          <w:sz w:val="32"/>
          <w:shd w:val="clear" w:color="auto" w:fill="auto"/>
        </w:rPr>
        <w:t>年内</w:t>
      </w:r>
      <w:r>
        <w:rPr>
          <w:rFonts w:ascii="Times New Roman" w:eastAsia="方正仿宋_GBK" w:hAnsi="Times New Roman" w:hint="eastAsia"/>
          <w:sz w:val="32"/>
          <w:shd w:val="clear" w:color="auto" w:fill="auto"/>
        </w:rPr>
        <w:t>张贴海关公告49份</w:t>
      </w:r>
      <w:r>
        <w:rPr>
          <w:rFonts w:ascii="Times New Roman" w:eastAsia="方正仿宋_GBK" w:hAnsi="Times New Roman"/>
          <w:sz w:val="32"/>
          <w:shd w:val="clear" w:color="auto" w:fill="auto"/>
        </w:rPr>
        <w:t>，</w:t>
      </w:r>
      <w:r>
        <w:rPr>
          <w:rFonts w:ascii="Times New Roman" w:eastAsia="方正仿宋_GBK" w:hAnsi="Times New Roman" w:hint="eastAsia"/>
          <w:sz w:val="32"/>
          <w:shd w:val="clear" w:color="auto" w:fill="auto"/>
        </w:rPr>
        <w:t>更新政务公开标识6次，确保内容设置规范</w:t>
      </w:r>
      <w:r>
        <w:rPr>
          <w:rFonts w:ascii="Times New Roman" w:eastAsia="方正仿宋_GBK" w:hAnsi="Times New Roman"/>
          <w:sz w:val="32"/>
          <w:shd w:val="clear" w:color="auto" w:fill="auto"/>
        </w:rPr>
        <w:t>、信息权威有效</w:t>
      </w:r>
      <w:r>
        <w:rPr>
          <w:rFonts w:ascii="Times New Roman" w:eastAsia="方正仿宋_GBK" w:hAnsi="Times New Roman" w:hint="eastAsia"/>
          <w:sz w:val="32"/>
          <w:shd w:val="clear" w:color="auto" w:fill="auto"/>
        </w:rPr>
        <w:t>。</w:t>
      </w:r>
    </w:p>
    <w:p>
      <w:pPr>
        <w:shd w:val="clear" w:color="auto" w:fill="auto"/>
        <w:spacing w:line="560" w:lineRule="exact"/>
        <w:ind w:firstLineChars="200" w:firstLine="640"/>
        <w:rPr>
          <w:rFonts w:ascii="方正楷体_GBK" w:eastAsia="方正楷体_GBK" w:hint="eastAsia"/>
          <w:b/>
          <w:sz w:val="32"/>
          <w:shd w:val="clear" w:color="auto" w:fill="auto"/>
        </w:rPr>
      </w:pPr>
      <w:r>
        <w:rPr>
          <w:rFonts w:ascii="方正楷体_GBK" w:eastAsia="方正楷体_GBK" w:hint="eastAsia"/>
          <w:b/>
          <w:sz w:val="32"/>
          <w:shd w:val="clear" w:color="auto" w:fill="auto"/>
        </w:rPr>
        <w:t>（二）聚焦依申请公开渠道，提升渠道畅顺性。</w:t>
      </w:r>
    </w:p>
    <w:p>
      <w:pPr>
        <w:shd w:val="clear" w:color="auto" w:fill="auto"/>
        <w:spacing w:line="560" w:lineRule="exact"/>
        <w:ind w:firstLineChars="200" w:firstLine="640"/>
        <w:rPr>
          <w:rFonts w:ascii="Times New Roman" w:eastAsia="方正仿宋_GBK" w:hAnsi="Times New Roman" w:hint="eastAsia"/>
          <w:sz w:val="32"/>
          <w:shd w:val="clear" w:color="auto" w:fill="auto"/>
        </w:rPr>
      </w:pPr>
      <w:r>
        <w:rPr>
          <w:rFonts w:ascii="Times New Roman" w:eastAsia="方正仿宋_GBK" w:hAnsi="Times New Roman" w:hint="eastAsia"/>
          <w:sz w:val="32"/>
          <w:shd w:val="clear" w:color="auto" w:fill="auto"/>
        </w:rPr>
        <w:t>切实完善依申请公开受理工作流程，</w:t>
      </w:r>
      <w:r>
        <w:rPr>
          <w:rFonts w:ascii="Times New Roman" w:eastAsia="方正仿宋_GBK" w:hAnsi="Times New Roman"/>
          <w:sz w:val="32"/>
          <w:shd w:val="clear" w:color="auto" w:fill="auto"/>
        </w:rPr>
        <w:t>定期查看</w:t>
      </w:r>
      <w:r>
        <w:rPr>
          <w:rFonts w:ascii="Times New Roman" w:eastAsia="方正仿宋_GBK" w:hAnsi="Times New Roman" w:hint="eastAsia"/>
          <w:sz w:val="32"/>
          <w:shd w:val="clear" w:color="auto" w:fill="auto"/>
        </w:rPr>
        <w:t>电话、</w:t>
      </w:r>
      <w:r>
        <w:rPr>
          <w:rFonts w:ascii="Times New Roman" w:eastAsia="方正仿宋_GBK" w:hAnsi="Times New Roman"/>
          <w:sz w:val="32"/>
          <w:shd w:val="clear" w:color="auto" w:fill="auto"/>
        </w:rPr>
        <w:t>信函、</w:t>
      </w:r>
      <w:r>
        <w:rPr>
          <w:rFonts w:ascii="Times New Roman" w:eastAsia="方正仿宋_GBK" w:hAnsi="Times New Roman" w:hint="eastAsia"/>
          <w:sz w:val="32"/>
          <w:shd w:val="clear" w:color="auto" w:fill="auto"/>
        </w:rPr>
        <w:t>电子邮箱、邮件和传真等</w:t>
      </w:r>
      <w:r>
        <w:rPr>
          <w:rFonts w:ascii="Times New Roman" w:eastAsia="方正仿宋_GBK" w:hAnsi="Times New Roman"/>
          <w:sz w:val="32"/>
          <w:shd w:val="clear" w:color="auto" w:fill="auto"/>
        </w:rPr>
        <w:t>依申请公开受理渠道，</w:t>
      </w:r>
      <w:r>
        <w:rPr>
          <w:rFonts w:ascii="Times New Roman" w:eastAsia="方正仿宋_GBK" w:hAnsi="Times New Roman" w:hint="eastAsia"/>
          <w:sz w:val="32"/>
          <w:shd w:val="clear" w:color="auto" w:fill="auto"/>
        </w:rPr>
        <w:t>确保及时回应。2024年未收到政府信息公开申请。</w:t>
      </w:r>
    </w:p>
    <w:p>
      <w:pPr>
        <w:shd w:val="clear" w:color="auto" w:fill="auto"/>
        <w:spacing w:line="560" w:lineRule="exact"/>
        <w:ind w:firstLineChars="200" w:firstLine="640"/>
        <w:rPr>
          <w:rFonts w:ascii="方正楷体_GBK" w:eastAsia="方正楷体_GBK" w:hint="eastAsia"/>
          <w:b/>
          <w:sz w:val="32"/>
          <w:shd w:val="clear" w:color="auto" w:fill="auto"/>
        </w:rPr>
      </w:pPr>
      <w:r>
        <w:rPr>
          <w:rFonts w:ascii="方正楷体_GBK" w:eastAsia="方正楷体_GBK" w:hint="eastAsia"/>
          <w:b/>
          <w:sz w:val="32"/>
          <w:shd w:val="clear" w:color="auto" w:fill="auto"/>
        </w:rPr>
        <w:t>（三）聚焦政府信息公开管理基础，提升机制规范性。</w:t>
      </w:r>
    </w:p>
    <w:p>
      <w:pPr>
        <w:shd w:val="clear" w:color="auto" w:fill="auto"/>
        <w:spacing w:line="560" w:lineRule="exact"/>
        <w:ind w:firstLineChars="200" w:firstLine="640"/>
        <w:rPr>
          <w:rFonts w:ascii="Times New Roman" w:eastAsia="方正仿宋_GBK" w:hAnsi="Times New Roman" w:hint="eastAsia"/>
          <w:sz w:val="32"/>
          <w:shd w:val="clear" w:color="auto" w:fill="auto"/>
        </w:rPr>
      </w:pPr>
      <w:r>
        <w:rPr>
          <w:rFonts w:ascii="Times New Roman" w:eastAsia="方正仿宋_GBK" w:hAnsi="Times New Roman" w:hint="eastAsia"/>
          <w:sz w:val="32"/>
          <w:shd w:val="clear" w:color="auto" w:fill="auto"/>
        </w:rPr>
        <w:t>压紧压实政府信息公开主体责任，准确、规范公开信息。明确关领导牵头、办公室协调落实、相关业务科室各司其职的责任分工，梳理各环节</w:t>
      </w:r>
      <w:r>
        <w:rPr>
          <w:rFonts w:ascii="Times New Roman" w:eastAsia="方正仿宋_GBK" w:hAnsi="Times New Roman"/>
          <w:sz w:val="32"/>
          <w:shd w:val="clear" w:color="auto" w:fill="auto"/>
        </w:rPr>
        <w:t>办理</w:t>
      </w:r>
      <w:r>
        <w:rPr>
          <w:rFonts w:ascii="Times New Roman" w:eastAsia="方正仿宋_GBK" w:hAnsi="Times New Roman" w:hint="eastAsia"/>
          <w:sz w:val="32"/>
          <w:shd w:val="clear" w:color="auto" w:fill="auto"/>
        </w:rPr>
        <w:t>要点，对信息发布内容、时间、方式、公开属性等逐级把关，夯实联系配合</w:t>
      </w:r>
      <w:r>
        <w:rPr>
          <w:rFonts w:ascii="Times New Roman" w:eastAsia="方正仿宋_GBK" w:hAnsi="Times New Roman"/>
          <w:sz w:val="32"/>
          <w:shd w:val="clear" w:color="auto" w:fill="auto"/>
        </w:rPr>
        <w:t>机制</w:t>
      </w:r>
      <w:r>
        <w:rPr>
          <w:rFonts w:ascii="Times New Roman" w:eastAsia="方正仿宋_GBK" w:hAnsi="Times New Roman" w:hint="eastAsia"/>
          <w:sz w:val="32"/>
          <w:shd w:val="clear" w:color="auto" w:fill="auto"/>
        </w:rPr>
        <w:t>，形成政府信息公开工作闭环。</w:t>
      </w:r>
    </w:p>
    <w:p>
      <w:pPr>
        <w:shd w:val="clear" w:color="auto" w:fill="auto"/>
        <w:spacing w:line="560" w:lineRule="exact"/>
        <w:ind w:firstLineChars="200" w:firstLine="640"/>
        <w:rPr>
          <w:rFonts w:ascii="Times New Roman" w:eastAsia="方正仿宋_GBK" w:hAnsi="Times New Roman" w:hint="eastAsia"/>
          <w:sz w:val="32"/>
          <w:shd w:val="clear" w:color="auto" w:fill="auto"/>
        </w:rPr>
      </w:pPr>
      <w:r>
        <w:rPr>
          <w:rFonts w:ascii="方正楷体_GBK" w:eastAsia="方正楷体_GBK" w:hint="eastAsia"/>
          <w:b/>
          <w:sz w:val="32"/>
          <w:shd w:val="clear" w:color="auto" w:fill="auto"/>
        </w:rPr>
        <w:t>（四）聚焦政府信息公开平台建设，提升服务主动性。</w:t>
      </w:r>
    </w:p>
    <w:p>
      <w:pPr>
        <w:shd w:val="clear" w:color="auto" w:fill="auto"/>
        <w:spacing w:line="560" w:lineRule="exact"/>
        <w:ind w:firstLineChars="200" w:firstLine="640"/>
        <w:rPr>
          <w:rFonts w:ascii="Times New Roman" w:eastAsia="方正仿宋_GBK" w:hAnsi="Times New Roman" w:hint="eastAsia"/>
          <w:sz w:val="32"/>
          <w:shd w:val="clear" w:color="auto" w:fill="auto"/>
        </w:rPr>
      </w:pPr>
      <w:r>
        <w:rPr>
          <w:rFonts w:ascii="Times New Roman" w:eastAsia="方正仿宋_GBK" w:hAnsi="Times New Roman" w:hint="eastAsia"/>
          <w:sz w:val="32"/>
          <w:shd w:val="clear" w:color="auto" w:fill="auto"/>
        </w:rPr>
        <w:t>以提升</w:t>
      </w:r>
      <w:r>
        <w:rPr>
          <w:rFonts w:ascii="Times New Roman" w:eastAsia="方正仿宋_GBK" w:hAnsi="Times New Roman"/>
          <w:sz w:val="32"/>
          <w:shd w:val="clear" w:color="auto" w:fill="auto"/>
        </w:rPr>
        <w:t>政务公开与政务</w:t>
      </w:r>
      <w:r>
        <w:rPr>
          <w:rFonts w:ascii="Times New Roman" w:eastAsia="方正仿宋_GBK" w:hAnsi="Times New Roman" w:hint="eastAsia"/>
          <w:sz w:val="32"/>
          <w:shd w:val="clear" w:color="auto" w:fill="auto"/>
        </w:rPr>
        <w:t>服务</w:t>
      </w:r>
      <w:r>
        <w:rPr>
          <w:rFonts w:ascii="Times New Roman" w:eastAsia="方正仿宋_GBK" w:hAnsi="Times New Roman"/>
          <w:sz w:val="32"/>
          <w:shd w:val="clear" w:color="auto" w:fill="auto"/>
        </w:rPr>
        <w:t>工作质效</w:t>
      </w:r>
      <w:r>
        <w:rPr>
          <w:rFonts w:ascii="Times New Roman" w:eastAsia="方正仿宋_GBK" w:hAnsi="Times New Roman" w:hint="eastAsia"/>
          <w:sz w:val="32"/>
          <w:shd w:val="clear" w:color="auto" w:fill="auto"/>
        </w:rPr>
        <w:t>为出发点，以“为民、便民、利民”为落脚点，全方位推进基层政务公开标准化规范化建设。强化政务信息整合，以线下、线上融合为重点，持续擦亮“关企连心桥”基层政务公开品牌，优化</w:t>
      </w:r>
      <w:r>
        <w:rPr>
          <w:rFonts w:ascii="Times New Roman" w:eastAsia="方正仿宋_GBK" w:hAnsi="Times New Roman"/>
          <w:sz w:val="32"/>
          <w:shd w:val="clear" w:color="auto" w:fill="auto"/>
        </w:rPr>
        <w:t>基层</w:t>
      </w:r>
      <w:r>
        <w:rPr>
          <w:rFonts w:ascii="Times New Roman" w:eastAsia="方正仿宋_GBK" w:hAnsi="Times New Roman" w:hint="eastAsia"/>
          <w:sz w:val="32"/>
          <w:shd w:val="clear" w:color="auto" w:fill="auto"/>
        </w:rPr>
        <w:t>政务公开专区建设，集中设置信息数据公开、业务指引、自助办理等功能。多种形式组织“海关进企业、海关进社区、海关进校园”——“三进”品牌活动，</w:t>
      </w:r>
      <w:r>
        <w:rPr>
          <w:rFonts w:ascii="Times New Roman" w:eastAsia="方正仿宋_GBK" w:hAnsi="Times New Roman"/>
          <w:sz w:val="32"/>
          <w:shd w:val="clear" w:color="auto" w:fill="auto"/>
        </w:rPr>
        <w:t>年内</w:t>
      </w:r>
      <w:r>
        <w:rPr>
          <w:rFonts w:ascii="Times New Roman" w:eastAsia="方正仿宋_GBK" w:hAnsi="Times New Roman" w:hint="eastAsia"/>
          <w:sz w:val="32"/>
          <w:shd w:val="clear" w:color="auto" w:fill="auto"/>
        </w:rPr>
        <w:t>累计开展活动88次，服务企业、社区居民、学校师生总计1490</w:t>
      </w:r>
      <w:r>
        <w:rPr>
          <w:rFonts w:ascii="Times New Roman" w:eastAsia="方正仿宋_GBK" w:hAnsi="Times New Roman"/>
          <w:sz w:val="32"/>
          <w:shd w:val="clear" w:color="auto" w:fill="auto"/>
        </w:rPr>
        <w:t>人次</w:t>
      </w:r>
      <w:r>
        <w:rPr>
          <w:rFonts w:ascii="Times New Roman" w:eastAsia="方正仿宋_GBK" w:hAnsi="Times New Roman" w:hint="eastAsia"/>
          <w:sz w:val="32"/>
          <w:shd w:val="clear" w:color="auto" w:fill="auto"/>
        </w:rPr>
        <w:t>。持续拓展政策解读深度、广度，结合花都区重点产业、项目需求，通过“线上+线下”方式开展政策宣讲150余次</w:t>
      </w:r>
      <w:r>
        <w:rPr>
          <w:rFonts w:ascii="Times New Roman" w:eastAsia="方正仿宋_GBK" w:hAnsi="Times New Roman"/>
          <w:sz w:val="32"/>
          <w:shd w:val="clear" w:color="auto" w:fill="auto"/>
        </w:rPr>
        <w:t>。</w:t>
      </w:r>
      <w:r>
        <w:rPr>
          <w:rFonts w:ascii="Times New Roman" w:eastAsia="方正仿宋_GBK" w:hAnsi="Times New Roman" w:hint="eastAsia"/>
          <w:sz w:val="32"/>
          <w:shd w:val="clear" w:color="auto" w:fill="auto"/>
        </w:rPr>
        <w:t>依托“关长联系企业”“企业协调员”工作机制，调研企业162家、收集并解决企业诉求96项，全力支持花都经济开发区成功升级为国家级经开区。</w:t>
      </w:r>
    </w:p>
    <w:p>
      <w:pPr>
        <w:shd w:val="clear" w:color="auto" w:fill="auto"/>
        <w:spacing w:line="560" w:lineRule="exact"/>
        <w:ind w:firstLineChars="200" w:firstLine="640"/>
        <w:rPr>
          <w:rFonts w:ascii="Times New Roman" w:eastAsia="方正仿宋_GBK" w:hAnsi="Times New Roman" w:hint="eastAsia"/>
          <w:sz w:val="32"/>
          <w:shd w:val="clear" w:color="auto" w:fill="auto"/>
        </w:rPr>
      </w:pPr>
      <w:r>
        <w:rPr>
          <w:rFonts w:ascii="方正楷体_GBK" w:eastAsia="方正楷体_GBK" w:hint="eastAsia"/>
          <w:b/>
          <w:sz w:val="32"/>
          <w:shd w:val="clear" w:color="auto" w:fill="auto"/>
        </w:rPr>
        <w:t>（五）聚焦政府信息公开监督保障，提升工作细致性。</w:t>
      </w:r>
    </w:p>
    <w:p>
      <w:pPr>
        <w:shd w:val="clear" w:color="auto" w:fill="auto"/>
        <w:spacing w:line="560" w:lineRule="exact"/>
        <w:ind w:firstLineChars="200" w:firstLine="640"/>
        <w:rPr>
          <w:rFonts w:ascii="Times New Roman" w:eastAsia="方正仿宋_GBK" w:hAnsi="Times New Roman" w:hint="eastAsia"/>
          <w:sz w:val="32"/>
          <w:shd w:val="clear" w:color="auto" w:fill="auto"/>
        </w:rPr>
      </w:pPr>
      <w:r>
        <w:rPr>
          <w:rFonts w:ascii="Times New Roman" w:eastAsia="方正仿宋_GBK" w:hAnsi="Times New Roman" w:hint="eastAsia"/>
          <w:sz w:val="32"/>
          <w:shd w:val="clear" w:color="auto" w:fill="auto"/>
        </w:rPr>
        <w:t>定期开展政府信息公开自查，持续紧盯政务公开日常工作，重点对</w:t>
      </w:r>
      <w:r>
        <w:rPr>
          <w:rFonts w:ascii="Times New Roman" w:eastAsia="方正仿宋_GBK" w:hAnsi="Times New Roman"/>
          <w:sz w:val="32"/>
          <w:shd w:val="clear" w:color="auto" w:fill="auto"/>
        </w:rPr>
        <w:t>已</w:t>
      </w:r>
      <w:r>
        <w:rPr>
          <w:rFonts w:ascii="Times New Roman" w:eastAsia="方正仿宋_GBK" w:hAnsi="Times New Roman" w:hint="eastAsia"/>
          <w:sz w:val="32"/>
          <w:shd w:val="clear" w:color="auto" w:fill="auto"/>
        </w:rPr>
        <w:t>公开的机构信息、行政执法信息、对外咨询电话等开展检查，从细节出发检视日常工作是否严格落实各项规定要求。积极主动接受外部监督，夯实政务公开监督及保障体系，每月开展“关长接待日”收集企业群众意见建议，邀请政府</w:t>
      </w:r>
      <w:r>
        <w:rPr>
          <w:rFonts w:ascii="Times New Roman" w:eastAsia="方正仿宋_GBK" w:hAnsi="Times New Roman"/>
          <w:sz w:val="32"/>
          <w:shd w:val="clear" w:color="auto" w:fill="auto"/>
        </w:rPr>
        <w:t>相关</w:t>
      </w:r>
      <w:r>
        <w:rPr>
          <w:rFonts w:ascii="Times New Roman" w:eastAsia="方正仿宋_GBK" w:hAnsi="Times New Roman" w:hint="eastAsia"/>
          <w:sz w:val="32"/>
          <w:shd w:val="clear" w:color="auto" w:fill="auto"/>
        </w:rPr>
        <w:t>部门负责同志、进出口企业高管担任特约监督员，通过外部监督强化行风评议和效能监督。开展“我陪群众走流程”政务服务提升行动，邀请企业报关负责人担任“海关政策体验官”，关员</w:t>
      </w:r>
      <w:r>
        <w:rPr>
          <w:rFonts w:ascii="Times New Roman" w:eastAsia="方正仿宋_GBK" w:hAnsi="Times New Roman"/>
          <w:sz w:val="32"/>
          <w:shd w:val="clear" w:color="auto" w:fill="auto"/>
        </w:rPr>
        <w:t>陪</w:t>
      </w:r>
      <w:r>
        <w:rPr>
          <w:rFonts w:ascii="Times New Roman" w:eastAsia="方正仿宋_GBK" w:hAnsi="Times New Roman" w:hint="eastAsia"/>
          <w:sz w:val="32"/>
          <w:shd w:val="clear" w:color="auto" w:fill="auto"/>
        </w:rPr>
        <w:t>同企业代表体验业务办理全过程，</w:t>
      </w:r>
      <w:r>
        <w:rPr>
          <w:rFonts w:ascii="Times New Roman" w:eastAsia="方正仿宋_GBK" w:hAnsi="Times New Roman"/>
          <w:sz w:val="32"/>
          <w:shd w:val="clear" w:color="auto" w:fill="auto"/>
        </w:rPr>
        <w:t>听取并</w:t>
      </w:r>
      <w:r>
        <w:rPr>
          <w:rFonts w:ascii="Times New Roman" w:eastAsia="方正仿宋_GBK" w:hAnsi="Times New Roman" w:hint="eastAsia"/>
          <w:sz w:val="32"/>
          <w:shd w:val="clear" w:color="auto" w:fill="auto"/>
        </w:rPr>
        <w:t>记录体验过程中的实际感受和</w:t>
      </w:r>
      <w:r>
        <w:rPr>
          <w:rFonts w:ascii="Times New Roman" w:eastAsia="方正仿宋_GBK" w:hAnsi="Times New Roman"/>
          <w:sz w:val="32"/>
          <w:shd w:val="clear" w:color="auto" w:fill="auto"/>
        </w:rPr>
        <w:t>意见建议共3条</w:t>
      </w:r>
      <w:r>
        <w:rPr>
          <w:rFonts w:ascii="Times New Roman" w:eastAsia="方正仿宋_GBK" w:hAnsi="Times New Roman" w:hint="eastAsia"/>
          <w:sz w:val="32"/>
          <w:shd w:val="clear" w:color="auto" w:fill="auto"/>
        </w:rPr>
        <w:t>，并采取针对性措施进一步提高政务服务水平。</w:t>
      </w:r>
    </w:p>
    <w:p>
      <w:pPr>
        <w:pStyle w:val="16"/>
        <w:shd w:val="clear" w:color="auto" w:fill="auto"/>
        <w:autoSpaceDN w:val="0"/>
        <w:adjustRightInd w:val="0"/>
        <w:snapToGrid w:val="0"/>
        <w:ind w:firstLineChars="200" w:firstLine="624"/>
        <w:rPr>
          <w:rFonts w:ascii="方正黑体_GBK" w:eastAsia="方正黑体_GBK" w:cs="楷体_GB2312"/>
          <w:bCs/>
          <w:szCs w:val="32"/>
          <w:shd w:val="clear" w:color="auto" w:fill="auto"/>
        </w:rPr>
      </w:pPr>
      <w:r>
        <w:rPr>
          <w:rFonts w:ascii="方正黑体_GBK" w:eastAsia="方正黑体_GBK" w:cs="楷体_GB2312" w:hint="eastAsia"/>
          <w:bCs/>
          <w:szCs w:val="32"/>
          <w:shd w:val="clear" w:color="auto" w:fill="auto"/>
        </w:rPr>
        <w:t>二、主动公开政府信息情况</w:t>
      </w:r>
    </w:p>
    <w:tbl>
      <w:tblPr>
        <w:jc w:val="center"/>
        <w:tblW w:w="8994"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2719"/>
        <w:gridCol w:w="2183"/>
        <w:gridCol w:w="1936"/>
        <w:gridCol w:w="2156"/>
      </w:tblGrid>
      <w:tr>
        <w:trPr>
          <w:trHeight w:val="495"/>
        </w:trPr>
        <w:tc>
          <w:tcPr>
            <w:tcW w:w="8994" w:type="dxa"/>
            <w:gridSpan w:val="4"/>
            <w:tcBorders>
              <w:top w:val="single" w:sz="8" w:space="0" w:color="auto"/>
              <w:left w:val="single" w:sz="8" w:space="0" w:color="auto"/>
              <w:bottom w:val="single" w:sz="8" w:space="0" w:color="auto"/>
              <w:right w:val="single" w:sz="8" w:space="0" w:color="auto"/>
            </w:tcBorders>
            <w:shd w:val="clear" w:color="auto" w:fill="C6D9F1"/>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第二十条第（一）项</w:t>
            </w:r>
          </w:p>
        </w:tc>
      </w:tr>
      <w:tr>
        <w:trPr>
          <w:trHeight w:val="68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信息内容</w:t>
            </w:r>
          </w:p>
        </w:tc>
        <w:tc>
          <w:tcPr>
            <w:tcW w:w="2183"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本年</w:t>
            </w:r>
            <w:r>
              <w:rPr>
                <w:rFonts w:hint="eastAsia"/>
                <w:kern w:val="0"/>
                <w:sz w:val="24"/>
                <w:szCs w:val="24"/>
                <w:shd w:val="clear" w:color="auto" w:fill="auto"/>
              </w:rPr>
              <w:t>制发件数</w:t>
            </w:r>
          </w:p>
        </w:tc>
        <w:tc>
          <w:tcPr>
            <w:tcW w:w="1936"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本年废止件</w:t>
            </w:r>
            <w:r>
              <w:rPr>
                <w:rFonts w:hint="eastAsia"/>
                <w:kern w:val="0"/>
                <w:sz w:val="24"/>
                <w:szCs w:val="24"/>
                <w:shd w:val="clear" w:color="auto" w:fill="auto"/>
              </w:rPr>
              <w:t>数</w:t>
            </w:r>
          </w:p>
        </w:tc>
        <w:tc>
          <w:tcPr>
            <w:tcW w:w="2156" w:type="dxa"/>
            <w:tcBorders>
              <w:top w:val="nil"/>
              <w:left w:val="nil"/>
              <w:bottom w:val="single" w:sz="8" w:space="0" w:color="auto"/>
              <w:right w:val="single" w:sz="8" w:space="0" w:color="auto"/>
            </w:tcBorders>
            <w:shd w:val="clear" w:color="auto" w:fill="auto"/>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现行有效件数</w:t>
            </w:r>
          </w:p>
        </w:tc>
      </w:tr>
      <w:tr>
        <w:trPr>
          <w:trHeight w:val="51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adjustRightInd w:val="0"/>
              <w:snapToGrid w:val="0"/>
              <w:spacing w:line="560" w:lineRule="exact"/>
              <w:jc w:val="center"/>
              <w:rPr>
                <w:sz w:val="24"/>
                <w:szCs w:val="24"/>
                <w:shd w:val="clear" w:color="auto" w:fill="auto"/>
              </w:rPr>
            </w:pPr>
            <w:r>
              <w:rPr>
                <w:rFonts w:ascii="宋体" w:cs="宋体" w:hint="eastAsia"/>
                <w:kern w:val="0"/>
                <w:sz w:val="24"/>
                <w:szCs w:val="24"/>
                <w:shd w:val="clear" w:color="auto" w:fill="auto"/>
              </w:rPr>
              <w:t>规章</w:t>
            </w:r>
          </w:p>
        </w:tc>
        <w:tc>
          <w:tcPr>
            <w:tcW w:w="2183"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1936"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2156" w:type="dxa"/>
            <w:tcBorders>
              <w:top w:val="nil"/>
              <w:left w:val="nil"/>
              <w:bottom w:val="single" w:sz="8" w:space="0" w:color="auto"/>
              <w:right w:val="single" w:sz="8" w:space="0" w:color="auto"/>
            </w:tcBorders>
            <w:shd w:val="clear" w:color="auto" w:fill="auto"/>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r>
      <w:tr>
        <w:trPr>
          <w:trHeight w:val="51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adjustRightInd w:val="0"/>
              <w:snapToGrid w:val="0"/>
              <w:spacing w:line="560" w:lineRule="exact"/>
              <w:jc w:val="center"/>
              <w:rPr>
                <w:sz w:val="24"/>
                <w:szCs w:val="24"/>
                <w:shd w:val="clear" w:color="auto" w:fill="auto"/>
              </w:rPr>
            </w:pPr>
            <w:r>
              <w:rPr>
                <w:rFonts w:ascii="宋体" w:cs="宋体" w:hint="eastAsia"/>
                <w:kern w:val="0"/>
                <w:sz w:val="24"/>
                <w:szCs w:val="24"/>
                <w:shd w:val="clear" w:color="auto" w:fill="auto"/>
              </w:rPr>
              <w:t>行政规范性文件</w:t>
            </w:r>
          </w:p>
        </w:tc>
        <w:tc>
          <w:tcPr>
            <w:tcW w:w="2183"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1936"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2156" w:type="dxa"/>
            <w:tcBorders>
              <w:top w:val="nil"/>
              <w:left w:val="nil"/>
              <w:bottom w:val="single" w:sz="8" w:space="0" w:color="auto"/>
              <w:right w:val="single" w:sz="8" w:space="0" w:color="auto"/>
            </w:tcBorders>
            <w:shd w:val="clear" w:color="auto" w:fill="auto"/>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r>
      <w:tr>
        <w:trPr>
          <w:trHeight w:val="435"/>
        </w:trPr>
        <w:tc>
          <w:tcPr>
            <w:tcW w:w="8994" w:type="dxa"/>
            <w:gridSpan w:val="4"/>
            <w:tcBorders>
              <w:top w:val="nil"/>
              <w:left w:val="single" w:sz="8" w:space="0" w:color="auto"/>
              <w:bottom w:val="single" w:sz="8" w:space="0" w:color="auto"/>
              <w:right w:val="single" w:sz="8" w:space="0" w:color="auto"/>
            </w:tcBorders>
            <w:shd w:val="clear" w:color="auto" w:fill="C6D9F1"/>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第二十条第（五）项</w:t>
            </w:r>
          </w:p>
        </w:tc>
      </w:tr>
      <w:tr>
        <w:trPr>
          <w:trHeight w:val="68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adjustRightInd w:val="0"/>
              <w:snapToGrid w:val="0"/>
              <w:spacing w:line="560" w:lineRule="exact"/>
              <w:jc w:val="center"/>
              <w:rPr>
                <w:sz w:val="24"/>
                <w:szCs w:val="24"/>
                <w:shd w:val="clear" w:color="auto" w:fill="auto"/>
              </w:rPr>
            </w:pPr>
            <w:r>
              <w:rPr>
                <w:rFonts w:ascii="宋体" w:cs="宋体" w:hint="eastAsia"/>
                <w:kern w:val="0"/>
                <w:sz w:val="24"/>
                <w:szCs w:val="24"/>
                <w:shd w:val="clear" w:color="auto" w:fill="auto"/>
              </w:rPr>
              <w:t>信息内容</w:t>
            </w:r>
          </w:p>
        </w:tc>
        <w:tc>
          <w:tcPr>
            <w:tcW w:w="6275" w:type="dxa"/>
            <w:gridSpan w:val="3"/>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9"/>
              <w:widowControl/>
              <w:shd w:val="clear" w:color="auto" w:fill="auto"/>
              <w:autoSpaceDN w:val="0"/>
              <w:adjustRightInd w:val="0"/>
              <w:snapToGrid w:val="0"/>
              <w:spacing w:line="560" w:lineRule="exact"/>
              <w:jc w:val="center"/>
              <w:rPr>
                <w:sz w:val="24"/>
                <w:szCs w:val="24"/>
                <w:shd w:val="clear" w:color="auto" w:fill="auto"/>
              </w:rPr>
            </w:pPr>
            <w:r>
              <w:rPr>
                <w:rFonts w:ascii="宋体" w:cs="宋体" w:hint="eastAsia"/>
                <w:kern w:val="0"/>
                <w:sz w:val="24"/>
                <w:szCs w:val="24"/>
                <w:shd w:val="clear" w:color="auto" w:fill="auto"/>
              </w:rPr>
              <w:t>本年处理决定数量</w:t>
            </w:r>
          </w:p>
        </w:tc>
      </w:tr>
      <w:tr>
        <w:trPr>
          <w:trHeight w:val="51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adjustRightInd w:val="0"/>
              <w:snapToGrid w:val="0"/>
              <w:spacing w:line="560" w:lineRule="exact"/>
              <w:jc w:val="center"/>
              <w:rPr>
                <w:sz w:val="24"/>
                <w:szCs w:val="24"/>
                <w:shd w:val="clear" w:color="auto" w:fill="auto"/>
              </w:rPr>
            </w:pPr>
            <w:r>
              <w:rPr>
                <w:rFonts w:ascii="宋体" w:cs="宋体" w:hint="eastAsia"/>
                <w:kern w:val="0"/>
                <w:sz w:val="24"/>
                <w:szCs w:val="24"/>
                <w:shd w:val="clear" w:color="auto" w:fill="auto"/>
              </w:rPr>
              <w:t>行政许可</w:t>
            </w:r>
          </w:p>
        </w:tc>
        <w:tc>
          <w:tcPr>
            <w:tcW w:w="6275" w:type="dxa"/>
            <w:gridSpan w:val="3"/>
            <w:tcBorders>
              <w:top w:val="nil"/>
              <w:left w:val="nil"/>
              <w:bottom w:val="single" w:sz="8" w:space="0" w:color="auto"/>
              <w:right w:val="single" w:sz="8" w:space="0" w:color="auto"/>
            </w:tcBorders>
            <w:shd w:val="clear" w:color="auto" w:fill="auto"/>
            <w:tcMar>
              <w:left w:w="108" w:type="dxa"/>
              <w:right w:w="108" w:type="dxa"/>
            </w:tcMar>
            <w:vAlign w:val="center"/>
          </w:tcPr>
          <w:p>
            <w:pPr>
              <w:pStyle w:val="22"/>
              <w:shd w:val="clear" w:color="auto" w:fill="auto"/>
              <w:autoSpaceDN w:val="0"/>
              <w:spacing w:line="560" w:lineRule="exact"/>
              <w:jc w:val="center"/>
              <w:rPr>
                <w:rFonts w:eastAsia="方正仿宋_GBK" w:cs="宋体"/>
                <w:sz w:val="24"/>
                <w:szCs w:val="24"/>
                <w:shd w:val="clear" w:color="auto" w:fill="auto"/>
              </w:rPr>
            </w:pPr>
            <w:r>
              <w:rPr>
                <w:rFonts w:eastAsia="方正仿宋_GBK" w:cs="宋体" w:hint="eastAsia"/>
                <w:sz w:val="24"/>
                <w:szCs w:val="24"/>
                <w:shd w:val="clear" w:color="auto" w:fill="auto"/>
              </w:rPr>
              <w:t>1</w:t>
            </w:r>
          </w:p>
        </w:tc>
      </w:tr>
      <w:tr>
        <w:trPr>
          <w:trHeight w:val="406"/>
        </w:trPr>
        <w:tc>
          <w:tcPr>
            <w:tcW w:w="8994" w:type="dxa"/>
            <w:gridSpan w:val="4"/>
            <w:tcBorders>
              <w:top w:val="nil"/>
              <w:left w:val="single" w:sz="8" w:space="0" w:color="auto"/>
              <w:bottom w:val="single" w:sz="8" w:space="0" w:color="auto"/>
              <w:right w:val="single" w:sz="8" w:space="0" w:color="auto"/>
            </w:tcBorders>
            <w:shd w:val="clear" w:color="auto" w:fill="C6D9F1"/>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第二十条第（六）项</w:t>
            </w:r>
          </w:p>
        </w:tc>
      </w:tr>
      <w:tr>
        <w:trPr>
          <w:trHeight w:val="68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adjustRightInd w:val="0"/>
              <w:snapToGrid w:val="0"/>
              <w:spacing w:line="560" w:lineRule="exact"/>
              <w:jc w:val="center"/>
              <w:rPr>
                <w:sz w:val="24"/>
                <w:szCs w:val="24"/>
                <w:shd w:val="clear" w:color="auto" w:fill="auto"/>
              </w:rPr>
            </w:pPr>
            <w:r>
              <w:rPr>
                <w:rFonts w:ascii="宋体" w:cs="宋体" w:hint="eastAsia"/>
                <w:kern w:val="0"/>
                <w:sz w:val="24"/>
                <w:szCs w:val="24"/>
                <w:shd w:val="clear" w:color="auto" w:fill="auto"/>
              </w:rPr>
              <w:t>信息内容</w:t>
            </w:r>
          </w:p>
        </w:tc>
        <w:tc>
          <w:tcPr>
            <w:tcW w:w="6275" w:type="dxa"/>
            <w:gridSpan w:val="3"/>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20"/>
              <w:widowControl/>
              <w:shd w:val="clear" w:color="auto" w:fill="auto"/>
              <w:autoSpaceDN w:val="0"/>
              <w:adjustRightInd w:val="0"/>
              <w:snapToGrid w:val="0"/>
              <w:spacing w:line="560" w:lineRule="exact"/>
              <w:jc w:val="center"/>
              <w:rPr>
                <w:sz w:val="24"/>
                <w:szCs w:val="24"/>
                <w:shd w:val="clear" w:color="auto" w:fill="auto"/>
              </w:rPr>
            </w:pPr>
            <w:r>
              <w:rPr>
                <w:rFonts w:ascii="宋体" w:cs="宋体" w:hint="eastAsia"/>
                <w:kern w:val="0"/>
                <w:sz w:val="24"/>
                <w:szCs w:val="24"/>
                <w:shd w:val="clear" w:color="auto" w:fill="auto"/>
              </w:rPr>
              <w:t>本年处理决定数量</w:t>
            </w:r>
          </w:p>
        </w:tc>
      </w:tr>
      <w:tr>
        <w:trPr>
          <w:trHeight w:val="51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adjustRightInd w:val="0"/>
              <w:snapToGrid w:val="0"/>
              <w:spacing w:line="560" w:lineRule="exact"/>
              <w:jc w:val="center"/>
              <w:rPr>
                <w:sz w:val="24"/>
                <w:szCs w:val="24"/>
                <w:shd w:val="clear" w:color="auto" w:fill="auto"/>
              </w:rPr>
            </w:pPr>
            <w:r>
              <w:rPr>
                <w:rFonts w:ascii="宋体" w:cs="宋体" w:hint="eastAsia"/>
                <w:kern w:val="0"/>
                <w:sz w:val="24"/>
                <w:szCs w:val="24"/>
                <w:shd w:val="clear" w:color="auto" w:fill="auto"/>
              </w:rPr>
              <w:t>行政处罚</w:t>
            </w:r>
          </w:p>
        </w:tc>
        <w:tc>
          <w:tcPr>
            <w:tcW w:w="6275" w:type="dxa"/>
            <w:gridSpan w:val="3"/>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cs="宋体"/>
                <w:sz w:val="24"/>
                <w:szCs w:val="24"/>
                <w:shd w:val="clear" w:color="auto" w:fill="auto"/>
              </w:rPr>
            </w:pPr>
            <w:r>
              <w:rPr>
                <w:rFonts w:eastAsia="方正仿宋_GBK" w:cs="宋体"/>
                <w:sz w:val="24"/>
                <w:szCs w:val="24"/>
                <w:shd w:val="clear" w:color="auto" w:fill="auto"/>
              </w:rPr>
              <w:t>152</w:t>
            </w:r>
          </w:p>
        </w:tc>
      </w:tr>
      <w:tr>
        <w:trPr>
          <w:trHeight w:val="51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adjustRightInd w:val="0"/>
              <w:snapToGrid w:val="0"/>
              <w:spacing w:line="560" w:lineRule="exact"/>
              <w:jc w:val="center"/>
              <w:rPr>
                <w:sz w:val="24"/>
                <w:szCs w:val="24"/>
                <w:shd w:val="clear" w:color="auto" w:fill="auto"/>
              </w:rPr>
            </w:pPr>
            <w:r>
              <w:rPr>
                <w:rFonts w:ascii="宋体" w:cs="宋体" w:hint="eastAsia"/>
                <w:kern w:val="0"/>
                <w:sz w:val="24"/>
                <w:szCs w:val="24"/>
                <w:shd w:val="clear" w:color="auto" w:fill="auto"/>
              </w:rPr>
              <w:t>行政强制</w:t>
            </w:r>
          </w:p>
        </w:tc>
        <w:tc>
          <w:tcPr>
            <w:tcW w:w="6275" w:type="dxa"/>
            <w:gridSpan w:val="3"/>
            <w:tcBorders>
              <w:top w:val="nil"/>
              <w:left w:val="nil"/>
              <w:bottom w:val="single" w:sz="8" w:space="0" w:color="auto"/>
              <w:right w:val="single" w:sz="8" w:space="0" w:color="auto"/>
            </w:tcBorders>
            <w:shd w:val="clear" w:color="auto" w:fill="auto"/>
            <w:tcMar>
              <w:left w:w="108" w:type="dxa"/>
              <w:right w:w="108" w:type="dxa"/>
            </w:tcMar>
            <w:vAlign w:val="center"/>
          </w:tcPr>
          <w:p>
            <w:pPr>
              <w:pStyle w:val="23"/>
              <w:shd w:val="clear" w:color="auto" w:fill="auto"/>
              <w:autoSpaceDN w:val="0"/>
              <w:spacing w:line="560" w:lineRule="exact"/>
              <w:jc w:val="center"/>
              <w:rPr>
                <w:rFonts w:eastAsia="方正仿宋_GBK" w:cs="宋体"/>
                <w:sz w:val="24"/>
                <w:szCs w:val="24"/>
                <w:shd w:val="clear" w:color="auto" w:fill="auto"/>
              </w:rPr>
            </w:pPr>
            <w:r>
              <w:rPr>
                <w:rFonts w:eastAsia="方正仿宋_GBK" w:cs="宋体"/>
                <w:sz w:val="24"/>
                <w:szCs w:val="24"/>
                <w:shd w:val="clear" w:color="auto" w:fill="auto"/>
              </w:rPr>
              <w:t>8</w:t>
            </w:r>
          </w:p>
        </w:tc>
      </w:tr>
      <w:tr>
        <w:trPr>
          <w:trHeight w:val="474"/>
        </w:trPr>
        <w:tc>
          <w:tcPr>
            <w:tcW w:w="8994" w:type="dxa"/>
            <w:gridSpan w:val="4"/>
            <w:tcBorders>
              <w:top w:val="nil"/>
              <w:left w:val="single" w:sz="8" w:space="0" w:color="auto"/>
              <w:bottom w:val="single" w:sz="8" w:space="0" w:color="auto"/>
              <w:right w:val="single" w:sz="8" w:space="0" w:color="auto"/>
            </w:tcBorders>
            <w:shd w:val="clear" w:color="auto" w:fill="C6D9F1"/>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第二十条第（八）项</w:t>
            </w:r>
          </w:p>
        </w:tc>
      </w:tr>
      <w:tr>
        <w:trPr>
          <w:trHeight w:val="68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adjustRightInd w:val="0"/>
              <w:snapToGrid w:val="0"/>
              <w:spacing w:line="560" w:lineRule="exact"/>
              <w:jc w:val="center"/>
              <w:rPr>
                <w:sz w:val="24"/>
                <w:szCs w:val="24"/>
                <w:shd w:val="clear" w:color="auto" w:fill="auto"/>
              </w:rPr>
            </w:pPr>
            <w:r>
              <w:rPr>
                <w:rFonts w:ascii="宋体" w:cs="宋体" w:hint="eastAsia"/>
                <w:kern w:val="0"/>
                <w:sz w:val="24"/>
                <w:szCs w:val="24"/>
                <w:shd w:val="clear" w:color="auto" w:fill="auto"/>
              </w:rPr>
              <w:t>信息内容</w:t>
            </w:r>
          </w:p>
        </w:tc>
        <w:tc>
          <w:tcPr>
            <w:tcW w:w="6275" w:type="dxa"/>
            <w:gridSpan w:val="3"/>
            <w:tcBorders>
              <w:top w:val="nil"/>
              <w:left w:val="nil"/>
              <w:bottom w:val="single" w:sz="8" w:space="0" w:color="auto"/>
              <w:right w:val="single" w:sz="8" w:space="0" w:color="000000"/>
            </w:tcBorders>
            <w:shd w:val="clear" w:color="auto" w:fill="auto"/>
            <w:tcMar>
              <w:left w:w="108" w:type="dxa"/>
              <w:right w:w="108" w:type="dxa"/>
            </w:tcMar>
            <w:vAlign w:val="center"/>
          </w:tcPr>
          <w:p>
            <w:pPr>
              <w:pStyle w:val="21"/>
              <w:widowControl/>
              <w:shd w:val="clear" w:color="auto" w:fill="auto"/>
              <w:autoSpaceDN w:val="0"/>
              <w:adjustRightInd w:val="0"/>
              <w:snapToGrid w:val="0"/>
              <w:spacing w:line="560" w:lineRule="exact"/>
              <w:jc w:val="center"/>
              <w:rPr>
                <w:sz w:val="24"/>
                <w:szCs w:val="24"/>
                <w:shd w:val="clear" w:color="auto" w:fill="auto"/>
              </w:rPr>
            </w:pPr>
            <w:r>
              <w:rPr>
                <w:rFonts w:ascii="宋体" w:cs="宋体" w:hint="eastAsia"/>
                <w:kern w:val="0"/>
                <w:sz w:val="24"/>
                <w:szCs w:val="24"/>
                <w:shd w:val="clear" w:color="auto" w:fill="auto"/>
              </w:rPr>
              <w:t>本年收费金额（单位：万元）</w:t>
            </w:r>
          </w:p>
        </w:tc>
      </w:tr>
      <w:tr>
        <w:trPr>
          <w:trHeight w:val="51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adjustRightInd w:val="0"/>
              <w:snapToGrid w:val="0"/>
              <w:spacing w:line="560" w:lineRule="exact"/>
              <w:jc w:val="center"/>
              <w:rPr>
                <w:shd w:val="clear" w:color="auto" w:fill="auto"/>
              </w:rPr>
            </w:pPr>
            <w:r>
              <w:rPr>
                <w:rFonts w:ascii="宋体" w:cs="宋体" w:hint="eastAsia"/>
                <w:kern w:val="0"/>
                <w:sz w:val="24"/>
                <w:szCs w:val="24"/>
                <w:shd w:val="clear" w:color="auto" w:fill="auto"/>
              </w:rPr>
              <w:t>行政事业性收费</w:t>
            </w:r>
          </w:p>
        </w:tc>
        <w:tc>
          <w:tcPr>
            <w:tcW w:w="6275" w:type="dxa"/>
            <w:gridSpan w:val="3"/>
            <w:tcBorders>
              <w:top w:val="nil"/>
              <w:left w:val="nil"/>
              <w:bottom w:val="single" w:sz="8" w:space="0" w:color="auto"/>
              <w:right w:val="single" w:sz="8" w:space="0" w:color="000000"/>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cs="宋体"/>
                <w:sz w:val="24"/>
                <w:szCs w:val="24"/>
                <w:shd w:val="clear" w:color="auto" w:fill="auto"/>
              </w:rPr>
            </w:pPr>
            <w:r>
              <w:rPr>
                <w:rFonts w:eastAsia="方正仿宋_GBK" w:cs="宋体"/>
                <w:sz w:val="24"/>
                <w:szCs w:val="24"/>
                <w:shd w:val="clear" w:color="auto" w:fill="auto"/>
              </w:rPr>
              <w:t>0</w:t>
            </w:r>
          </w:p>
        </w:tc>
      </w:tr>
    </w:tbl>
    <w:p>
      <w:pPr>
        <w:pStyle w:val="166"/>
        <w:widowControl/>
        <w:shd w:val="clear" w:color="auto" w:fill="auto"/>
        <w:adjustRightInd w:val="0"/>
        <w:snapToGrid w:val="0"/>
        <w:spacing w:before="0" w:beforeAutospacing="0" w:after="0" w:afterAutospacing="0" w:line="560" w:lineRule="exact"/>
        <w:ind w:firstLineChars="200" w:firstLine="640"/>
        <w:jc w:val="both"/>
        <w:rPr>
          <w:rFonts w:eastAsia="方正仿宋_GBK" w:cs="方正黑体_GBK" w:hint="eastAsia"/>
          <w:kern w:val="2"/>
          <w:sz w:val="32"/>
          <w:szCs w:val="32"/>
          <w:shd w:val="clear" w:color="auto" w:fill="auto"/>
        </w:rPr>
      </w:pPr>
      <w:r>
        <w:rPr>
          <w:rFonts w:eastAsia="方正仿宋_GBK" w:cs="方正黑体_GBK" w:hint="eastAsia"/>
          <w:kern w:val="2"/>
          <w:sz w:val="32"/>
          <w:szCs w:val="32"/>
          <w:shd w:val="clear" w:color="auto" w:fill="auto"/>
        </w:rPr>
        <w:t>*备注：本表格行政许可的处理决定数量，包括本机关在本年度内作出的准予许可决定、不予许可决定、变更许可决定、延期（延续）许可决定、撤销许可决定、撤回许可决定等。</w:t>
      </w:r>
    </w:p>
    <w:p>
      <w:pPr>
        <w:pStyle w:val="15"/>
        <w:widowControl/>
        <w:shd w:val="clear" w:color="auto" w:fill="auto"/>
        <w:autoSpaceDN w:val="0"/>
        <w:adjustRightInd w:val="0"/>
        <w:snapToGrid w:val="0"/>
        <w:spacing w:before="0" w:beforeAutospacing="0" w:after="0" w:afterAutospacing="0" w:line="560" w:lineRule="exact"/>
        <w:ind w:firstLineChars="200" w:firstLine="640"/>
        <w:jc w:val="both"/>
        <w:rPr>
          <w:rFonts w:ascii="方正黑体_GBK" w:eastAsia="方正黑体_GBK" w:cs="楷体_GB2312"/>
          <w:bCs/>
          <w:sz w:val="32"/>
          <w:szCs w:val="32"/>
          <w:shd w:val="clear" w:color="auto" w:fill="auto"/>
        </w:rPr>
      </w:pPr>
      <w:bookmarkStart w:id="0" w:name="_GoBack"/>
      <w:bookmarkEnd w:id="0"/>
      <w:r>
        <w:rPr>
          <w:rFonts w:ascii="方正黑体_GBK" w:eastAsia="方正黑体_GBK" w:cs="楷体_GB2312" w:hint="eastAsia"/>
          <w:bCs/>
          <w:sz w:val="32"/>
          <w:szCs w:val="32"/>
          <w:shd w:val="clear" w:color="auto" w:fill="auto"/>
        </w:rPr>
        <w:t>三、收到和处理政府信息公开申请情况</w:t>
      </w:r>
    </w:p>
    <w:tbl>
      <w:tblPr>
        <w:jc w:val="center"/>
        <w:tblW w:w="9071"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696"/>
        <w:gridCol w:w="936"/>
        <w:gridCol w:w="2670"/>
        <w:gridCol w:w="635"/>
        <w:gridCol w:w="675"/>
        <w:gridCol w:w="750"/>
        <w:gridCol w:w="765"/>
        <w:gridCol w:w="765"/>
        <w:gridCol w:w="497"/>
        <w:gridCol w:w="682"/>
      </w:tblGrid>
      <w:tr>
        <w:trPr>
          <w:tblHeader/>
        </w:trPr>
        <w:tc>
          <w:tcPr>
            <w:tcW w:w="4302" w:type="dxa"/>
            <w:gridSpan w:val="3"/>
            <w:vMerge w:val="restart"/>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hd w:val="clear" w:color="auto" w:fill="auto"/>
              </w:rPr>
            </w:pPr>
            <w:r>
              <w:rPr>
                <w:rFonts w:ascii="宋体" w:cs="宋体" w:hint="eastAsia"/>
                <w:kern w:val="0"/>
                <w:sz w:val="20"/>
                <w:szCs w:val="20"/>
                <w:shd w:val="clear" w:color="auto" w:fill="auto"/>
              </w:rPr>
              <w:t>（本列数据的勾稽关系为：第一项加第二项之和，等于第三项加第四项之和）</w:t>
            </w:r>
          </w:p>
        </w:tc>
        <w:tc>
          <w:tcPr>
            <w:tcW w:w="4769" w:type="dxa"/>
            <w:gridSpan w:val="7"/>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hd w:val="clear" w:color="auto" w:fill="auto"/>
              </w:rPr>
            </w:pPr>
            <w:r>
              <w:rPr>
                <w:rFonts w:ascii="宋体" w:cs="宋体" w:hint="eastAsia"/>
                <w:kern w:val="0"/>
                <w:sz w:val="20"/>
                <w:szCs w:val="20"/>
                <w:shd w:val="clear" w:color="auto" w:fill="auto"/>
              </w:rPr>
              <w:t>申请人情况</w:t>
            </w:r>
          </w:p>
        </w:tc>
      </w:tr>
      <w:tr>
        <w:trPr>
          <w:tblHeader/>
        </w:trPr>
        <w:tc>
          <w:tcPr>
            <w:tcW w:w="10578" w:type="dxa"/>
            <w:gridSpan w:val="3"/>
            <w:vMerge/>
            <w:tcBorders>
              <w:top w:val="single" w:sz="8" w:space="0" w:color="auto"/>
              <w:left w:val="single" w:sz="8" w:space="0" w:color="auto"/>
              <w:bottom w:val="single" w:sz="8" w:space="0" w:color="auto"/>
              <w:right w:val="single" w:sz="8" w:space="0" w:color="auto"/>
            </w:tcBorders>
            <w:vAlign w:val="center"/>
          </w:tcPr>
          <w:p/>
        </w:tc>
        <w:tc>
          <w:tcPr>
            <w:tcW w:w="635" w:type="dxa"/>
            <w:vMerge w:val="restart"/>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rFonts w:ascii="Times New Roman" w:eastAsia="宋体" w:cs="Times New Roman" w:hAnsi="Times New Roman"/>
                <w:sz w:val="30"/>
                <w:szCs w:val="30"/>
                <w:shd w:val="clear" w:color="auto" w:fill="auto"/>
              </w:rPr>
            </w:pPr>
            <w:r>
              <w:rPr>
                <w:rFonts w:ascii="宋体" w:cs="宋体" w:hint="eastAsia"/>
                <w:kern w:val="0"/>
                <w:sz w:val="20"/>
                <w:szCs w:val="20"/>
                <w:shd w:val="clear" w:color="auto" w:fill="auto"/>
              </w:rPr>
              <w:t>自然人</w:t>
            </w:r>
          </w:p>
        </w:tc>
        <w:tc>
          <w:tcPr>
            <w:tcW w:w="3452" w:type="dxa"/>
            <w:gridSpan w:val="5"/>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hd w:val="clear" w:color="auto" w:fill="auto"/>
              </w:rPr>
            </w:pPr>
            <w:r>
              <w:rPr>
                <w:rFonts w:ascii="宋体" w:cs="宋体" w:hint="eastAsia"/>
                <w:kern w:val="0"/>
                <w:sz w:val="20"/>
                <w:szCs w:val="20"/>
                <w:shd w:val="clear" w:color="auto" w:fill="auto"/>
              </w:rPr>
              <w:t>法人或其他组织</w:t>
            </w:r>
          </w:p>
        </w:tc>
        <w:tc>
          <w:tcPr>
            <w:tcW w:w="682" w:type="dxa"/>
            <w:vMerge w:val="restart"/>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hd w:val="clear" w:color="auto" w:fill="auto"/>
              </w:rPr>
            </w:pPr>
            <w:r>
              <w:rPr>
                <w:rFonts w:ascii="宋体" w:cs="宋体" w:hint="eastAsia"/>
                <w:kern w:val="0"/>
                <w:sz w:val="20"/>
                <w:szCs w:val="20"/>
                <w:shd w:val="clear" w:color="auto" w:fill="auto"/>
              </w:rPr>
              <w:t>总计</w:t>
            </w:r>
          </w:p>
        </w:tc>
      </w:tr>
      <w:tr>
        <w:trPr>
          <w:trHeight w:val="649"/>
          <w:tblHeader/>
        </w:trPr>
        <w:tc>
          <w:tcPr>
            <w:tcW w:w="10578" w:type="dxa"/>
            <w:gridSpan w:val="3"/>
            <w:vMerge/>
            <w:tcBorders>
              <w:top w:val="single" w:sz="8" w:space="0" w:color="auto"/>
              <w:left w:val="single" w:sz="8" w:space="0" w:color="auto"/>
              <w:bottom w:val="single" w:sz="8" w:space="0" w:color="auto"/>
              <w:right w:val="single" w:sz="8" w:space="0" w:color="auto"/>
            </w:tcBorders>
            <w:vAlign w:val="center"/>
          </w:tcPr>
          <w:p/>
        </w:tc>
        <w:tc>
          <w:tcPr>
            <w:tcW w:w="4769" w:type="dxa"/>
            <w:vMerge/>
            <w:tcBorders>
              <w:top w:val="nil"/>
              <w:left w:val="nil"/>
              <w:bottom w:val="single" w:sz="8" w:space="0" w:color="auto"/>
              <w:right w:val="single" w:sz="8" w:space="0" w:color="auto"/>
            </w:tcBorders>
            <w:vAlign w:val="center"/>
          </w:tcP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rFonts w:ascii="Times New Roman" w:eastAsia="宋体" w:cs="Times New Roman" w:hAnsi="Times New Roman"/>
                <w:sz w:val="30"/>
                <w:szCs w:val="30"/>
                <w:shd w:val="clear" w:color="auto" w:fill="auto"/>
              </w:rPr>
            </w:pPr>
            <w:r>
              <w:rPr>
                <w:rFonts w:ascii="宋体" w:cs="宋体" w:hint="eastAsia"/>
                <w:kern w:val="0"/>
                <w:sz w:val="20"/>
                <w:szCs w:val="20"/>
                <w:shd w:val="clear" w:color="auto" w:fill="auto"/>
              </w:rPr>
              <w:t>商业企业</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hd w:val="clear" w:color="auto" w:fill="auto"/>
              </w:rPr>
            </w:pPr>
            <w:r>
              <w:rPr>
                <w:rFonts w:ascii="宋体" w:cs="宋体" w:hint="eastAsia"/>
                <w:kern w:val="0"/>
                <w:sz w:val="20"/>
                <w:szCs w:val="20"/>
                <w:shd w:val="clear" w:color="auto" w:fill="auto"/>
              </w:rPr>
              <w:t>科研机构</w:t>
            </w:r>
          </w:p>
        </w:tc>
        <w:tc>
          <w:tcPr>
            <w:tcW w:w="765"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hd w:val="clear" w:color="auto" w:fill="auto"/>
              </w:rPr>
            </w:pPr>
            <w:r>
              <w:rPr>
                <w:rFonts w:ascii="宋体" w:cs="宋体" w:hint="eastAsia"/>
                <w:kern w:val="0"/>
                <w:sz w:val="20"/>
                <w:szCs w:val="20"/>
                <w:shd w:val="clear" w:color="auto" w:fill="auto"/>
              </w:rPr>
              <w:t>社会公益组织</w:t>
            </w:r>
          </w:p>
        </w:tc>
        <w:tc>
          <w:tcPr>
            <w:tcW w:w="765"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hd w:val="clear" w:color="auto" w:fill="auto"/>
              </w:rPr>
            </w:pPr>
            <w:r>
              <w:rPr>
                <w:rFonts w:ascii="宋体" w:cs="宋体" w:hint="eastAsia"/>
                <w:kern w:val="0"/>
                <w:sz w:val="20"/>
                <w:szCs w:val="20"/>
                <w:shd w:val="clear" w:color="auto" w:fill="auto"/>
              </w:rPr>
              <w:t>法律服务机构</w:t>
            </w:r>
          </w:p>
        </w:tc>
        <w:tc>
          <w:tcPr>
            <w:tcW w:w="497"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hd w:val="clear" w:color="auto" w:fill="auto"/>
              </w:rPr>
            </w:pPr>
            <w:r>
              <w:rPr>
                <w:rFonts w:ascii="宋体" w:cs="宋体" w:hint="eastAsia"/>
                <w:kern w:val="0"/>
                <w:sz w:val="20"/>
                <w:szCs w:val="20"/>
                <w:shd w:val="clear" w:color="auto" w:fill="auto"/>
              </w:rPr>
              <w:t>其他</w:t>
            </w:r>
          </w:p>
        </w:tc>
        <w:tc>
          <w:tcPr>
            <w:tcW w:w="682" w:type="dxa"/>
            <w:vMerge/>
            <w:tcBorders>
              <w:top w:val="single" w:sz="8" w:space="0" w:color="auto"/>
              <w:left w:val="nil"/>
              <w:bottom w:val="single" w:sz="8" w:space="0" w:color="auto"/>
              <w:right w:val="single" w:sz="8" w:space="0" w:color="auto"/>
            </w:tcBorders>
            <w:vAlign w:val="center"/>
          </w:tcPr>
          <w:p/>
        </w:tc>
      </w:tr>
      <w:tr>
        <w:tc>
          <w:tcPr>
            <w:tcW w:w="4302" w:type="dxa"/>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pPr>
              <w:pStyle w:val="18"/>
              <w:widowControl/>
              <w:shd w:val="clear" w:color="auto" w:fill="auto"/>
              <w:autoSpaceDN w:val="0"/>
              <w:spacing w:line="560" w:lineRule="exact"/>
              <w:jc w:val="left"/>
              <w:rPr>
                <w:sz w:val="24"/>
                <w:szCs w:val="24"/>
                <w:shd w:val="clear" w:color="auto" w:fill="auto"/>
              </w:rPr>
            </w:pPr>
            <w:r>
              <w:rPr>
                <w:rFonts w:ascii="宋体" w:cs="宋体" w:hint="eastAsia"/>
                <w:kern w:val="0"/>
                <w:sz w:val="24"/>
                <w:szCs w:val="24"/>
                <w:shd w:val="clear" w:color="auto" w:fill="auto"/>
              </w:rPr>
              <w:t>一、本年新收政府信息公开申请数量</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r>
      <w:tr>
        <w:tc>
          <w:tcPr>
            <w:tcW w:w="4302" w:type="dxa"/>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pPr>
              <w:pStyle w:val="18"/>
              <w:widowControl/>
              <w:shd w:val="clear" w:color="auto" w:fill="auto"/>
              <w:autoSpaceDN w:val="0"/>
              <w:spacing w:line="560" w:lineRule="exact"/>
              <w:jc w:val="left"/>
              <w:rPr>
                <w:sz w:val="24"/>
                <w:szCs w:val="24"/>
                <w:shd w:val="clear" w:color="auto" w:fill="auto"/>
              </w:rPr>
            </w:pPr>
            <w:r>
              <w:rPr>
                <w:rFonts w:ascii="宋体" w:cs="宋体" w:hint="eastAsia"/>
                <w:kern w:val="0"/>
                <w:sz w:val="24"/>
                <w:szCs w:val="24"/>
                <w:shd w:val="clear" w:color="auto" w:fill="auto"/>
              </w:rPr>
              <w:t>二、上年结转政府信息公开申请数量</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r>
      <w:tr>
        <w:tc>
          <w:tcPr>
            <w:tcW w:w="696" w:type="dxa"/>
            <w:vMerge w:val="restart"/>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三、本年度办理结果</w:t>
            </w:r>
          </w:p>
        </w:tc>
        <w:tc>
          <w:tcPr>
            <w:tcW w:w="3606" w:type="dxa"/>
            <w:gridSpan w:val="2"/>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left"/>
              <w:rPr>
                <w:sz w:val="24"/>
                <w:szCs w:val="24"/>
                <w:shd w:val="clear" w:color="auto" w:fill="auto"/>
              </w:rPr>
            </w:pPr>
            <w:r>
              <w:rPr>
                <w:rFonts w:ascii="楷体" w:eastAsia="楷体" w:cs="楷体" w:hint="eastAsia"/>
                <w:kern w:val="0"/>
                <w:sz w:val="24"/>
                <w:szCs w:val="24"/>
                <w:shd w:val="clear" w:color="auto" w:fill="auto"/>
              </w:rPr>
              <w:t>（一）予以公开</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gridSpan w:val="2"/>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left"/>
              <w:rPr>
                <w:sz w:val="24"/>
                <w:szCs w:val="24"/>
                <w:shd w:val="clear" w:color="auto" w:fill="auto"/>
              </w:rPr>
            </w:pPr>
            <w:r>
              <w:rPr>
                <w:rFonts w:ascii="楷体" w:eastAsia="楷体" w:cs="楷体" w:hint="eastAsia"/>
                <w:kern w:val="0"/>
                <w:sz w:val="24"/>
                <w:szCs w:val="24"/>
                <w:shd w:val="clear" w:color="auto" w:fill="auto"/>
              </w:rPr>
              <w:t>（二）部分公开（区分处理的，只计这一情形，不计其他情形）</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r>
      <w:tr>
        <w:tc>
          <w:tcPr>
            <w:tcW w:w="4302" w:type="dxa"/>
            <w:vMerge/>
            <w:tcBorders>
              <w:top w:val="nil"/>
              <w:left w:val="single" w:sz="8" w:space="0" w:color="auto"/>
              <w:bottom w:val="single" w:sz="8" w:space="0" w:color="auto"/>
              <w:right w:val="single" w:sz="8" w:space="0" w:color="auto"/>
            </w:tcBorders>
            <w:vAlign w:val="center"/>
          </w:tcPr>
          <w:p/>
        </w:tc>
        <w:tc>
          <w:tcPr>
            <w:tcW w:w="936" w:type="dxa"/>
            <w:vMerge w:val="restart"/>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rPr>
                <w:sz w:val="24"/>
                <w:szCs w:val="24"/>
                <w:shd w:val="clear" w:color="auto" w:fill="auto"/>
              </w:rPr>
            </w:pPr>
            <w:r>
              <w:rPr>
                <w:rFonts w:ascii="楷体" w:eastAsia="楷体" w:cs="楷体" w:hint="eastAsia"/>
                <w:kern w:val="0"/>
                <w:sz w:val="24"/>
                <w:szCs w:val="24"/>
                <w:shd w:val="clear" w:color="auto" w:fill="auto"/>
              </w:rPr>
              <w:t>（三）不予公开</w:t>
            </w: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46"/>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1.属于国家秘密</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47"/>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2.其他法律行政法规禁止公开</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shd w:val="clear" w:color="auto" w:fill="auto"/>
              <w:autoSpaceDN w:val="0"/>
              <w:spacing w:before="0" w:beforeAutospacing="0" w:after="0" w:afterAutospacing="0" w:line="560" w:lineRule="exact"/>
              <w:jc w:val="center"/>
              <w:rPr>
                <w:rFonts w:eastAsia="方正仿宋_GBK"/>
                <w:shd w:val="clear" w:color="auto" w:fill="auto"/>
              </w:rPr>
            </w:pPr>
            <w:r>
              <w:rPr>
                <w:rFonts w:eastAsia="方正仿宋_GBK"/>
                <w:shd w:val="clear" w:color="auto" w:fill="auto"/>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48"/>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3.危及“三安全一稳定”</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shd w:val="clear" w:color="auto" w:fill="auto"/>
              <w:autoSpaceDN w:val="0"/>
              <w:spacing w:before="0" w:beforeAutospacing="0" w:after="0" w:afterAutospacing="0" w:line="560" w:lineRule="exact"/>
              <w:jc w:val="center"/>
              <w:rPr>
                <w:rFonts w:eastAsia="方正仿宋_GBK"/>
                <w:shd w:val="clear" w:color="auto" w:fill="auto"/>
              </w:rPr>
            </w:pPr>
            <w:r>
              <w:rPr>
                <w:rFonts w:eastAsia="方正仿宋_GBK"/>
                <w:shd w:val="clear" w:color="auto" w:fill="auto"/>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49"/>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4.保护第三方合法权益</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shd w:val="clear" w:color="auto" w:fill="auto"/>
              <w:autoSpaceDN w:val="0"/>
              <w:spacing w:before="0" w:beforeAutospacing="0" w:after="0" w:afterAutospacing="0" w:line="560" w:lineRule="exact"/>
              <w:jc w:val="center"/>
              <w:rPr>
                <w:rFonts w:eastAsia="方正仿宋_GBK"/>
                <w:shd w:val="clear" w:color="auto" w:fill="auto"/>
              </w:rPr>
            </w:pPr>
            <w:r>
              <w:rPr>
                <w:rFonts w:eastAsia="方正仿宋_GBK"/>
                <w:shd w:val="clear" w:color="auto" w:fill="auto"/>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50"/>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5.属于三类内部事务信息</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51"/>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6.属于四类过程性信息</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shd w:val="clear" w:color="auto" w:fill="auto"/>
              <w:autoSpaceDN w:val="0"/>
              <w:spacing w:before="0" w:beforeAutospacing="0" w:after="0" w:afterAutospacing="0" w:line="560" w:lineRule="exact"/>
              <w:jc w:val="center"/>
              <w:rPr>
                <w:rFonts w:eastAsia="方正仿宋_GBK"/>
                <w:shd w:val="clear" w:color="auto" w:fill="auto"/>
              </w:rPr>
            </w:pPr>
            <w:r>
              <w:rPr>
                <w:rFonts w:eastAsia="方正仿宋_GBK"/>
                <w:shd w:val="clear" w:color="auto" w:fill="auto"/>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52"/>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7.属于行政执法案卷</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shd w:val="clear" w:color="auto" w:fill="auto"/>
              <w:autoSpaceDN w:val="0"/>
              <w:spacing w:before="0" w:beforeAutospacing="0" w:after="0" w:afterAutospacing="0" w:line="560" w:lineRule="exact"/>
              <w:jc w:val="center"/>
              <w:rPr>
                <w:rFonts w:eastAsia="方正仿宋_GBK"/>
                <w:shd w:val="clear" w:color="auto" w:fill="auto"/>
              </w:rPr>
            </w:pPr>
            <w:r>
              <w:rPr>
                <w:rFonts w:eastAsia="方正仿宋_GBK"/>
                <w:shd w:val="clear" w:color="auto" w:fill="auto"/>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53"/>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8.属于行政查询事项</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shd w:val="clear" w:color="auto" w:fill="auto"/>
              <w:autoSpaceDN w:val="0"/>
              <w:spacing w:before="0" w:beforeAutospacing="0" w:after="0" w:afterAutospacing="0" w:line="560" w:lineRule="exact"/>
              <w:jc w:val="center"/>
              <w:rPr>
                <w:rFonts w:eastAsia="方正仿宋_GBK"/>
                <w:shd w:val="clear" w:color="auto" w:fill="auto"/>
              </w:rPr>
            </w:pPr>
            <w:r>
              <w:rPr>
                <w:rFonts w:eastAsia="方正仿宋_GBK"/>
                <w:shd w:val="clear" w:color="auto" w:fill="auto"/>
              </w:rPr>
              <w:t>0</w:t>
            </w:r>
          </w:p>
        </w:tc>
      </w:tr>
      <w:tr>
        <w:tc>
          <w:tcPr>
            <w:tcW w:w="4302" w:type="dxa"/>
            <w:vMerge/>
            <w:tcBorders>
              <w:top w:val="nil"/>
              <w:left w:val="single" w:sz="8" w:space="0" w:color="auto"/>
              <w:bottom w:val="single" w:sz="8" w:space="0" w:color="auto"/>
              <w:right w:val="single" w:sz="8" w:space="0" w:color="auto"/>
            </w:tcBorders>
            <w:vAlign w:val="center"/>
          </w:tcPr>
          <w:p/>
        </w:tc>
        <w:tc>
          <w:tcPr>
            <w:tcW w:w="936" w:type="dxa"/>
            <w:vMerge w:val="restart"/>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rPr>
                <w:sz w:val="24"/>
                <w:szCs w:val="24"/>
                <w:shd w:val="clear" w:color="auto" w:fill="auto"/>
              </w:rPr>
            </w:pPr>
            <w:r>
              <w:rPr>
                <w:rFonts w:ascii="楷体" w:eastAsia="楷体" w:cs="楷体" w:hint="eastAsia"/>
                <w:kern w:val="0"/>
                <w:sz w:val="24"/>
                <w:szCs w:val="24"/>
                <w:shd w:val="clear" w:color="auto" w:fill="auto"/>
              </w:rPr>
              <w:t>（四）无法提供</w:t>
            </w: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54"/>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1.本机关不掌握相关政府信息</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55"/>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2.没有现成信息需要另行制作</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shd w:val="clear" w:color="auto" w:fill="auto"/>
              <w:autoSpaceDN w:val="0"/>
              <w:spacing w:before="0" w:beforeAutospacing="0" w:after="0" w:afterAutospacing="0" w:line="560" w:lineRule="exact"/>
              <w:jc w:val="center"/>
              <w:rPr>
                <w:rFonts w:eastAsia="方正仿宋_GBK"/>
                <w:shd w:val="clear" w:color="auto" w:fill="auto"/>
              </w:rPr>
            </w:pPr>
            <w:r>
              <w:rPr>
                <w:rFonts w:eastAsia="方正仿宋_GBK"/>
                <w:shd w:val="clear" w:color="auto" w:fill="auto"/>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56"/>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3.补正后申请内容仍不明确</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shd w:val="clear" w:color="auto" w:fill="auto"/>
              <w:autoSpaceDN w:val="0"/>
              <w:spacing w:before="0" w:beforeAutospacing="0" w:after="0" w:afterAutospacing="0" w:line="560" w:lineRule="exact"/>
              <w:jc w:val="center"/>
              <w:rPr>
                <w:rFonts w:eastAsia="方正仿宋_GBK"/>
                <w:shd w:val="clear" w:color="auto" w:fill="auto"/>
              </w:rPr>
            </w:pPr>
            <w:r>
              <w:rPr>
                <w:rFonts w:eastAsia="方正仿宋_GBK"/>
                <w:shd w:val="clear" w:color="auto" w:fill="auto"/>
              </w:rPr>
              <w:t>0</w:t>
            </w:r>
          </w:p>
        </w:tc>
      </w:tr>
      <w:tr>
        <w:tc>
          <w:tcPr>
            <w:tcW w:w="4302" w:type="dxa"/>
            <w:vMerge/>
            <w:tcBorders>
              <w:top w:val="nil"/>
              <w:left w:val="single" w:sz="8" w:space="0" w:color="auto"/>
              <w:bottom w:val="single" w:sz="8" w:space="0" w:color="auto"/>
              <w:right w:val="single" w:sz="8" w:space="0" w:color="auto"/>
            </w:tcBorders>
            <w:vAlign w:val="center"/>
          </w:tcPr>
          <w:p/>
        </w:tc>
        <w:tc>
          <w:tcPr>
            <w:tcW w:w="936" w:type="dxa"/>
            <w:vMerge w:val="restart"/>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rPr>
                <w:sz w:val="24"/>
                <w:szCs w:val="24"/>
                <w:shd w:val="clear" w:color="auto" w:fill="auto"/>
              </w:rPr>
            </w:pPr>
            <w:r>
              <w:rPr>
                <w:rFonts w:ascii="楷体" w:eastAsia="楷体" w:cs="楷体" w:hint="eastAsia"/>
                <w:kern w:val="0"/>
                <w:sz w:val="24"/>
                <w:szCs w:val="24"/>
                <w:shd w:val="clear" w:color="auto" w:fill="auto"/>
              </w:rPr>
              <w:t>（五）不予处理</w:t>
            </w: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57"/>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1.信访举报投诉类申请</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shd w:val="clear" w:color="auto" w:fill="auto"/>
              <w:autoSpaceDN w:val="0"/>
              <w:spacing w:before="0" w:beforeAutospacing="0" w:after="0" w:afterAutospacing="0" w:line="560" w:lineRule="exact"/>
              <w:jc w:val="center"/>
              <w:rPr>
                <w:rFonts w:eastAsia="方正仿宋_GBK"/>
                <w:shd w:val="clear" w:color="auto" w:fill="auto"/>
              </w:rPr>
            </w:pPr>
            <w:r>
              <w:rPr>
                <w:rFonts w:eastAsia="方正仿宋_GBK"/>
                <w:shd w:val="clear" w:color="auto" w:fill="auto"/>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58"/>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2.重复申请</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6"/>
              <w:shd w:val="clear" w:color="auto" w:fill="auto"/>
              <w:autoSpaceDN w:val="0"/>
              <w:jc w:val="center"/>
              <w:rPr>
                <w:sz w:val="24"/>
                <w:szCs w:val="24"/>
                <w:shd w:val="clear" w:color="auto" w:fill="auto"/>
              </w:rPr>
            </w:pPr>
            <w:r>
              <w:rPr>
                <w:sz w:val="24"/>
                <w:szCs w:val="24"/>
                <w:shd w:val="clear" w:color="auto" w:fill="auto"/>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59"/>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3.要求提供公开出版物</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shd w:val="clear" w:color="auto" w:fill="auto"/>
              <w:autoSpaceDN w:val="0"/>
              <w:spacing w:before="0" w:beforeAutospacing="0" w:after="0" w:afterAutospacing="0" w:line="560" w:lineRule="exact"/>
              <w:jc w:val="center"/>
              <w:rPr>
                <w:rFonts w:eastAsia="方正仿宋_GBK"/>
                <w:shd w:val="clear" w:color="auto" w:fill="auto"/>
              </w:rPr>
            </w:pPr>
            <w:r>
              <w:rPr>
                <w:rFonts w:eastAsia="方正仿宋_GBK"/>
                <w:shd w:val="clear" w:color="auto" w:fill="auto"/>
              </w:rPr>
              <w:t>0</w:t>
            </w:r>
          </w:p>
        </w:tc>
      </w:tr>
      <w:tr>
        <w:trPr>
          <w:trHeight w:val="810"/>
        </w:trP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60"/>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4.无正当理由大量反复申请</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61"/>
              <w:widowControl/>
              <w:shd w:val="clear" w:color="auto" w:fill="auto"/>
              <w:rPr>
                <w:color w:val="auto"/>
                <w:sz w:val="24"/>
                <w:szCs w:val="24"/>
                <w:shd w:val="clear" w:color="auto" w:fill="auto"/>
              </w:rPr>
            </w:pPr>
            <w:r>
              <w:rPr>
                <w:rFonts w:ascii="楷体" w:eastAsia="楷体" w:cs="楷体" w:hint="eastAsia"/>
                <w:color w:val="auto"/>
                <w:kern w:val="0"/>
                <w:sz w:val="24"/>
                <w:szCs w:val="24"/>
                <w:shd w:val="clear" w:color="auto" w:fill="auto"/>
                <w:lang w:bidi="ar-SA"/>
              </w:rPr>
              <w:t>5.要求行政机关确认或重新出具已获取信息</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shd w:val="clear" w:color="auto" w:fill="auto"/>
              <w:autoSpaceDN w:val="0"/>
              <w:spacing w:before="0" w:beforeAutospacing="0" w:after="0" w:afterAutospacing="0" w:line="560" w:lineRule="exact"/>
              <w:jc w:val="center"/>
              <w:rPr>
                <w:rFonts w:eastAsia="方正仿宋_GBK"/>
                <w:shd w:val="clear" w:color="auto" w:fill="auto"/>
              </w:rPr>
            </w:pPr>
            <w:r>
              <w:rPr>
                <w:rFonts w:eastAsia="方正仿宋_GBK"/>
                <w:shd w:val="clear" w:color="auto" w:fill="auto"/>
              </w:rPr>
              <w:t>0</w:t>
            </w:r>
          </w:p>
        </w:tc>
      </w:tr>
      <w:tr>
        <w:trPr>
          <w:trHeight w:val="567"/>
        </w:trPr>
        <w:tc>
          <w:tcPr>
            <w:tcW w:w="4302" w:type="dxa"/>
            <w:vMerge/>
            <w:tcBorders>
              <w:top w:val="nil"/>
              <w:left w:val="single" w:sz="8" w:space="0" w:color="auto"/>
              <w:bottom w:val="single" w:sz="8" w:space="0" w:color="auto"/>
              <w:right w:val="single" w:sz="8" w:space="0" w:color="auto"/>
            </w:tcBorders>
            <w:vAlign w:val="center"/>
          </w:tcPr>
          <w:p/>
        </w:tc>
        <w:tc>
          <w:tcPr>
            <w:tcW w:w="936" w:type="dxa"/>
            <w:vMerge w:val="restart"/>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rPr>
                <w:sz w:val="24"/>
                <w:szCs w:val="24"/>
                <w:shd w:val="clear" w:color="auto" w:fill="auto"/>
              </w:rPr>
            </w:pPr>
            <w:r>
              <w:rPr>
                <w:rFonts w:ascii="楷体" w:eastAsia="楷体" w:cs="楷体" w:hint="eastAsia"/>
                <w:kern w:val="0"/>
                <w:sz w:val="24"/>
                <w:szCs w:val="24"/>
                <w:shd w:val="clear" w:color="auto" w:fill="auto"/>
              </w:rPr>
              <w:t>（六）其他处理</w:t>
            </w:r>
          </w:p>
        </w:tc>
        <w:tc>
          <w:tcPr>
            <w:tcW w:w="2670" w:type="dxa"/>
            <w:tcBorders>
              <w:top w:val="nil"/>
              <w:left w:val="single" w:sz="8" w:space="0" w:color="auto"/>
              <w:bottom w:val="single" w:sz="8" w:space="0" w:color="auto"/>
              <w:right w:val="single" w:sz="8" w:space="0" w:color="auto"/>
            </w:tcBorders>
            <w:shd w:val="clear" w:color="auto" w:fill="auto"/>
            <w:tcMar>
              <w:left w:w="108" w:type="dxa"/>
              <w:right w:w="108" w:type="dxa"/>
            </w:tcMar>
          </w:tcPr>
          <w:p>
            <w:pPr>
              <w:pStyle w:val="62"/>
              <w:widowControl/>
              <w:shd w:val="clear" w:color="auto" w:fill="auto"/>
              <w:rPr>
                <w:rFonts w:ascii="楷体" w:eastAsia="楷体" w:cs="楷体" w:hint="eastAsia"/>
                <w:kern w:val="0"/>
                <w:sz w:val="24"/>
                <w:szCs w:val="24"/>
                <w:shd w:val="clear" w:color="auto" w:fill="auto"/>
                <w:lang w:bidi="ar-SA"/>
              </w:rPr>
            </w:pPr>
            <w:r>
              <w:rPr>
                <w:rFonts w:ascii="楷体" w:eastAsia="楷体" w:cs="楷体" w:hint="eastAsia"/>
                <w:kern w:val="0"/>
                <w:sz w:val="24"/>
                <w:szCs w:val="24"/>
                <w:shd w:val="clear" w:color="auto" w:fill="auto"/>
                <w:lang w:bidi="ar-SA"/>
              </w:rPr>
              <w:t>1.申请人无正当理由逾期不补正、行政机关不再处理其政府信息公开申请</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shd w:val="clear" w:color="auto" w:fill="auto"/>
              <w:autoSpaceDN w:val="0"/>
              <w:spacing w:before="0" w:beforeAutospacing="0" w:after="0" w:afterAutospacing="0" w:line="560" w:lineRule="exact"/>
              <w:jc w:val="center"/>
              <w:rPr>
                <w:rFonts w:eastAsia="方正仿宋_GBK"/>
                <w:shd w:val="clear" w:color="auto" w:fill="auto"/>
              </w:rPr>
            </w:pPr>
            <w:r>
              <w:rPr>
                <w:rFonts w:eastAsia="方正仿宋_GBK"/>
                <w:shd w:val="clear" w:color="auto" w:fill="auto"/>
              </w:rPr>
              <w:t>0</w:t>
            </w:r>
          </w:p>
        </w:tc>
      </w:tr>
      <w:tr>
        <w:trPr>
          <w:trHeight w:val="567"/>
        </w:trP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single" w:sz="8" w:space="0" w:color="auto"/>
              <w:bottom w:val="single" w:sz="8" w:space="0" w:color="auto"/>
              <w:right w:val="single" w:sz="8" w:space="0" w:color="auto"/>
            </w:tcBorders>
            <w:shd w:val="clear" w:color="auto" w:fill="auto"/>
          </w:tcPr>
          <w:p>
            <w:pPr>
              <w:pStyle w:val="63"/>
              <w:widowControl/>
              <w:shd w:val="clear" w:color="auto" w:fill="auto"/>
              <w:rPr>
                <w:rFonts w:ascii="楷体" w:eastAsia="楷体" w:cs="楷体" w:hint="eastAsia"/>
                <w:kern w:val="0"/>
                <w:sz w:val="24"/>
                <w:szCs w:val="24"/>
                <w:shd w:val="clear" w:color="auto" w:fill="auto"/>
                <w:lang w:bidi="ar-SA"/>
              </w:rPr>
            </w:pPr>
            <w:r>
              <w:rPr>
                <w:rFonts w:ascii="楷体" w:eastAsia="楷体" w:cs="楷体" w:hint="eastAsia"/>
                <w:kern w:val="0"/>
                <w:sz w:val="24"/>
                <w:szCs w:val="24"/>
                <w:shd w:val="clear" w:color="auto" w:fill="auto"/>
                <w:lang w:bidi="ar-SA"/>
              </w:rPr>
              <w:t>2.申请人逾期未按收费通知要求缴纳费用、行政机关不再处理其政府信息公开申请</w:t>
            </w:r>
          </w:p>
        </w:tc>
        <w:tc>
          <w:tcPr>
            <w:tcW w:w="635" w:type="dxa"/>
            <w:tcBorders>
              <w:top w:val="nil"/>
              <w:left w:val="nil"/>
              <w:bottom w:val="single" w:sz="8" w:space="0" w:color="auto"/>
              <w:right w:val="single" w:sz="8" w:space="0" w:color="auto"/>
            </w:tcBorders>
            <w:shd w:val="clear" w:color="auto" w:fill="auto"/>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vAlign w:val="center"/>
          </w:tcPr>
          <w:p>
            <w:pPr>
              <w:pStyle w:val="15"/>
              <w:shd w:val="clear" w:color="auto" w:fill="auto"/>
              <w:autoSpaceDN w:val="0"/>
              <w:spacing w:before="0" w:beforeAutospacing="0" w:after="0" w:afterAutospacing="0" w:line="560" w:lineRule="exact"/>
              <w:jc w:val="center"/>
              <w:rPr>
                <w:rFonts w:eastAsia="方正仿宋_GBK"/>
                <w:shd w:val="clear" w:color="auto" w:fill="auto"/>
              </w:rPr>
            </w:pPr>
            <w:r>
              <w:rPr>
                <w:rFonts w:eastAsia="方正仿宋_GBK"/>
                <w:shd w:val="clear" w:color="auto" w:fill="auto"/>
              </w:rPr>
              <w:t>0</w:t>
            </w:r>
          </w:p>
        </w:tc>
      </w:tr>
      <w:tr>
        <w:trPr>
          <w:trHeight w:val="567"/>
        </w:trP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single" w:sz="8" w:space="0" w:color="auto"/>
              <w:bottom w:val="single" w:sz="8" w:space="0" w:color="auto"/>
              <w:right w:val="single" w:sz="8" w:space="0" w:color="auto"/>
            </w:tcBorders>
            <w:shd w:val="clear" w:color="auto" w:fill="auto"/>
          </w:tcPr>
          <w:p>
            <w:pPr>
              <w:pStyle w:val="18"/>
              <w:widowControl/>
              <w:shd w:val="clear" w:color="auto" w:fill="auto"/>
              <w:autoSpaceDN w:val="0"/>
              <w:spacing w:line="560" w:lineRule="exact"/>
              <w:rPr>
                <w:rFonts w:ascii="楷体" w:eastAsia="楷体" w:cs="楷体"/>
                <w:kern w:val="0"/>
                <w:sz w:val="24"/>
                <w:szCs w:val="24"/>
                <w:shd w:val="clear" w:color="auto" w:fill="auto"/>
              </w:rPr>
            </w:pPr>
            <w:r>
              <w:rPr>
                <w:rFonts w:ascii="楷体" w:eastAsia="楷体" w:cs="楷体" w:hint="eastAsia"/>
                <w:kern w:val="0"/>
                <w:sz w:val="24"/>
                <w:szCs w:val="24"/>
                <w:shd w:val="clear" w:color="auto" w:fill="auto"/>
              </w:rPr>
              <w:t>3.咨询事项，指引咨询渠道</w:t>
            </w:r>
          </w:p>
        </w:tc>
        <w:tc>
          <w:tcPr>
            <w:tcW w:w="635" w:type="dxa"/>
            <w:tcBorders>
              <w:top w:val="nil"/>
              <w:left w:val="nil"/>
              <w:bottom w:val="single" w:sz="8" w:space="0" w:color="auto"/>
              <w:right w:val="single" w:sz="8" w:space="0" w:color="auto"/>
            </w:tcBorders>
            <w:shd w:val="clear" w:color="auto" w:fill="auto"/>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r>
      <w:tr>
        <w:trPr>
          <w:trHeight w:val="567"/>
        </w:trP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single" w:sz="8" w:space="0" w:color="auto"/>
              <w:bottom w:val="single" w:sz="8" w:space="0" w:color="auto"/>
              <w:right w:val="single" w:sz="8" w:space="0" w:color="auto"/>
            </w:tcBorders>
            <w:shd w:val="clear" w:color="auto" w:fill="auto"/>
          </w:tcPr>
          <w:p>
            <w:pPr>
              <w:pStyle w:val="18"/>
              <w:widowControl/>
              <w:shd w:val="clear" w:color="auto" w:fill="auto"/>
              <w:autoSpaceDN w:val="0"/>
              <w:spacing w:line="560" w:lineRule="exact"/>
              <w:rPr>
                <w:rFonts w:ascii="楷体" w:eastAsia="楷体" w:cs="楷体"/>
                <w:kern w:val="0"/>
                <w:sz w:val="24"/>
                <w:szCs w:val="24"/>
                <w:shd w:val="clear" w:color="auto" w:fill="auto"/>
              </w:rPr>
            </w:pPr>
            <w:r>
              <w:rPr>
                <w:rFonts w:ascii="楷体" w:eastAsia="楷体" w:cs="楷体" w:hint="eastAsia"/>
                <w:kern w:val="0"/>
                <w:sz w:val="24"/>
                <w:szCs w:val="24"/>
                <w:shd w:val="clear" w:color="auto" w:fill="auto"/>
              </w:rPr>
              <w:t>4.申请人撤销申请</w:t>
            </w:r>
          </w:p>
        </w:tc>
        <w:tc>
          <w:tcPr>
            <w:tcW w:w="635" w:type="dxa"/>
            <w:tcBorders>
              <w:top w:val="nil"/>
              <w:left w:val="nil"/>
              <w:bottom w:val="single" w:sz="8" w:space="0" w:color="auto"/>
              <w:right w:val="single" w:sz="8" w:space="0" w:color="auto"/>
            </w:tcBorders>
            <w:shd w:val="clear" w:color="auto" w:fill="auto"/>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gridSpan w:val="2"/>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rPr>
                <w:sz w:val="24"/>
                <w:szCs w:val="24"/>
                <w:shd w:val="clear" w:color="auto" w:fill="auto"/>
              </w:rPr>
            </w:pPr>
            <w:r>
              <w:rPr>
                <w:rFonts w:ascii="楷体" w:eastAsia="楷体" w:cs="楷体" w:hint="eastAsia"/>
                <w:kern w:val="0"/>
                <w:sz w:val="24"/>
                <w:szCs w:val="24"/>
                <w:shd w:val="clear" w:color="auto" w:fill="auto"/>
              </w:rPr>
              <w:t>（七）总计</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r>
      <w:tr>
        <w:tc>
          <w:tcPr>
            <w:tcW w:w="4302" w:type="dxa"/>
            <w:gridSpan w:val="3"/>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left"/>
              <w:rPr>
                <w:shd w:val="clear" w:color="auto" w:fill="auto"/>
              </w:rPr>
            </w:pPr>
            <w:r>
              <w:rPr>
                <w:rFonts w:ascii="宋体" w:cs="宋体" w:hint="eastAsia"/>
                <w:kern w:val="0"/>
                <w:sz w:val="24"/>
                <w:szCs w:val="24"/>
                <w:shd w:val="clear" w:color="auto" w:fill="auto"/>
              </w:rPr>
              <w:t>四、结转下年度继续办理</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hd w:val="clear" w:color="auto" w:fill="auto"/>
              <w:autoSpaceDN w:val="0"/>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r>
    </w:tbl>
    <w:p>
      <w:pPr>
        <w:pStyle w:val="15"/>
        <w:widowControl/>
        <w:shd w:val="clear" w:color="auto" w:fill="auto"/>
        <w:autoSpaceDN w:val="0"/>
        <w:spacing w:before="0" w:beforeAutospacing="0" w:after="0" w:afterAutospacing="0" w:line="560" w:lineRule="exact"/>
        <w:ind w:firstLineChars="200" w:firstLine="640"/>
        <w:jc w:val="both"/>
        <w:rPr>
          <w:rFonts w:ascii="宋体" w:cs="宋体" w:hint="eastAsia"/>
          <w:shd w:val="clear" w:color="auto" w:fill="auto"/>
        </w:rPr>
      </w:pPr>
      <w:r>
        <w:rPr>
          <w:rFonts w:ascii="方正黑体_GBK" w:eastAsia="方正黑体_GBK" w:cs="楷体_GB2312" w:hint="eastAsia"/>
          <w:bCs/>
          <w:sz w:val="32"/>
          <w:szCs w:val="32"/>
          <w:shd w:val="clear" w:color="auto" w:fill="auto"/>
        </w:rPr>
        <w:t>四、政府信息公开行政复议、行政诉讼情况</w:t>
      </w:r>
    </w:p>
    <w:tbl>
      <w:tblPr>
        <w:jc w:val="center"/>
        <w:tblW w:w="9071"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604"/>
        <w:gridCol w:w="604"/>
        <w:gridCol w:w="604"/>
        <w:gridCol w:w="604"/>
        <w:gridCol w:w="658"/>
        <w:gridCol w:w="550"/>
        <w:gridCol w:w="605"/>
        <w:gridCol w:w="605"/>
        <w:gridCol w:w="605"/>
        <w:gridCol w:w="605"/>
        <w:gridCol w:w="605"/>
        <w:gridCol w:w="605"/>
        <w:gridCol w:w="605"/>
        <w:gridCol w:w="606"/>
        <w:gridCol w:w="606"/>
      </w:tblGrid>
      <w:tr>
        <w:tc>
          <w:tcPr>
            <w:tcW w:w="3074" w:type="dxa"/>
            <w:gridSpan w:val="5"/>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行政复议</w:t>
            </w:r>
          </w:p>
        </w:tc>
        <w:tc>
          <w:tcPr>
            <w:tcW w:w="5997" w:type="dxa"/>
            <w:gridSpan w:val="10"/>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行政诉讼</w:t>
            </w:r>
          </w:p>
        </w:tc>
      </w:tr>
      <w:tr>
        <w:tc>
          <w:tcPr>
            <w:tcW w:w="604" w:type="dxa"/>
            <w:vMerge w:val="restart"/>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结果维持</w:t>
            </w:r>
          </w:p>
        </w:tc>
        <w:tc>
          <w:tcPr>
            <w:tcW w:w="604" w:type="dxa"/>
            <w:vMerge w:val="restart"/>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结果纠正</w:t>
            </w:r>
          </w:p>
        </w:tc>
        <w:tc>
          <w:tcPr>
            <w:tcW w:w="604" w:type="dxa"/>
            <w:vMerge w:val="restart"/>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其他结果</w:t>
            </w:r>
          </w:p>
        </w:tc>
        <w:tc>
          <w:tcPr>
            <w:tcW w:w="604" w:type="dxa"/>
            <w:vMerge w:val="restart"/>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尚未审结</w:t>
            </w:r>
          </w:p>
        </w:tc>
        <w:tc>
          <w:tcPr>
            <w:tcW w:w="658" w:type="dxa"/>
            <w:vMerge w:val="restart"/>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总计</w:t>
            </w:r>
          </w:p>
        </w:tc>
        <w:tc>
          <w:tcPr>
            <w:tcW w:w="2970" w:type="dxa"/>
            <w:gridSpan w:val="5"/>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未经复议直接起诉</w:t>
            </w:r>
          </w:p>
        </w:tc>
        <w:tc>
          <w:tcPr>
            <w:tcW w:w="3027" w:type="dxa"/>
            <w:gridSpan w:val="5"/>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复议后起诉</w:t>
            </w:r>
          </w:p>
        </w:tc>
      </w:tr>
      <w:tr>
        <w:tc>
          <w:tcPr>
            <w:tcW w:w="604" w:type="dxa"/>
            <w:vMerge/>
            <w:tcBorders>
              <w:top w:val="nil"/>
              <w:left w:val="single" w:sz="8" w:space="0" w:color="auto"/>
              <w:bottom w:val="single" w:sz="8" w:space="0" w:color="auto"/>
              <w:right w:val="single" w:sz="8" w:space="0" w:color="auto"/>
            </w:tcBorders>
            <w:vAlign w:val="center"/>
          </w:tcPr>
          <w:p/>
        </w:tc>
        <w:tc>
          <w:tcPr>
            <w:tcW w:w="604" w:type="dxa"/>
            <w:vMerge/>
            <w:tcBorders>
              <w:top w:val="nil"/>
              <w:left w:val="nil"/>
              <w:bottom w:val="single" w:sz="8" w:space="0" w:color="auto"/>
              <w:right w:val="single" w:sz="8" w:space="0" w:color="auto"/>
            </w:tcBorders>
            <w:vAlign w:val="center"/>
          </w:tcPr>
          <w:p/>
        </w:tc>
        <w:tc>
          <w:tcPr>
            <w:tcW w:w="604" w:type="dxa"/>
            <w:vMerge/>
            <w:tcBorders>
              <w:top w:val="single" w:sz="8" w:space="0" w:color="auto"/>
              <w:left w:val="nil"/>
              <w:bottom w:val="single" w:sz="8" w:space="0" w:color="auto"/>
              <w:right w:val="single" w:sz="8" w:space="0" w:color="auto"/>
            </w:tcBorders>
            <w:vAlign w:val="center"/>
          </w:tcPr>
          <w:p/>
        </w:tc>
        <w:tc>
          <w:tcPr>
            <w:tcW w:w="604" w:type="dxa"/>
            <w:vMerge/>
            <w:tcBorders>
              <w:top w:val="single" w:sz="8" w:space="0" w:color="auto"/>
              <w:left w:val="nil"/>
              <w:bottom w:val="single" w:sz="8" w:space="0" w:color="auto"/>
              <w:right w:val="single" w:sz="8" w:space="0" w:color="auto"/>
            </w:tcBorders>
            <w:vAlign w:val="center"/>
          </w:tcPr>
          <w:p/>
        </w:tc>
        <w:tc>
          <w:tcPr>
            <w:tcW w:w="658" w:type="dxa"/>
            <w:vMerge/>
            <w:tcBorders>
              <w:top w:val="single" w:sz="8" w:space="0" w:color="auto"/>
              <w:left w:val="nil"/>
              <w:bottom w:val="single" w:sz="8" w:space="0" w:color="auto"/>
              <w:right w:val="single" w:sz="8" w:space="0" w:color="auto"/>
            </w:tcBorders>
            <w:vAlign w:val="center"/>
          </w:tcPr>
          <w:p/>
        </w:tc>
        <w:tc>
          <w:tcPr>
            <w:tcW w:w="5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结果维持</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结果纠正</w:t>
            </w:r>
          </w:p>
        </w:tc>
        <w:tc>
          <w:tcPr>
            <w:tcW w:w="605"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其他结果</w:t>
            </w:r>
          </w:p>
        </w:tc>
        <w:tc>
          <w:tcPr>
            <w:tcW w:w="605"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尚未审结</w:t>
            </w:r>
          </w:p>
        </w:tc>
        <w:tc>
          <w:tcPr>
            <w:tcW w:w="605"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总计</w:t>
            </w:r>
          </w:p>
        </w:tc>
        <w:tc>
          <w:tcPr>
            <w:tcW w:w="605"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结果维持</w:t>
            </w:r>
          </w:p>
        </w:tc>
        <w:tc>
          <w:tcPr>
            <w:tcW w:w="605"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结果纠正</w:t>
            </w:r>
          </w:p>
        </w:tc>
        <w:tc>
          <w:tcPr>
            <w:tcW w:w="605"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其他结果</w:t>
            </w:r>
          </w:p>
        </w:tc>
        <w:tc>
          <w:tcPr>
            <w:tcW w:w="606"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尚未审结</w:t>
            </w:r>
          </w:p>
        </w:tc>
        <w:tc>
          <w:tcPr>
            <w:tcW w:w="606"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4"/>
                <w:szCs w:val="24"/>
                <w:shd w:val="clear" w:color="auto" w:fill="auto"/>
              </w:rPr>
            </w:pPr>
            <w:r>
              <w:rPr>
                <w:rFonts w:ascii="宋体" w:cs="宋体" w:hint="eastAsia"/>
                <w:kern w:val="0"/>
                <w:sz w:val="24"/>
                <w:szCs w:val="24"/>
                <w:shd w:val="clear" w:color="auto" w:fill="auto"/>
              </w:rPr>
              <w:t>总计</w:t>
            </w:r>
          </w:p>
        </w:tc>
      </w:tr>
      <w:tr>
        <w:trPr>
          <w:trHeight w:val="862"/>
        </w:trPr>
        <w:tc>
          <w:tcPr>
            <w:tcW w:w="604"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8"/>
                <w:szCs w:val="28"/>
                <w:shd w:val="clear" w:color="auto" w:fill="auto"/>
              </w:rPr>
            </w:pPr>
            <w:r>
              <w:rPr>
                <w:sz w:val="28"/>
                <w:szCs w:val="28"/>
                <w:shd w:val="clear" w:color="auto" w:fill="auto"/>
              </w:rPr>
              <w:t>0</w:t>
            </w:r>
          </w:p>
        </w:tc>
        <w:tc>
          <w:tcPr>
            <w:tcW w:w="604"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8"/>
                <w:szCs w:val="28"/>
                <w:shd w:val="clear" w:color="auto" w:fill="auto"/>
              </w:rPr>
            </w:pPr>
            <w:r>
              <w:rPr>
                <w:sz w:val="28"/>
                <w:szCs w:val="28"/>
                <w:shd w:val="clear" w:color="auto" w:fill="auto"/>
              </w:rPr>
              <w:t>0</w:t>
            </w:r>
          </w:p>
        </w:tc>
        <w:tc>
          <w:tcPr>
            <w:tcW w:w="604"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8"/>
                <w:szCs w:val="28"/>
                <w:shd w:val="clear" w:color="auto" w:fill="auto"/>
              </w:rPr>
            </w:pPr>
            <w:r>
              <w:rPr>
                <w:sz w:val="28"/>
                <w:szCs w:val="28"/>
                <w:shd w:val="clear" w:color="auto" w:fill="auto"/>
              </w:rPr>
              <w:t>0</w:t>
            </w:r>
          </w:p>
        </w:tc>
        <w:tc>
          <w:tcPr>
            <w:tcW w:w="604"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8"/>
                <w:szCs w:val="28"/>
                <w:shd w:val="clear" w:color="auto" w:fill="auto"/>
              </w:rPr>
            </w:pPr>
            <w:r>
              <w:rPr>
                <w:sz w:val="28"/>
                <w:szCs w:val="28"/>
                <w:shd w:val="clear" w:color="auto" w:fill="auto"/>
              </w:rPr>
              <w:t>0</w:t>
            </w:r>
          </w:p>
        </w:tc>
        <w:tc>
          <w:tcPr>
            <w:tcW w:w="658"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8"/>
                <w:szCs w:val="28"/>
                <w:shd w:val="clear" w:color="auto" w:fill="auto"/>
              </w:rPr>
            </w:pPr>
            <w:r>
              <w:rPr>
                <w:sz w:val="28"/>
                <w:szCs w:val="28"/>
                <w:shd w:val="clear" w:color="auto" w:fill="auto"/>
              </w:rPr>
              <w:t>0</w:t>
            </w:r>
          </w:p>
        </w:tc>
        <w:tc>
          <w:tcPr>
            <w:tcW w:w="5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8"/>
                <w:szCs w:val="28"/>
                <w:shd w:val="clear" w:color="auto" w:fill="auto"/>
              </w:rPr>
            </w:pPr>
            <w:r>
              <w:rPr>
                <w:sz w:val="28"/>
                <w:szCs w:val="28"/>
                <w:shd w:val="clear" w:color="auto" w:fill="auto"/>
              </w:rPr>
              <w:t>0</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8"/>
                <w:szCs w:val="28"/>
                <w:shd w:val="clear" w:color="auto" w:fill="auto"/>
              </w:rPr>
            </w:pPr>
            <w:r>
              <w:rPr>
                <w:sz w:val="28"/>
                <w:szCs w:val="28"/>
                <w:shd w:val="clear" w:color="auto" w:fill="auto"/>
              </w:rPr>
              <w:t>0</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8"/>
                <w:szCs w:val="28"/>
                <w:shd w:val="clear" w:color="auto" w:fill="auto"/>
              </w:rPr>
            </w:pPr>
            <w:r>
              <w:rPr>
                <w:sz w:val="28"/>
                <w:szCs w:val="28"/>
                <w:shd w:val="clear" w:color="auto" w:fill="auto"/>
              </w:rPr>
              <w:t>0</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8"/>
                <w:szCs w:val="28"/>
                <w:shd w:val="clear" w:color="auto" w:fill="auto"/>
              </w:rPr>
            </w:pPr>
            <w:r>
              <w:rPr>
                <w:sz w:val="28"/>
                <w:szCs w:val="28"/>
                <w:shd w:val="clear" w:color="auto" w:fill="auto"/>
              </w:rPr>
              <w:t>0</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8"/>
                <w:szCs w:val="28"/>
                <w:shd w:val="clear" w:color="auto" w:fill="auto"/>
              </w:rPr>
            </w:pPr>
            <w:r>
              <w:rPr>
                <w:sz w:val="28"/>
                <w:szCs w:val="28"/>
                <w:shd w:val="clear" w:color="auto" w:fill="auto"/>
              </w:rPr>
              <w:t>0</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8"/>
                <w:szCs w:val="28"/>
                <w:shd w:val="clear" w:color="auto" w:fill="auto"/>
              </w:rPr>
            </w:pPr>
            <w:r>
              <w:rPr>
                <w:sz w:val="28"/>
                <w:szCs w:val="28"/>
                <w:shd w:val="clear" w:color="auto" w:fill="auto"/>
              </w:rPr>
              <w:t>0</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8"/>
                <w:szCs w:val="28"/>
                <w:shd w:val="clear" w:color="auto" w:fill="auto"/>
              </w:rPr>
            </w:pPr>
            <w:r>
              <w:rPr>
                <w:sz w:val="28"/>
                <w:szCs w:val="28"/>
                <w:shd w:val="clear" w:color="auto" w:fill="auto"/>
              </w:rPr>
              <w:t>0</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8"/>
                <w:szCs w:val="28"/>
                <w:shd w:val="clear" w:color="auto" w:fill="auto"/>
              </w:rPr>
            </w:pPr>
            <w:r>
              <w:rPr>
                <w:sz w:val="28"/>
                <w:szCs w:val="28"/>
                <w:shd w:val="clear" w:color="auto" w:fill="auto"/>
              </w:rPr>
              <w:t>0</w:t>
            </w:r>
          </w:p>
        </w:tc>
        <w:tc>
          <w:tcPr>
            <w:tcW w:w="606"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sz w:val="28"/>
                <w:szCs w:val="28"/>
                <w:shd w:val="clear" w:color="auto" w:fill="auto"/>
              </w:rPr>
            </w:pPr>
            <w:r>
              <w:rPr>
                <w:sz w:val="28"/>
                <w:szCs w:val="28"/>
                <w:shd w:val="clear" w:color="auto" w:fill="auto"/>
              </w:rPr>
              <w:t>0</w:t>
            </w:r>
          </w:p>
        </w:tc>
        <w:tc>
          <w:tcPr>
            <w:tcW w:w="606"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hd w:val="clear" w:color="auto" w:fill="auto"/>
              <w:autoSpaceDN w:val="0"/>
              <w:spacing w:line="560" w:lineRule="exact"/>
              <w:jc w:val="center"/>
              <w:rPr>
                <w:kern w:val="0"/>
                <w:sz w:val="28"/>
                <w:szCs w:val="28"/>
                <w:shd w:val="clear" w:color="auto" w:fill="auto"/>
              </w:rPr>
            </w:pPr>
            <w:r>
              <w:rPr>
                <w:sz w:val="28"/>
                <w:szCs w:val="28"/>
                <w:shd w:val="clear" w:color="auto" w:fill="auto"/>
              </w:rPr>
              <w:t>0</w:t>
            </w:r>
          </w:p>
        </w:tc>
      </w:tr>
    </w:tbl>
    <w:p>
      <w:pPr>
        <w:pStyle w:val="15"/>
        <w:widowControl/>
        <w:shd w:val="clear" w:color="auto" w:fill="auto"/>
        <w:autoSpaceDN w:val="0"/>
        <w:spacing w:before="0" w:beforeAutospacing="0" w:after="0" w:afterAutospacing="0" w:line="560" w:lineRule="exact"/>
        <w:ind w:firstLineChars="200" w:firstLine="640"/>
        <w:jc w:val="both"/>
        <w:rPr>
          <w:rFonts w:ascii="方正黑体_GBK" w:eastAsia="方正黑体_GBK" w:cs="楷体_GB2312" w:hint="eastAsia"/>
          <w:bCs/>
          <w:sz w:val="32"/>
          <w:szCs w:val="32"/>
          <w:shd w:val="clear" w:color="auto" w:fill="auto"/>
        </w:rPr>
      </w:pPr>
      <w:r>
        <w:rPr>
          <w:rFonts w:ascii="方正黑体_GBK" w:eastAsia="方正黑体_GBK" w:cs="楷体_GB2312" w:hint="eastAsia"/>
          <w:bCs/>
          <w:sz w:val="32"/>
          <w:szCs w:val="32"/>
          <w:shd w:val="clear" w:color="auto" w:fill="auto"/>
        </w:rPr>
        <w:t>五、存在的主要问题和改进情况</w:t>
      </w:r>
    </w:p>
    <w:p>
      <w:pPr>
        <w:shd w:val="clear" w:color="auto" w:fill="auto"/>
        <w:spacing w:line="560" w:lineRule="exact"/>
        <w:ind w:firstLineChars="200" w:firstLine="640"/>
        <w:rPr>
          <w:rFonts w:ascii="方正楷体_GBK" w:eastAsia="方正楷体_GBK" w:hint="eastAsia"/>
          <w:b/>
          <w:sz w:val="32"/>
          <w:shd w:val="clear" w:color="auto" w:fill="auto"/>
        </w:rPr>
      </w:pPr>
      <w:r>
        <w:rPr>
          <w:rFonts w:ascii="方正楷体_GBK" w:eastAsia="方正楷体_GBK" w:hint="eastAsia"/>
          <w:b/>
          <w:sz w:val="32"/>
          <w:shd w:val="clear" w:color="auto" w:fill="auto"/>
        </w:rPr>
        <w:t>（一）2023年年报中所提问题整改情况。</w:t>
      </w:r>
    </w:p>
    <w:p>
      <w:pPr>
        <w:shd w:val="clear" w:color="auto" w:fill="auto"/>
        <w:spacing w:line="560" w:lineRule="exact"/>
        <w:ind w:firstLineChars="200" w:firstLine="640"/>
        <w:rPr>
          <w:rFonts w:ascii="Times New Roman" w:eastAsia="方正仿宋_GBK" w:hAnsi="Times New Roman" w:hint="eastAsia"/>
          <w:sz w:val="32"/>
          <w:shd w:val="clear" w:color="auto" w:fill="auto"/>
        </w:rPr>
      </w:pPr>
      <w:r>
        <w:rPr>
          <w:rFonts w:ascii="Times New Roman" w:eastAsia="方正仿宋_GBK" w:hAnsi="Times New Roman" w:hint="eastAsia"/>
          <w:sz w:val="32"/>
          <w:shd w:val="clear" w:color="auto" w:fill="auto"/>
        </w:rPr>
        <w:t>花都海关2023年年报中提出以下问题：“三进”品牌活动开展形式、内容较单一，“三进”品牌活动与政务公开、政务服务融合开展仍有提高空间，需继续强化与政务公开工作的深度融合，进一步创新形式、丰富内容。</w:t>
      </w:r>
    </w:p>
    <w:p>
      <w:pPr>
        <w:shd w:val="clear" w:color="auto" w:fill="auto"/>
        <w:spacing w:line="560" w:lineRule="exact"/>
        <w:ind w:firstLineChars="200" w:firstLine="640"/>
        <w:rPr>
          <w:rFonts w:ascii="Times New Roman" w:eastAsia="方正仿宋_GBK" w:hAnsi="Times New Roman" w:hint="eastAsia"/>
          <w:sz w:val="32"/>
          <w:shd w:val="clear" w:color="auto" w:fill="auto"/>
        </w:rPr>
      </w:pPr>
      <w:r>
        <w:rPr>
          <w:rFonts w:ascii="Times New Roman" w:eastAsia="方正仿宋_GBK" w:hAnsi="Times New Roman" w:hint="eastAsia"/>
          <w:sz w:val="32"/>
          <w:shd w:val="clear" w:color="auto" w:fill="auto"/>
        </w:rPr>
        <w:t>上述问题在2024年已采取措施完成整改：优化“三进”品牌活动宣讲内容，选取更贴近企业、群众、</w:t>
      </w:r>
      <w:r>
        <w:rPr>
          <w:rFonts w:ascii="Times New Roman" w:eastAsia="方正仿宋_GBK" w:hAnsi="Times New Roman"/>
          <w:sz w:val="32"/>
          <w:shd w:val="clear" w:color="auto" w:fill="auto"/>
        </w:rPr>
        <w:t>师生</w:t>
      </w:r>
      <w:r>
        <w:rPr>
          <w:rFonts w:ascii="Times New Roman" w:eastAsia="方正仿宋_GBK" w:hAnsi="Times New Roman" w:hint="eastAsia"/>
          <w:sz w:val="32"/>
          <w:shd w:val="clear" w:color="auto" w:fill="auto"/>
        </w:rPr>
        <w:t>的主题，增加互动交流频次；推动“三进”品牌与“关长联系企业”</w:t>
      </w:r>
      <w:r>
        <w:rPr>
          <w:rFonts w:ascii="Times New Roman" w:eastAsia="方正仿宋_GBK" w:hAnsi="Times New Roman"/>
          <w:sz w:val="32"/>
          <w:shd w:val="clear" w:color="auto" w:fill="auto"/>
        </w:rPr>
        <w:t>、</w:t>
      </w:r>
      <w:r>
        <w:rPr>
          <w:rFonts w:ascii="Times New Roman" w:eastAsia="方正仿宋_GBK" w:hAnsi="Times New Roman" w:hint="eastAsia"/>
          <w:sz w:val="32"/>
          <w:shd w:val="clear" w:color="auto" w:fill="auto"/>
        </w:rPr>
        <w:t>“关长接待日”</w:t>
      </w:r>
      <w:r>
        <w:rPr>
          <w:rFonts w:ascii="Times New Roman" w:eastAsia="方正仿宋_GBK" w:hAnsi="Times New Roman"/>
          <w:sz w:val="32"/>
          <w:shd w:val="clear" w:color="auto" w:fill="auto"/>
        </w:rPr>
        <w:t>、</w:t>
      </w:r>
      <w:r>
        <w:rPr>
          <w:rFonts w:ascii="Times New Roman" w:eastAsia="方正仿宋_GBK" w:hAnsi="Times New Roman" w:hint="eastAsia"/>
          <w:sz w:val="32"/>
          <w:shd w:val="clear" w:color="auto" w:fill="auto"/>
        </w:rPr>
        <w:t>“花和风暖”枫桥工作站</w:t>
      </w:r>
      <w:r>
        <w:rPr>
          <w:rFonts w:ascii="Times New Roman" w:eastAsia="方正仿宋_GBK" w:hAnsi="Times New Roman"/>
          <w:sz w:val="32"/>
          <w:shd w:val="clear" w:color="auto" w:fill="auto"/>
        </w:rPr>
        <w:t>、</w:t>
      </w:r>
      <w:r>
        <w:rPr>
          <w:rFonts w:ascii="Times New Roman" w:eastAsia="方正仿宋_GBK" w:hAnsi="Times New Roman" w:hint="eastAsia"/>
          <w:sz w:val="32"/>
          <w:shd w:val="clear" w:color="auto" w:fill="auto"/>
        </w:rPr>
        <w:t>“关企连心桥”</w:t>
      </w:r>
      <w:r>
        <w:rPr>
          <w:rFonts w:ascii="Times New Roman" w:eastAsia="方正仿宋_GBK" w:hAnsi="Times New Roman"/>
          <w:sz w:val="32"/>
          <w:shd w:val="clear" w:color="auto" w:fill="auto"/>
        </w:rPr>
        <w:t>基层</w:t>
      </w:r>
      <w:r>
        <w:rPr>
          <w:rFonts w:ascii="Times New Roman" w:eastAsia="方正仿宋_GBK" w:hAnsi="Times New Roman" w:hint="eastAsia"/>
          <w:sz w:val="32"/>
          <w:shd w:val="clear" w:color="auto" w:fill="auto"/>
        </w:rPr>
        <w:t>政务</w:t>
      </w:r>
      <w:r>
        <w:rPr>
          <w:rFonts w:ascii="Times New Roman" w:eastAsia="方正仿宋_GBK" w:hAnsi="Times New Roman"/>
          <w:sz w:val="32"/>
          <w:shd w:val="clear" w:color="auto" w:fill="auto"/>
        </w:rPr>
        <w:t>公开</w:t>
      </w:r>
      <w:r>
        <w:rPr>
          <w:rFonts w:ascii="Times New Roman" w:eastAsia="方正仿宋_GBK" w:hAnsi="Times New Roman" w:hint="eastAsia"/>
          <w:sz w:val="32"/>
          <w:shd w:val="clear" w:color="auto" w:fill="auto"/>
        </w:rPr>
        <w:t>品牌等融合发展；深化“三进”品牌工作，探索开展“我陪群众走流程”</w:t>
      </w:r>
      <w:r>
        <w:rPr>
          <w:rFonts w:ascii="Times New Roman" w:eastAsia="方正仿宋_GBK" w:hAnsi="Times New Roman"/>
          <w:sz w:val="32"/>
          <w:shd w:val="clear" w:color="auto" w:fill="auto"/>
        </w:rPr>
        <w:t>政务服务提升行</w:t>
      </w:r>
      <w:r>
        <w:rPr>
          <w:rFonts w:ascii="Times New Roman" w:eastAsia="方正仿宋_GBK" w:hAnsi="Times New Roman" w:hint="eastAsia"/>
          <w:sz w:val="32"/>
          <w:shd w:val="clear" w:color="auto" w:fill="auto"/>
        </w:rPr>
        <w:t>动，“换位体验”业务现场业务全流程</w:t>
      </w:r>
      <w:r>
        <w:rPr>
          <w:rFonts w:ascii="Times New Roman" w:eastAsia="方正仿宋_GBK" w:hAnsi="Times New Roman"/>
          <w:sz w:val="32"/>
          <w:shd w:val="clear" w:color="auto" w:fill="auto"/>
        </w:rPr>
        <w:t>并及时优化完善</w:t>
      </w:r>
      <w:r>
        <w:rPr>
          <w:rFonts w:ascii="Times New Roman" w:eastAsia="方正仿宋_GBK" w:hAnsi="Times New Roman" w:hint="eastAsia"/>
          <w:sz w:val="32"/>
          <w:shd w:val="clear" w:color="auto" w:fill="auto"/>
        </w:rPr>
        <w:t>，推动基层政务公开与行政执法、政务服务紧密结合</w:t>
      </w:r>
      <w:r>
        <w:rPr>
          <w:rFonts w:ascii="Times New Roman" w:eastAsia="方正仿宋_GBK" w:hAnsi="Times New Roman"/>
          <w:sz w:val="32"/>
          <w:shd w:val="clear" w:color="auto" w:fill="auto"/>
        </w:rPr>
        <w:t>、相辅相成</w:t>
      </w:r>
      <w:r>
        <w:rPr>
          <w:rFonts w:ascii="Times New Roman" w:eastAsia="方正仿宋_GBK" w:hAnsi="Times New Roman" w:hint="eastAsia"/>
          <w:sz w:val="32"/>
          <w:shd w:val="clear" w:color="auto" w:fill="auto"/>
        </w:rPr>
        <w:t>。</w:t>
      </w:r>
    </w:p>
    <w:p>
      <w:pPr>
        <w:shd w:val="clear" w:color="auto" w:fill="auto"/>
        <w:spacing w:line="560" w:lineRule="exact"/>
        <w:ind w:firstLineChars="200" w:firstLine="640"/>
        <w:rPr>
          <w:rFonts w:ascii="方正楷体_GBK" w:eastAsia="方正楷体_GBK" w:hint="eastAsia"/>
          <w:b/>
          <w:sz w:val="32"/>
          <w:shd w:val="clear" w:color="auto" w:fill="auto"/>
        </w:rPr>
      </w:pPr>
      <w:r>
        <w:rPr>
          <w:rFonts w:ascii="方正楷体_GBK" w:eastAsia="方正楷体_GBK" w:hint="eastAsia"/>
          <w:b/>
          <w:sz w:val="32"/>
          <w:shd w:val="clear" w:color="auto" w:fill="auto"/>
        </w:rPr>
        <w:t>（二）目前存在问题。</w:t>
      </w:r>
    </w:p>
    <w:p>
      <w:pPr>
        <w:shd w:val="clear" w:color="auto" w:fill="auto"/>
        <w:spacing w:line="560" w:lineRule="exact"/>
        <w:ind w:firstLineChars="200" w:firstLine="640"/>
        <w:rPr>
          <w:rFonts w:ascii="Times New Roman" w:eastAsia="方正仿宋_GBK" w:hAnsi="Times New Roman" w:hint="eastAsia"/>
          <w:sz w:val="32"/>
          <w:shd w:val="clear" w:color="auto" w:fill="auto"/>
        </w:rPr>
      </w:pPr>
      <w:r>
        <w:rPr>
          <w:rFonts w:ascii="Times New Roman" w:eastAsia="方正仿宋_GBK" w:hAnsi="Times New Roman" w:hint="eastAsia"/>
          <w:sz w:val="32"/>
          <w:shd w:val="clear" w:color="auto" w:fill="auto"/>
        </w:rPr>
        <w:t>依申请公开办理细节</w:t>
      </w:r>
      <w:r>
        <w:rPr>
          <w:rFonts w:ascii="Times New Roman" w:eastAsia="方正仿宋_GBK" w:hAnsi="Times New Roman"/>
          <w:sz w:val="32"/>
          <w:shd w:val="clear" w:color="auto" w:fill="auto"/>
        </w:rPr>
        <w:t>熟练度</w:t>
      </w:r>
      <w:r>
        <w:rPr>
          <w:rFonts w:ascii="Times New Roman" w:eastAsia="方正仿宋_GBK" w:hAnsi="Times New Roman" w:hint="eastAsia"/>
          <w:sz w:val="32"/>
          <w:shd w:val="clear" w:color="auto" w:fill="auto"/>
        </w:rPr>
        <w:t>不足，在审查、确认申请信息内容、明确答复内容等方面需要继续学习提高</w:t>
      </w:r>
      <w:r>
        <w:rPr>
          <w:rFonts w:ascii="Times New Roman" w:eastAsia="方正仿宋_GBK" w:hAnsi="Times New Roman"/>
          <w:sz w:val="32"/>
          <w:shd w:val="clear" w:color="auto" w:fill="auto"/>
        </w:rPr>
        <w:t>。</w:t>
      </w:r>
    </w:p>
    <w:p>
      <w:pPr>
        <w:pStyle w:val="15"/>
        <w:widowControl/>
        <w:shd w:val="clear" w:color="auto" w:fill="auto"/>
        <w:autoSpaceDN w:val="0"/>
        <w:spacing w:before="0" w:beforeAutospacing="0" w:after="0" w:afterAutospacing="0" w:line="560" w:lineRule="exact"/>
        <w:ind w:firstLineChars="200" w:firstLine="640"/>
        <w:jc w:val="both"/>
        <w:rPr>
          <w:rFonts w:ascii="方正黑体_GBK" w:eastAsia="方正黑体_GBK" w:cs="楷体_GB2312" w:hint="eastAsia"/>
          <w:bCs/>
          <w:sz w:val="32"/>
          <w:szCs w:val="32"/>
          <w:shd w:val="clear" w:color="auto" w:fill="auto"/>
        </w:rPr>
      </w:pPr>
      <w:r>
        <w:rPr>
          <w:rFonts w:ascii="方正黑体_GBK" w:eastAsia="方正黑体_GBK" w:cs="楷体_GB2312" w:hint="eastAsia"/>
          <w:bCs/>
          <w:sz w:val="32"/>
          <w:szCs w:val="32"/>
          <w:shd w:val="clear" w:color="auto" w:fill="auto"/>
        </w:rPr>
        <w:t>六、其他需要报告的事项</w:t>
      </w:r>
    </w:p>
    <w:p>
      <w:pPr>
        <w:pStyle w:val="34"/>
        <w:widowControl/>
        <w:shd w:val="clear" w:color="auto" w:fill="auto"/>
        <w:spacing w:beforeAutospacing="0" w:afterAutospacing="0" w:line="560" w:lineRule="exact"/>
        <w:ind w:firstLineChars="200" w:firstLine="624"/>
        <w:jc w:val="both"/>
        <w:rPr>
          <w:rFonts w:ascii="方正楷体_GBK" w:eastAsia="方正楷体_GBK"/>
          <w:b/>
          <w:spacing w:val="-4"/>
          <w:sz w:val="32"/>
          <w:szCs w:val="20"/>
          <w:shd w:val="clear" w:color="auto" w:fill="auto"/>
        </w:rPr>
      </w:pPr>
      <w:r>
        <w:rPr>
          <w:rFonts w:ascii="方正楷体_GBK" w:eastAsia="方正楷体_GBK" w:hint="eastAsia"/>
          <w:b/>
          <w:spacing w:val="-4"/>
          <w:sz w:val="32"/>
          <w:szCs w:val="20"/>
          <w:shd w:val="clear" w:color="auto" w:fill="auto"/>
        </w:rPr>
        <w:t>（</w:t>
      </w:r>
      <w:r>
        <w:rPr>
          <w:rFonts w:ascii="方正楷体_GBK" w:eastAsia="方正楷体_GBK"/>
          <w:b/>
          <w:spacing w:val="-4"/>
          <w:sz w:val="32"/>
          <w:szCs w:val="20"/>
          <w:shd w:val="clear" w:color="auto" w:fill="auto"/>
        </w:rPr>
        <w:t>一</w:t>
      </w:r>
      <w:r>
        <w:rPr>
          <w:rFonts w:ascii="方正楷体_GBK" w:eastAsia="方正楷体_GBK" w:hint="eastAsia"/>
          <w:b/>
          <w:spacing w:val="-4"/>
          <w:sz w:val="32"/>
          <w:szCs w:val="20"/>
          <w:shd w:val="clear" w:color="auto" w:fill="auto"/>
        </w:rPr>
        <w:t>）政府信息公开信息处理费收</w:t>
      </w:r>
      <w:r>
        <w:rPr>
          <w:rFonts w:ascii="方正楷体_GBK" w:eastAsia="方正楷体_GBK"/>
          <w:b/>
          <w:spacing w:val="-4"/>
          <w:sz w:val="32"/>
          <w:szCs w:val="20"/>
          <w:shd w:val="clear" w:color="auto" w:fill="auto"/>
        </w:rPr>
        <w:t>取</w:t>
      </w:r>
      <w:r>
        <w:rPr>
          <w:rFonts w:ascii="方正楷体_GBK" w:eastAsia="方正楷体_GBK" w:hint="eastAsia"/>
          <w:b/>
          <w:spacing w:val="-4"/>
          <w:sz w:val="32"/>
          <w:szCs w:val="20"/>
          <w:shd w:val="clear" w:color="auto" w:fill="auto"/>
        </w:rPr>
        <w:t>情况。</w:t>
      </w:r>
    </w:p>
    <w:p>
      <w:pPr>
        <w:shd w:val="clear" w:color="auto" w:fill="auto"/>
        <w:spacing w:line="560" w:lineRule="exact"/>
        <w:ind w:firstLineChars="200" w:firstLine="640"/>
        <w:rPr>
          <w:rFonts w:ascii="Times New Roman" w:eastAsia="方正仿宋_GBK" w:hAnsi="Times New Roman"/>
          <w:sz w:val="32"/>
          <w:shd w:val="clear" w:color="auto" w:fill="auto"/>
        </w:rPr>
      </w:pPr>
      <w:r>
        <w:rPr>
          <w:rFonts w:ascii="Times New Roman" w:eastAsia="方正仿宋_GBK" w:hAnsi="Times New Roman" w:hint="eastAsia"/>
          <w:sz w:val="32"/>
          <w:shd w:val="clear" w:color="auto" w:fill="auto"/>
        </w:rPr>
        <w:t>花都海关严格按照《国务院办公厅关于印发〈政府信息公开信息处理费管理办法〉的通知》，规范政府信息公开信息处理费收取工作，2024年未收取政府信息公开信息处理费</w:t>
      </w:r>
      <w:r>
        <w:rPr>
          <w:rFonts w:ascii="Times New Roman" w:eastAsia="方正仿宋_GBK" w:hAnsi="Times New Roman"/>
          <w:sz w:val="32"/>
          <w:shd w:val="clear" w:color="auto" w:fill="auto"/>
        </w:rPr>
        <w:t>。</w:t>
      </w:r>
    </w:p>
    <w:p>
      <w:pPr>
        <w:shd w:val="clear" w:color="auto" w:fill="auto"/>
        <w:spacing w:line="560" w:lineRule="exact"/>
        <w:ind w:firstLineChars="200" w:firstLine="624"/>
        <w:rPr>
          <w:rFonts w:ascii="方正楷体_GBK" w:eastAsia="方正楷体_GBK"/>
          <w:b/>
          <w:spacing w:val="-4"/>
          <w:sz w:val="32"/>
          <w:szCs w:val="20"/>
          <w:shd w:val="clear" w:color="auto" w:fill="auto"/>
        </w:rPr>
      </w:pPr>
      <w:r>
        <w:rPr>
          <w:rFonts w:ascii="方正楷体_GBK" w:eastAsia="方正楷体_GBK" w:hint="eastAsia"/>
          <w:b/>
          <w:spacing w:val="-4"/>
          <w:sz w:val="32"/>
          <w:szCs w:val="20"/>
          <w:shd w:val="clear" w:color="auto" w:fill="auto"/>
        </w:rPr>
        <w:t>（二）</w:t>
      </w:r>
      <w:r>
        <w:rPr>
          <w:rFonts w:ascii="方正楷体_GBK" w:eastAsia="方正楷体_GBK"/>
          <w:b/>
          <w:spacing w:val="-4"/>
          <w:sz w:val="32"/>
          <w:szCs w:val="20"/>
          <w:shd w:val="clear" w:color="auto" w:fill="auto"/>
        </w:rPr>
        <w:t>获评</w:t>
      </w:r>
      <w:r>
        <w:rPr>
          <w:rFonts w:ascii="方正楷体_GBK" w:eastAsia="方正楷体_GBK" w:hint="eastAsia"/>
          <w:b/>
          <w:spacing w:val="-4"/>
          <w:sz w:val="32"/>
          <w:szCs w:val="20"/>
          <w:shd w:val="clear" w:color="auto" w:fill="auto"/>
        </w:rPr>
        <w:t>荣誉情况。</w:t>
      </w:r>
    </w:p>
    <w:p>
      <w:pPr>
        <w:pStyle w:val="41"/>
        <w:shd w:val="clear" w:color="auto" w:fill="auto"/>
        <w:spacing w:line="560" w:lineRule="exact"/>
        <w:ind w:firstLineChars="200" w:firstLine="640"/>
        <w:rPr>
          <w:rFonts w:ascii="Times New Roman" w:eastAsia="方正仿宋_GBK" w:hAnsi="Times New Roman" w:hint="eastAsia"/>
          <w:sz w:val="32"/>
          <w:shd w:val="clear" w:color="auto" w:fill="auto"/>
        </w:rPr>
      </w:pPr>
      <w:r>
        <w:rPr>
          <w:rFonts w:ascii="Times New Roman" w:eastAsia="方正仿宋_GBK" w:hAnsi="Times New Roman" w:hint="eastAsia"/>
          <w:sz w:val="32"/>
          <w:shd w:val="clear" w:color="auto" w:fill="auto"/>
        </w:rPr>
        <w:t>2024年，花都海关获评广州市花都区行风（机关作风）建设优秀单位。</w:t>
      </w:r>
    </w:p>
    <w:p>
      <w:pPr>
        <w:shd w:val="clear" w:color="auto" w:fill="auto"/>
        <w:spacing w:line="560" w:lineRule="exact"/>
        <w:ind w:firstLineChars="200" w:firstLine="640"/>
        <w:rPr>
          <w:rFonts w:ascii="Times New Roman" w:eastAsia="方正仿宋_GBK" w:hAnsi="Times New Roman" w:hint="eastAsia"/>
          <w:sz w:val="32"/>
          <w:shd w:val="clear" w:color="auto" w:fill="auto"/>
        </w:rPr>
      </w:pPr>
    </w:p>
    <w:sectPr>
      <w:pgSz w:w="11907" w:h="16840"/>
      <w:pgMar w:top="1928" w:right="1588" w:bottom="1588" w:left="1588"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variable"/>
    <w:sig w:usb0="00000001" w:usb1="080E0000" w:usb2="00000010" w:usb3="00000000" w:csb0="00040000" w:csb1="00000000"/>
  </w:font>
  <w:font w:name="方正黑体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楷体_GB2312">
    <w:altName w:val="楷体"/>
    <w:panose1 w:val="00000000000000000000"/>
    <w:charset w:val="86"/>
    <w:family w:val="roman"/>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auto"/>
    <w:pitch w:val="variable"/>
    <w:sig w:usb0="00007A87" w:usb1="80000000" w:usb2="00000008" w:usb3="00000000" w:csb0="400001FF" w:csb1="FFFF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883E1A2F"/>
    <w:multiLevelType w:val="singleLevel"/>
    <w:tmpl w:val="00000000"/>
    <w:lvl w:ilvl="0">
      <w:start w:val="1"/>
      <w:numFmt w:val="decimal"/>
      <w:lvlRestart w:val="0"/>
      <w:lvlText w:val="%1."/>
      <w:lvlJc w:val="left"/>
      <w:pPr>
        <w:tabs>
          <w:tab w:val="num" w:pos="1620"/>
        </w:tabs>
        <w:ind w:left="1620" w:hanging="360"/>
      </w:p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85"/>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Normal (Web)"/>
    <w:basedOn w:val="0"/>
    <w:pPr>
      <w:spacing w:before="100" w:beforeAutospacing="1" w:after="100" w:afterAutospacing="1"/>
      <w:jc w:val="left"/>
    </w:pPr>
    <w:rPr>
      <w:rFonts w:ascii="Calibri" w:eastAsia="宋体" w:cs="Times New Roman" w:hAnsi="Calibri"/>
      <w:kern w:val="0"/>
      <w:sz w:val="24"/>
      <w:szCs w:val="24"/>
    </w:rPr>
  </w:style>
  <w:style w:type="paragraph" w:customStyle="1" w:styleId="16">
    <w:name w:val="样式 50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styleId="17">
    <w:name w:val="footer"/>
    <w:basedOn w:val="0"/>
    <w:pPr>
      <w:tabs>
        <w:tab w:val="center" w:pos="4153"/>
        <w:tab w:val="right" w:pos="8306"/>
      </w:tabs>
      <w:snapToGrid w:val="0"/>
      <w:jc w:val="left"/>
    </w:pPr>
    <w:rPr>
      <w:rFonts w:ascii="Times New Roman" w:eastAsia="方正仿宋_GBK" w:cs="Times New Roman" w:hAnsi="Times New Roman"/>
      <w:sz w:val="18"/>
      <w:szCs w:val="18"/>
    </w:rPr>
  </w:style>
  <w:style w:type="paragraph" w:customStyle="1" w:styleId="18">
    <w:name w:val="样式 小三"/>
    <w:pPr>
      <w:widowControl w:val="0"/>
      <w:jc w:val="both"/>
    </w:pPr>
    <w:rPr>
      <w:rFonts w:ascii="Times New Roman" w:eastAsia="宋体" w:cs="Times New Roman" w:hAnsi="Times New Roman"/>
      <w:kern w:val="2"/>
      <w:sz w:val="30"/>
      <w:szCs w:val="30"/>
      <w:lang w:val="en-US" w:eastAsia="zh-CN" w:bidi="ar-SA"/>
    </w:rPr>
  </w:style>
  <w:style w:type="paragraph" w:customStyle="1" w:styleId="19">
    <w:name w:val="样式 5 小三"/>
    <w:pPr>
      <w:widowControl w:val="0"/>
      <w:jc w:val="both"/>
    </w:pPr>
    <w:rPr>
      <w:rFonts w:ascii="Times New Roman" w:eastAsia="宋体" w:cs="Times New Roman" w:hAnsi="Times New Roman"/>
      <w:kern w:val="2"/>
      <w:sz w:val="30"/>
      <w:szCs w:val="30"/>
      <w:lang w:val="en-US" w:eastAsia="zh-CN" w:bidi="ar-SA"/>
    </w:rPr>
  </w:style>
  <w:style w:type="paragraph" w:customStyle="1" w:styleId="20">
    <w:name w:val="样式 8 小三"/>
    <w:pPr>
      <w:widowControl w:val="0"/>
      <w:jc w:val="both"/>
    </w:pPr>
    <w:rPr>
      <w:rFonts w:ascii="Times New Roman" w:eastAsia="宋体" w:cs="Times New Roman" w:hAnsi="Times New Roman"/>
      <w:kern w:val="2"/>
      <w:sz w:val="30"/>
      <w:szCs w:val="30"/>
      <w:lang w:val="en-US" w:eastAsia="zh-CN" w:bidi="ar-SA"/>
    </w:rPr>
  </w:style>
  <w:style w:type="paragraph" w:customStyle="1" w:styleId="21">
    <w:name w:val="样式 12 小三"/>
    <w:pPr>
      <w:widowControl w:val="0"/>
      <w:jc w:val="both"/>
    </w:pPr>
    <w:rPr>
      <w:rFonts w:ascii="Times New Roman" w:eastAsia="宋体" w:cs="Times New Roman" w:hAnsi="Times New Roman"/>
      <w:kern w:val="2"/>
      <w:sz w:val="30"/>
      <w:szCs w:val="30"/>
      <w:lang w:val="en-US" w:eastAsia="zh-CN" w:bidi="ar-SA"/>
    </w:rPr>
  </w:style>
  <w:style w:type="paragraph" w:customStyle="1" w:styleId="22">
    <w:name w:val="样式 16 小三"/>
    <w:pPr>
      <w:widowControl w:val="0"/>
      <w:jc w:val="both"/>
    </w:pPr>
    <w:rPr>
      <w:rFonts w:ascii="Times New Roman" w:eastAsia="宋体" w:cs="Times New Roman" w:hAnsi="Times New Roman"/>
      <w:kern w:val="2"/>
      <w:sz w:val="30"/>
      <w:szCs w:val="30"/>
      <w:lang w:val="en-US" w:eastAsia="zh-CN" w:bidi="ar-SA"/>
    </w:rPr>
  </w:style>
  <w:style w:type="paragraph" w:customStyle="1" w:styleId="23">
    <w:name w:val="样式 17 小三"/>
    <w:pPr>
      <w:widowControl w:val="0"/>
      <w:jc w:val="both"/>
    </w:pPr>
    <w:rPr>
      <w:rFonts w:ascii="Times New Roman" w:eastAsia="宋体" w:cs="Times New Roman" w:hAnsi="Times New Roman"/>
      <w:kern w:val="2"/>
      <w:sz w:val="30"/>
      <w:szCs w:val="30"/>
      <w:lang w:val="en-US" w:eastAsia="zh-CN" w:bidi="ar-SA"/>
    </w:rPr>
  </w:style>
  <w:style w:type="paragraph" w:customStyle="1" w:styleId="24">
    <w:name w:val="样式 10 磅"/>
    <w:pPr>
      <w:widowControl w:val="0"/>
      <w:jc w:val="both"/>
    </w:pPr>
    <w:rPr>
      <w:rFonts w:ascii="Calibri" w:eastAsia="宋体" w:cs="Arial" w:hAnsi="Calibri"/>
      <w:kern w:val="2"/>
      <w:sz w:val="21"/>
      <w:szCs w:val="22"/>
      <w:lang w:val="en-US" w:eastAsia="zh-CN" w:bidi="ar-SA"/>
    </w:rPr>
  </w:style>
  <w:style w:type="paragraph" w:customStyle="1" w:styleId="25">
    <w:name w:val="样式 1 10 磅"/>
    <w:pPr>
      <w:widowControl w:val="0"/>
      <w:jc w:val="both"/>
    </w:pPr>
    <w:rPr>
      <w:rFonts w:ascii="Calibri" w:eastAsia="宋体" w:cs="Arial" w:hAnsi="Calibri"/>
      <w:kern w:val="2"/>
      <w:sz w:val="21"/>
      <w:szCs w:val="22"/>
      <w:lang w:val="en-US" w:eastAsia="zh-CN" w:bidi="ar-SA"/>
    </w:rPr>
  </w:style>
  <w:style w:type="paragraph" w:customStyle="1" w:styleId="26">
    <w:name w:val="样式 2 10 磅"/>
    <w:pPr>
      <w:widowControl w:val="0"/>
      <w:jc w:val="both"/>
    </w:pPr>
    <w:rPr>
      <w:rFonts w:ascii="Calibri" w:eastAsia="宋体" w:cs="Arial" w:hAnsi="Calibri"/>
      <w:kern w:val="2"/>
      <w:sz w:val="21"/>
      <w:szCs w:val="22"/>
      <w:lang w:val="en-US" w:eastAsia="zh-CN" w:bidi="ar-SA"/>
    </w:rPr>
  </w:style>
  <w:style w:type="paragraph" w:customStyle="1" w:styleId="27">
    <w:name w:val="样式 3 10 磅"/>
    <w:pPr>
      <w:widowControl w:val="0"/>
      <w:jc w:val="both"/>
    </w:pPr>
    <w:rPr>
      <w:rFonts w:ascii="Calibri" w:eastAsia="宋体" w:cs="Arial" w:hAnsi="Calibri"/>
      <w:kern w:val="2"/>
      <w:sz w:val="21"/>
      <w:szCs w:val="22"/>
      <w:lang w:val="en-US" w:eastAsia="zh-CN" w:bidi="ar-SA"/>
    </w:rPr>
  </w:style>
  <w:style w:type="paragraph" w:customStyle="1" w:styleId="28">
    <w:name w:val="样式 4 10 磅"/>
    <w:pPr>
      <w:widowControl w:val="0"/>
      <w:jc w:val="both"/>
    </w:pPr>
    <w:rPr>
      <w:rFonts w:ascii="Calibri" w:eastAsia="宋体" w:cs="Arial" w:hAnsi="Calibri"/>
      <w:kern w:val="2"/>
      <w:sz w:val="21"/>
      <w:szCs w:val="22"/>
      <w:lang w:val="en-US" w:eastAsia="zh-CN" w:bidi="ar-SA"/>
    </w:rPr>
  </w:style>
  <w:style w:type="paragraph" w:styleId="29">
    <w:name w:val="annotation text"/>
    <w:basedOn w:val="0"/>
    <w:pPr>
      <w:jc w:val="left"/>
    </w:pPr>
  </w:style>
  <w:style w:type="paragraph" w:styleId="30">
    <w:name w:val="List Continue 3"/>
    <w:basedOn w:val="0"/>
    <w:pPr>
      <w:spacing w:after="120"/>
      <w:ind w:left="1260"/>
    </w:pPr>
  </w:style>
  <w:style w:type="paragraph" w:styleId="31">
    <w:name w:val="Subtitle"/>
    <w:basedOn w:val="0"/>
    <w:pPr>
      <w:spacing w:before="240" w:after="60" w:line="312" w:lineRule="auto"/>
      <w:jc w:val="center"/>
      <w:outlineLvl w:val="1"/>
    </w:pPr>
    <w:rPr>
      <w:rFonts w:ascii="Arial" w:hAnsi="Arial"/>
      <w:b/>
      <w:bCs/>
      <w:kern w:val="28"/>
      <w:sz w:val="32"/>
      <w:szCs w:val="32"/>
    </w:rPr>
  </w:style>
  <w:style w:type="paragraph" w:styleId="32">
    <w:name w:val="annotation subject"/>
    <w:basedOn w:val="29"/>
    <w:next w:val="29"/>
    <w:rPr>
      <w:b/>
    </w:rPr>
  </w:style>
  <w:style w:type="paragraph" w:customStyle="1" w:styleId="33">
    <w:name w:val="样式 5 小四"/>
    <w:next w:val="31"/>
    <w:pPr>
      <w:widowControl w:val="0"/>
      <w:spacing w:beforeAutospacing="1" w:afterAutospacing="1"/>
    </w:pPr>
    <w:rPr>
      <w:rFonts w:ascii="Times New Roman" w:eastAsia="宋体" w:cs="Times New Roman" w:hAnsi="Times New Roman"/>
      <w:sz w:val="24"/>
      <w:szCs w:val="30"/>
      <w:lang w:val="en-US" w:eastAsia="zh-CN" w:bidi="ar-SA"/>
    </w:rPr>
  </w:style>
  <w:style w:type="paragraph" w:customStyle="1" w:styleId="34">
    <w:name w:val="样式 小四"/>
    <w:pPr>
      <w:widowControl w:val="0"/>
      <w:spacing w:beforeAutospacing="1" w:afterAutospacing="1"/>
    </w:pPr>
    <w:rPr>
      <w:rFonts w:ascii="Times New Roman" w:eastAsia="宋体" w:cs="Times New Roman" w:hAnsi="Times New Roman"/>
      <w:sz w:val="24"/>
      <w:szCs w:val="30"/>
      <w:lang w:val="en-US" w:eastAsia="zh-CN" w:bidi="ar-SA"/>
    </w:rPr>
  </w:style>
  <w:style w:type="paragraph" w:customStyle="1" w:styleId="35">
    <w:name w:val="样式 三号"/>
    <w:pPr>
      <w:widowControl w:val="0"/>
      <w:jc w:val="left"/>
    </w:pPr>
    <w:rPr>
      <w:rFonts w:ascii="Times New Roman" w:eastAsia="方正仿宋_GBK" w:cs="Times New Roman" w:hAnsi="Times New Roman"/>
      <w:kern w:val="2"/>
      <w:sz w:val="32"/>
      <w:szCs w:val="22"/>
      <w:lang w:val="en-US" w:eastAsia="zh-CN" w:bidi="ar-SA"/>
    </w:rPr>
  </w:style>
  <w:style w:type="paragraph" w:customStyle="1" w:styleId="36">
    <w:name w:val="样式 1 三号"/>
    <w:pPr>
      <w:widowControl w:val="0"/>
      <w:jc w:val="left"/>
    </w:pPr>
    <w:rPr>
      <w:rFonts w:ascii="Times New Roman" w:eastAsia="方正仿宋_GBK" w:cs="Times New Roman" w:hAnsi="Times New Roman"/>
      <w:b/>
      <w:kern w:val="2"/>
      <w:sz w:val="32"/>
      <w:szCs w:val="22"/>
      <w:lang w:val="en-US" w:eastAsia="zh-CN" w:bidi="ar-SA"/>
    </w:rPr>
  </w:style>
  <w:style w:type="paragraph" w:customStyle="1" w:styleId="37">
    <w:name w:val="样式 5 10 磅"/>
    <w:pPr>
      <w:widowControl w:val="0"/>
      <w:jc w:val="both"/>
    </w:pPr>
    <w:rPr>
      <w:rFonts w:ascii="Calibri" w:eastAsia="宋体" w:cs="Arial" w:hAnsi="Calibri"/>
      <w:kern w:val="2"/>
      <w:sz w:val="21"/>
      <w:szCs w:val="22"/>
      <w:lang w:val="en-US" w:eastAsia="zh-CN" w:bidi="ar-SA"/>
    </w:rPr>
  </w:style>
  <w:style w:type="paragraph" w:customStyle="1" w:styleId="38">
    <w:name w:val="样式 6 10 磅"/>
    <w:pPr>
      <w:widowControl w:val="0"/>
      <w:jc w:val="both"/>
    </w:pPr>
    <w:rPr>
      <w:rFonts w:ascii="Calibri" w:eastAsia="宋体" w:cs="Arial" w:hAnsi="Calibri"/>
      <w:kern w:val="2"/>
      <w:sz w:val="21"/>
      <w:szCs w:val="22"/>
      <w:lang w:val="en-US" w:eastAsia="zh-CN" w:bidi="ar-SA"/>
    </w:rPr>
  </w:style>
  <w:style w:type="paragraph" w:customStyle="1" w:styleId="39">
    <w:name w:val="样式 7 10 磅"/>
    <w:pPr>
      <w:widowControl w:val="0"/>
      <w:jc w:val="both"/>
    </w:pPr>
    <w:rPr>
      <w:rFonts w:ascii="Calibri" w:eastAsia="宋体" w:cs="Arial" w:hAnsi="Calibri"/>
      <w:kern w:val="2"/>
      <w:sz w:val="21"/>
      <w:szCs w:val="22"/>
      <w:lang w:val="en-US" w:eastAsia="zh-CN" w:bidi="ar-SA"/>
    </w:rPr>
  </w:style>
  <w:style w:type="paragraph" w:customStyle="1" w:styleId="40">
    <w:name w:val="样式 1 小四"/>
    <w:next w:val="23"/>
    <w:pPr>
      <w:widowControl w:val="0"/>
    </w:pPr>
    <w:rPr>
      <w:rFonts w:ascii="宋体" w:eastAsia="宋体" w:cs="Times New Roman"/>
      <w:kern w:val="2"/>
      <w:sz w:val="24"/>
      <w:lang w:val="en-US" w:eastAsia="zh-CN" w:bidi="ar-SA"/>
    </w:rPr>
  </w:style>
  <w:style w:type="paragraph" w:customStyle="1" w:styleId="41">
    <w:name w:val="样式 8 10 磅"/>
    <w:pPr>
      <w:widowControl w:val="0"/>
      <w:jc w:val="both"/>
    </w:pPr>
    <w:rPr>
      <w:rFonts w:ascii="Calibri" w:eastAsia="宋体" w:cs="Arial" w:hAnsi="Calibri"/>
      <w:kern w:val="2"/>
      <w:sz w:val="21"/>
      <w:szCs w:val="22"/>
      <w:lang w:val="en-US" w:eastAsia="zh-CN" w:bidi="ar-SA"/>
    </w:rPr>
  </w:style>
  <w:style w:type="paragraph" w:customStyle="1" w:styleId="42">
    <w:name w:val="样式 9 10 磅"/>
    <w:pPr>
      <w:widowControl w:val="0"/>
      <w:jc w:val="both"/>
    </w:pPr>
    <w:rPr>
      <w:rFonts w:ascii="Calibri" w:eastAsia="宋体" w:cs="Arial" w:hAnsi="Calibri"/>
      <w:kern w:val="2"/>
      <w:sz w:val="21"/>
      <w:szCs w:val="22"/>
      <w:lang w:val="en-US" w:eastAsia="zh-CN" w:bidi="ar-SA"/>
    </w:rPr>
  </w:style>
  <w:style w:type="paragraph" w:customStyle="1" w:styleId="43">
    <w:name w:val="样式 10 10 磅"/>
    <w:pPr>
      <w:widowControl w:val="0"/>
      <w:jc w:val="both"/>
    </w:pPr>
    <w:rPr>
      <w:rFonts w:ascii="Calibri" w:eastAsia="宋体" w:cs="Arial" w:hAnsi="Calibri"/>
      <w:kern w:val="2"/>
      <w:sz w:val="21"/>
      <w:szCs w:val="22"/>
      <w:lang w:val="en-US" w:eastAsia="zh-CN" w:bidi="ar-SA"/>
    </w:rPr>
  </w:style>
  <w:style w:type="paragraph" w:styleId="44">
    <w:name w:val="List Number 4"/>
    <w:basedOn w:val="0"/>
    <w:pPr>
      <w:numPr>
        <w:ilvl w:val="0"/>
        <w:numId w:val="1"/>
      </w:numPr>
    </w:pPr>
  </w:style>
  <w:style w:type="paragraph" w:customStyle="1" w:styleId="45">
    <w:name w:val="样式 7 小四"/>
    <w:next w:val="44"/>
    <w:pPr>
      <w:widowControl w:val="0"/>
      <w:spacing w:beforeAutospacing="1" w:afterAutospacing="1"/>
    </w:pPr>
    <w:rPr>
      <w:rFonts w:ascii="Times New Roman" w:eastAsia="宋体" w:cs="Times New Roman" w:hAnsi="Times New Roman"/>
      <w:sz w:val="24"/>
      <w:szCs w:val="30"/>
      <w:lang w:val="en-US" w:eastAsia="zh-CN" w:bidi="ar-SA"/>
    </w:rPr>
  </w:style>
  <w:style w:type="paragraph" w:customStyle="1" w:styleId="46">
    <w:name w:val="样式 1 小三"/>
    <w:pPr>
      <w:widowControl w:val="0"/>
      <w:jc w:val="both"/>
    </w:pPr>
    <w:rPr>
      <w:rFonts w:ascii="Times New Roman" w:eastAsia="宋体" w:cs="Times New Roman" w:hAnsi="Times New Roman"/>
      <w:kern w:val="2"/>
      <w:sz w:val="30"/>
      <w:szCs w:val="30"/>
      <w:lang w:val="en-US" w:eastAsia="zh-CN" w:bidi="ar-SA"/>
    </w:rPr>
  </w:style>
  <w:style w:type="paragraph" w:customStyle="1" w:styleId="47">
    <w:name w:val="样式 2 小三"/>
    <w:pPr>
      <w:widowControl w:val="0"/>
      <w:jc w:val="both"/>
    </w:pPr>
    <w:rPr>
      <w:rFonts w:ascii="Times New Roman" w:eastAsia="宋体" w:cs="Times New Roman" w:hAnsi="Times New Roman"/>
      <w:kern w:val="2"/>
      <w:sz w:val="30"/>
      <w:szCs w:val="30"/>
      <w:lang w:val="en-US" w:eastAsia="zh-CN" w:bidi="ar-SA"/>
    </w:rPr>
  </w:style>
  <w:style w:type="paragraph" w:customStyle="1" w:styleId="48">
    <w:name w:val="样式 3 小三"/>
    <w:pPr>
      <w:widowControl w:val="0"/>
      <w:jc w:val="both"/>
    </w:pPr>
    <w:rPr>
      <w:rFonts w:ascii="Times New Roman" w:eastAsia="宋体" w:cs="Times New Roman" w:hAnsi="Times New Roman"/>
      <w:kern w:val="2"/>
      <w:sz w:val="30"/>
      <w:szCs w:val="30"/>
      <w:lang w:val="en-US" w:eastAsia="zh-CN" w:bidi="ar-SA"/>
    </w:rPr>
  </w:style>
  <w:style w:type="paragraph" w:customStyle="1" w:styleId="49">
    <w:name w:val="样式 4 小三"/>
    <w:pPr>
      <w:widowControl w:val="0"/>
      <w:jc w:val="both"/>
    </w:pPr>
    <w:rPr>
      <w:rFonts w:ascii="Times New Roman" w:eastAsia="宋体" w:cs="Times New Roman" w:hAnsi="Times New Roman"/>
      <w:kern w:val="2"/>
      <w:sz w:val="30"/>
      <w:szCs w:val="30"/>
      <w:lang w:val="en-US" w:eastAsia="zh-CN" w:bidi="ar-SA"/>
    </w:rPr>
  </w:style>
  <w:style w:type="paragraph" w:customStyle="1" w:styleId="50">
    <w:name w:val="样式 6 小三"/>
    <w:pPr>
      <w:widowControl w:val="0"/>
      <w:jc w:val="both"/>
    </w:pPr>
    <w:rPr>
      <w:rFonts w:ascii="Times New Roman" w:eastAsia="宋体" w:cs="Times New Roman" w:hAnsi="Times New Roman"/>
      <w:kern w:val="2"/>
      <w:sz w:val="30"/>
      <w:szCs w:val="30"/>
      <w:lang w:val="en-US" w:eastAsia="zh-CN" w:bidi="ar-SA"/>
    </w:rPr>
  </w:style>
  <w:style w:type="paragraph" w:customStyle="1" w:styleId="51">
    <w:name w:val="样式 7 小三"/>
    <w:pPr>
      <w:widowControl w:val="0"/>
      <w:jc w:val="both"/>
    </w:pPr>
    <w:rPr>
      <w:rFonts w:ascii="Times New Roman" w:eastAsia="宋体" w:cs="Times New Roman" w:hAnsi="Times New Roman"/>
      <w:kern w:val="2"/>
      <w:sz w:val="30"/>
      <w:szCs w:val="30"/>
      <w:lang w:val="en-US" w:eastAsia="zh-CN" w:bidi="ar-SA"/>
    </w:rPr>
  </w:style>
  <w:style w:type="paragraph" w:customStyle="1" w:styleId="52">
    <w:name w:val="样式 9 小三"/>
    <w:pPr>
      <w:widowControl w:val="0"/>
      <w:jc w:val="both"/>
    </w:pPr>
    <w:rPr>
      <w:rFonts w:ascii="Times New Roman" w:eastAsia="宋体" w:cs="Times New Roman" w:hAnsi="Times New Roman"/>
      <w:kern w:val="2"/>
      <w:sz w:val="30"/>
      <w:szCs w:val="30"/>
      <w:lang w:val="en-US" w:eastAsia="zh-CN" w:bidi="ar-SA"/>
    </w:rPr>
  </w:style>
  <w:style w:type="paragraph" w:customStyle="1" w:styleId="53">
    <w:name w:val="样式 10 小三"/>
    <w:pPr>
      <w:widowControl w:val="0"/>
      <w:jc w:val="both"/>
    </w:pPr>
    <w:rPr>
      <w:rFonts w:ascii="Times New Roman" w:eastAsia="宋体" w:cs="Times New Roman" w:hAnsi="Times New Roman"/>
      <w:kern w:val="2"/>
      <w:sz w:val="30"/>
      <w:szCs w:val="30"/>
      <w:lang w:val="en-US" w:eastAsia="zh-CN" w:bidi="ar-SA"/>
    </w:rPr>
  </w:style>
  <w:style w:type="paragraph" w:customStyle="1" w:styleId="54">
    <w:name w:val="样式 11 小三"/>
    <w:pPr>
      <w:widowControl w:val="0"/>
      <w:jc w:val="both"/>
    </w:pPr>
    <w:rPr>
      <w:rFonts w:ascii="Times New Roman" w:eastAsia="宋体" w:cs="Times New Roman" w:hAnsi="Times New Roman"/>
      <w:kern w:val="2"/>
      <w:sz w:val="30"/>
      <w:szCs w:val="30"/>
      <w:lang w:val="en-US" w:eastAsia="zh-CN" w:bidi="ar-SA"/>
    </w:rPr>
  </w:style>
  <w:style w:type="paragraph" w:customStyle="1" w:styleId="55">
    <w:name w:val="样式 13 小三"/>
    <w:pPr>
      <w:widowControl w:val="0"/>
      <w:jc w:val="both"/>
    </w:pPr>
    <w:rPr>
      <w:rFonts w:ascii="Times New Roman" w:eastAsia="宋体" w:cs="Times New Roman" w:hAnsi="Times New Roman"/>
      <w:kern w:val="2"/>
      <w:sz w:val="30"/>
      <w:szCs w:val="30"/>
      <w:lang w:val="en-US" w:eastAsia="zh-CN" w:bidi="ar-SA"/>
    </w:rPr>
  </w:style>
  <w:style w:type="paragraph" w:customStyle="1" w:styleId="56">
    <w:name w:val="样式 14 小三"/>
    <w:pPr>
      <w:widowControl w:val="0"/>
      <w:jc w:val="both"/>
    </w:pPr>
    <w:rPr>
      <w:rFonts w:ascii="Times New Roman" w:eastAsia="宋体" w:cs="Times New Roman" w:hAnsi="Times New Roman"/>
      <w:kern w:val="2"/>
      <w:sz w:val="30"/>
      <w:szCs w:val="30"/>
      <w:lang w:val="en-US" w:eastAsia="zh-CN" w:bidi="ar-SA"/>
    </w:rPr>
  </w:style>
  <w:style w:type="paragraph" w:customStyle="1" w:styleId="57">
    <w:name w:val="样式 15 小三"/>
    <w:pPr>
      <w:widowControl w:val="0"/>
      <w:jc w:val="both"/>
    </w:pPr>
    <w:rPr>
      <w:rFonts w:ascii="Times New Roman" w:eastAsia="宋体" w:cs="Times New Roman" w:hAnsi="Times New Roman"/>
      <w:kern w:val="2"/>
      <w:sz w:val="30"/>
      <w:szCs w:val="30"/>
      <w:lang w:val="en-US" w:eastAsia="zh-CN" w:bidi="ar-SA"/>
    </w:rPr>
  </w:style>
  <w:style w:type="paragraph" w:customStyle="1" w:styleId="58">
    <w:name w:val="样式 18 小三"/>
    <w:pPr>
      <w:widowControl w:val="0"/>
      <w:jc w:val="both"/>
    </w:pPr>
    <w:rPr>
      <w:rFonts w:ascii="Times New Roman" w:eastAsia="宋体" w:cs="Times New Roman" w:hAnsi="Times New Roman"/>
      <w:kern w:val="2"/>
      <w:sz w:val="30"/>
      <w:szCs w:val="30"/>
      <w:lang w:val="en-US" w:eastAsia="zh-CN" w:bidi="ar-SA"/>
    </w:rPr>
  </w:style>
  <w:style w:type="paragraph" w:customStyle="1" w:styleId="59">
    <w:name w:val="样式 19 小三"/>
    <w:pPr>
      <w:widowControl w:val="0"/>
      <w:jc w:val="both"/>
    </w:pPr>
    <w:rPr>
      <w:rFonts w:ascii="Times New Roman" w:eastAsia="宋体" w:cs="Times New Roman" w:hAnsi="Times New Roman"/>
      <w:kern w:val="2"/>
      <w:sz w:val="30"/>
      <w:szCs w:val="30"/>
      <w:lang w:val="en-US" w:eastAsia="zh-CN" w:bidi="ar-SA"/>
    </w:rPr>
  </w:style>
  <w:style w:type="paragraph" w:customStyle="1" w:styleId="60">
    <w:name w:val="样式 20 小三"/>
    <w:pPr>
      <w:widowControl w:val="0"/>
      <w:jc w:val="both"/>
    </w:pPr>
    <w:rPr>
      <w:rFonts w:ascii="Times New Roman" w:eastAsia="宋体" w:cs="Times New Roman" w:hAnsi="Times New Roman"/>
      <w:kern w:val="2"/>
      <w:sz w:val="30"/>
      <w:szCs w:val="30"/>
      <w:lang w:val="en-US" w:eastAsia="zh-CN" w:bidi="ar-SA"/>
    </w:rPr>
  </w:style>
  <w:style w:type="paragraph" w:customStyle="1" w:styleId="61">
    <w:name w:val="样式 21 小三"/>
    <w:pPr>
      <w:widowControl w:val="0"/>
      <w:jc w:val="both"/>
    </w:pPr>
    <w:rPr>
      <w:rFonts w:ascii="Times New Roman" w:eastAsia="宋体" w:cs="Times New Roman" w:hAnsi="Times New Roman"/>
      <w:kern w:val="2"/>
      <w:sz w:val="30"/>
      <w:szCs w:val="30"/>
      <w:lang w:val="en-US" w:eastAsia="zh-CN" w:bidi="ar-SA"/>
    </w:rPr>
  </w:style>
  <w:style w:type="paragraph" w:customStyle="1" w:styleId="62">
    <w:name w:val="样式 22 小三"/>
    <w:pPr>
      <w:widowControl w:val="0"/>
      <w:jc w:val="both"/>
    </w:pPr>
    <w:rPr>
      <w:rFonts w:ascii="Times New Roman" w:eastAsia="宋体" w:cs="Times New Roman" w:hAnsi="Times New Roman"/>
      <w:kern w:val="2"/>
      <w:sz w:val="30"/>
      <w:szCs w:val="30"/>
      <w:lang w:val="en-US" w:eastAsia="zh-CN" w:bidi="ar-SA"/>
    </w:rPr>
  </w:style>
  <w:style w:type="paragraph" w:customStyle="1" w:styleId="63">
    <w:name w:val="样式 23 小三"/>
    <w:pPr>
      <w:widowControl w:val="0"/>
      <w:jc w:val="both"/>
    </w:pPr>
    <w:rPr>
      <w:rFonts w:ascii="Times New Roman" w:eastAsia="宋体" w:cs="Times New Roman" w:hAnsi="Times New Roman"/>
      <w:kern w:val="2"/>
      <w:sz w:val="30"/>
      <w:szCs w:val="30"/>
      <w:lang w:val="en-US" w:eastAsia="zh-CN" w:bidi="ar-SA"/>
    </w:rPr>
  </w:style>
  <w:style w:type="paragraph" w:customStyle="1" w:styleId="166">
    <w:name w:val="样式 2 小四"/>
    <w:pPr>
      <w:widowControl w:val="0"/>
      <w:spacing w:before="100" w:beforeAutospacing="1" w:after="100" w:afterAutospacing="1"/>
      <w:jc w:val="left"/>
    </w:pPr>
    <w:rPr>
      <w:rFonts w:ascii="Times New Roman" w:eastAsia="宋体" w:cs="Times New Roman" w:hAnsi="Times New Roman"/>
      <w:kern w:val="0"/>
      <w:sz w:val="24"/>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593</TotalTime>
  <Application>Yozo_Office</Application>
  <Pages>8</Pages>
  <Words>2986</Words>
  <Characters>3091</Characters>
  <Lines>455</Lines>
  <Paragraphs>316</Paragraphs>
  <CharactersWithSpaces>3091</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白磊</dc:creator>
  <cp:lastModifiedBy>刘书华</cp:lastModifiedBy>
  <cp:revision>3</cp:revision>
  <dcterms:created xsi:type="dcterms:W3CDTF">2025-01-13T05:42:00Z</dcterms:created>
  <dcterms:modified xsi:type="dcterms:W3CDTF">2025-01-26T07:56:38Z</dcterms:modified>
</cp:coreProperties>
</file>