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43"/>
        <w:shd w:val="clear" w:color="auto" w:fill="auto"/>
        <w:spacing w:line="580" w:lineRule="exact"/>
        <w:ind w:left="0"/>
        <w:jc w:val="center"/>
        <w:rPr>
          <w:rFonts w:ascii="方正小标宋_GBK" w:eastAsia="方正小标宋_GBK" w:cs="方正小标宋_GBK" w:hint="eastAsia"/>
          <w:color w:val="auto"/>
          <w:sz w:val="44"/>
          <w:szCs w:val="44"/>
          <w:shd w:val="clear" w:color="auto" w:fill="auto"/>
          <w:lang w:bidi="ar-SA"/>
        </w:rPr>
      </w:pPr>
      <w:bookmarkStart w:id="0" w:name="_Hlk25540369"/>
      <w:bookmarkStart w:id="1" w:name="cogw__正文__file"/>
      <w:r>
        <w:rPr>
          <w:rFonts w:ascii="方正小标宋_GBK" w:eastAsia="方正小标宋_GBK" w:cs="方正小标宋_GBK"/>
          <w:color w:val="auto"/>
          <w:sz w:val="44"/>
          <w:szCs w:val="44"/>
          <w:shd w:val="clear" w:color="auto" w:fill="auto"/>
          <w:lang w:bidi="ar-SA"/>
        </w:rPr>
        <w:t>荔湾</w:t>
      </w:r>
      <w:r>
        <w:rPr>
          <w:rFonts w:ascii="方正小标宋_GBK" w:eastAsia="方正小标宋_GBK" w:cs="方正小标宋_GBK" w:hint="eastAsia"/>
          <w:color w:val="auto"/>
          <w:sz w:val="44"/>
          <w:szCs w:val="44"/>
          <w:shd w:val="clear" w:color="auto" w:fill="auto"/>
          <w:lang w:bidi="ar-SA"/>
        </w:rPr>
        <w:t>海关2024年政府信息公开工作年度报告</w:t>
      </w:r>
      <w:bookmarkEnd w:id="0"/>
    </w:p>
    <w:p>
      <w:pPr>
        <w:pStyle w:val="43"/>
        <w:shd w:val="clear" w:color="auto" w:fill="auto"/>
        <w:spacing w:line="580" w:lineRule="exact"/>
        <w:ind w:left="0"/>
        <w:jc w:val="center"/>
        <w:rPr>
          <w:rFonts w:ascii="方正小标宋_GBK" w:eastAsia="方正小标宋_GBK" w:cs="方正小标宋_GBK" w:hint="eastAsia"/>
          <w:color w:val="auto"/>
          <w:sz w:val="44"/>
          <w:szCs w:val="44"/>
          <w:shd w:val="clear" w:color="auto" w:fill="auto"/>
          <w:lang w:bidi="ar-SA"/>
        </w:rPr>
      </w:pPr>
    </w:p>
    <w:p>
      <w:pPr>
        <w:pStyle w:val="74"/>
        <w:shd w:val="clear" w:color="auto" w:fill="auto"/>
        <w:spacing w:line="560" w:lineRule="exact"/>
        <w:ind w:firstLineChars="200" w:firstLine="640"/>
        <w:rPr>
          <w:rFonts w:hint="eastAsia"/>
          <w:shd w:val="clear" w:color="auto" w:fill="auto"/>
        </w:rPr>
      </w:pPr>
      <w:r>
        <w:rPr>
          <w:szCs w:val="32"/>
          <w:shd w:val="clear" w:color="auto" w:fill="auto"/>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荔湾海关2024年政府信息公开工作年报。年报中所列数据的统计期限，自2024年1月1日起至2024年12月31日止。如对本年报有疑问或有任何意见、建议，请联系荔湾海关办公室。地址：广东省广州市白云区景泰东二巷2号，邮编：510405；电话：020-81106907；电子邮箱：</w:t>
      </w:r>
      <w:r>
        <w:rPr>
          <w:szCs w:val="32"/>
          <w:shd w:val="clear" w:color="auto" w:fill="auto"/>
        </w:rPr>
        <w:fldChar w:fldCharType="begin"/>
      </w:r>
      <w:r>
        <w:instrText>HYPERLINK "mailto:lwhgbgs@customs.gov.cn"</w:instrText>
      </w:r>
      <w:r>
        <w:rPr>
          <w:szCs w:val="32"/>
          <w:shd w:val="clear" w:color="auto" w:fill="auto"/>
        </w:rPr>
        <w:fldChar w:fldCharType="separate"/>
      </w:r>
      <w:r>
        <w:rPr>
          <w:szCs w:val="32"/>
          <w:shd w:val="clear" w:color="auto" w:fill="auto"/>
        </w:rPr>
        <w:t>lwhgbgs@customs.gov.cn</w:t>
      </w:r>
      <w:r>
        <w:rPr>
          <w:szCs w:val="32"/>
          <w:shd w:val="clear" w:color="auto" w:fill="auto"/>
        </w:rPr>
        <w:fldChar w:fldCharType="end"/>
      </w:r>
      <w:r>
        <w:rPr>
          <w:szCs w:val="32"/>
          <w:shd w:val="clear" w:color="auto" w:fill="auto"/>
        </w:rPr>
        <w:t>。</w:t>
      </w:r>
    </w:p>
    <w:p>
      <w:pPr>
        <w:pStyle w:val="26"/>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560" w:lineRule="exact"/>
        <w:ind w:firstLineChars="200" w:firstLine="640"/>
        <w:jc w:val="both"/>
        <w:textAlignment w:val="auto"/>
        <w:rPr>
          <w:rFonts w:ascii="方正黑体_GBK" w:eastAsia="方正黑体_GBK" w:cs="楷体_GB2312" w:hint="eastAsia"/>
          <w:bCs/>
          <w:color w:val="auto"/>
          <w:sz w:val="32"/>
          <w:szCs w:val="32"/>
          <w:shd w:val="clear" w:color="auto" w:fill="auto"/>
          <w:lang w:bidi="ar-SA"/>
        </w:rPr>
      </w:pPr>
      <w:r>
        <w:rPr>
          <w:rFonts w:ascii="方正黑体_GBK" w:eastAsia="方正黑体_GBK" w:cs="楷体_GB2312" w:hint="eastAsia"/>
          <w:bCs/>
          <w:color w:val="auto"/>
          <w:sz w:val="32"/>
          <w:szCs w:val="32"/>
          <w:shd w:val="clear" w:color="auto" w:fill="auto"/>
          <w:lang w:bidi="ar-SA"/>
        </w:rPr>
        <w:t>一、总体情况</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Chars="200" w:firstLine="640"/>
        <w:textAlignment w:val="auto"/>
        <w:rPr>
          <w:rFonts w:hint="eastAsia"/>
          <w:shd w:val="clear" w:color="auto" w:fill="auto"/>
          <w:lang w:val="en-US" w:eastAsia="zh-CN"/>
        </w:rPr>
      </w:pPr>
      <w:r>
        <w:rPr>
          <w:rFonts w:hint="eastAsia"/>
          <w:shd w:val="clear" w:color="auto" w:fill="auto"/>
          <w:lang w:val="en-US" w:eastAsia="zh-CN"/>
        </w:rPr>
        <w:t>2024年，荔湾海关坚持以习近平新时代中国特色社会主义思想为指导，全面贯彻落实党的二十大和二十届二中、三中全会精神，深入学习贯彻习近平总书记</w:t>
      </w:r>
      <w:r>
        <w:rPr>
          <w:rFonts w:ascii="Times New Roman" w:eastAsia="方正仿宋_GBK" w:hAnsi="Times New Roman"/>
          <w:sz w:val="32"/>
          <w:szCs w:val="32"/>
          <w:shd w:val="clear" w:color="auto" w:fill="auto"/>
        </w:rPr>
        <w:t>重要指示批示和</w:t>
      </w:r>
      <w:r>
        <w:rPr>
          <w:rFonts w:hint="eastAsia"/>
          <w:shd w:val="clear" w:color="auto" w:fill="auto"/>
          <w:lang w:val="en-US" w:eastAsia="zh-CN"/>
        </w:rPr>
        <w:t>给红其拉甫海关全体关员重要回信精神，严格落实《中华人民共和国政府信息公开条例》（以下简称《条例》），遵循公平、公正、合法、便民原则，充分保障群众知情权、参与权和监督权，服务辖区企业高质量发展。现将工作情况报告如下：</w:t>
      </w:r>
    </w:p>
    <w:p>
      <w:pPr>
        <w:keepNext w:val="0"/>
        <w:keepLines w:val="0"/>
        <w:pageBreakBefore w:val="0"/>
        <w:widowControl w:val="0"/>
        <w:shd w:val="clear" w:color="auto" w:fill="auto"/>
        <w:kinsoku/>
        <w:wordWrap/>
        <w:overflowPunct/>
        <w:topLinePunct w:val="0"/>
        <w:autoSpaceDE/>
        <w:autoSpaceDN/>
        <w:bidi w:val="0"/>
        <w:adjustRightInd w:val="0"/>
        <w:snapToGrid/>
        <w:spacing w:line="560" w:lineRule="exact"/>
        <w:ind w:firstLineChars="200" w:firstLine="640"/>
        <w:textAlignment w:val="auto"/>
        <w:rPr>
          <w:rFonts w:ascii="方正楷体_GBK" w:eastAsia="方正楷体_GBK" w:cs="方正楷体_GBK" w:hint="eastAsia"/>
          <w:b/>
          <w:bCs/>
          <w:shd w:val="clear" w:color="auto" w:fill="auto"/>
          <w:lang w:val="en-US" w:eastAsia="zh-CN"/>
        </w:rPr>
      </w:pPr>
      <w:r>
        <w:rPr>
          <w:rFonts w:ascii="方正楷体_GBK" w:eastAsia="方正楷体_GBK" w:cs="方正楷体_GBK" w:hint="eastAsia"/>
          <w:b/>
          <w:bCs/>
          <w:shd w:val="clear" w:color="auto" w:fill="auto"/>
          <w:lang w:val="en-US" w:eastAsia="zh-CN"/>
        </w:rPr>
        <w:t xml:space="preserve">（一）加大主动公开力度，提升政务透明度。 </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Chars="200" w:firstLine="640"/>
        <w:textAlignment w:val="auto"/>
        <w:rPr>
          <w:rFonts w:ascii="Times New Roman" w:eastAsia="方正仿宋_GBK" w:cs="Times New Roman" w:hAnsi="Times New Roman" w:hint="eastAsia"/>
          <w:kern w:val="2"/>
          <w:sz w:val="32"/>
          <w:szCs w:val="32"/>
          <w:shd w:val="clear" w:color="auto" w:fill="auto"/>
          <w:lang w:val="en-US" w:eastAsia="zh-CN" w:bidi="ar-SA"/>
        </w:rPr>
      </w:pPr>
      <w:r>
        <w:rPr>
          <w:rFonts w:ascii="Times New Roman" w:eastAsia="方正仿宋_GBK" w:cs="Times New Roman" w:hAnsi="Times New Roman" w:hint="eastAsia"/>
          <w:kern w:val="2"/>
          <w:sz w:val="32"/>
          <w:szCs w:val="32"/>
          <w:shd w:val="clear" w:color="auto" w:fill="auto"/>
          <w:lang w:val="en-US" w:eastAsia="zh-CN" w:bidi="ar-SA"/>
        </w:rPr>
        <w:t>优化更新《荔湾海关政务公开标准事项目录》，拓宽“政务服务”“互动交流”“综合管理”等类目内容</w:t>
      </w:r>
      <w:r>
        <w:rPr>
          <w:rFonts w:ascii="Times New Roman" w:eastAsia="方正仿宋_GBK" w:cs="Times New Roman" w:hAnsi="Times New Roman"/>
          <w:kern w:val="2"/>
          <w:sz w:val="32"/>
          <w:szCs w:val="32"/>
          <w:shd w:val="clear" w:color="auto" w:fill="auto"/>
          <w:lang w:val="en-US" w:eastAsia="zh-CN" w:bidi="ar-SA"/>
        </w:rPr>
        <w:t>的对应</w:t>
      </w:r>
      <w:r>
        <w:rPr>
          <w:rFonts w:ascii="Times New Roman" w:eastAsia="方正仿宋_GBK" w:cs="Times New Roman" w:hAnsi="Times New Roman" w:hint="eastAsia"/>
          <w:kern w:val="2"/>
          <w:sz w:val="32"/>
          <w:szCs w:val="32"/>
          <w:shd w:val="clear" w:color="auto" w:fill="auto"/>
          <w:lang w:val="en-US" w:eastAsia="zh-CN" w:bidi="ar-SA"/>
        </w:rPr>
        <w:t>公开渠道。年内</w:t>
      </w:r>
      <w:r>
        <w:rPr>
          <w:rFonts w:ascii="Times New Roman" w:eastAsia="方正仿宋_GBK" w:cs="Times New Roman" w:hAnsi="Times New Roman"/>
          <w:kern w:val="2"/>
          <w:sz w:val="32"/>
          <w:szCs w:val="32"/>
          <w:shd w:val="clear" w:color="auto" w:fill="auto"/>
          <w:lang w:val="en-US" w:eastAsia="zh-CN" w:bidi="ar-SA"/>
        </w:rPr>
        <w:t>通过广州海关门户网站主动</w:t>
      </w:r>
      <w:r>
        <w:rPr>
          <w:rFonts w:ascii="Times New Roman" w:eastAsia="方正仿宋_GBK" w:cs="Times New Roman" w:hAnsi="Times New Roman" w:hint="eastAsia"/>
          <w:kern w:val="2"/>
          <w:sz w:val="32"/>
          <w:szCs w:val="32"/>
          <w:shd w:val="clear" w:color="auto" w:fill="auto"/>
          <w:lang w:val="en-US" w:eastAsia="zh-CN" w:bidi="ar-SA"/>
        </w:rPr>
        <w:t>公开行政处罚、财务预决算等各类信息</w:t>
      </w:r>
      <w:r>
        <w:rPr>
          <w:rFonts w:ascii="Times New Roman" w:eastAsia="方正仿宋_GBK" w:cs="Times New Roman" w:hAnsi="Times New Roman"/>
          <w:kern w:val="2"/>
          <w:sz w:val="32"/>
          <w:szCs w:val="32"/>
          <w:shd w:val="clear" w:color="auto" w:fill="auto"/>
          <w:lang w:val="en-US" w:eastAsia="zh-CN" w:bidi="ar-SA"/>
        </w:rPr>
        <w:t>，</w:t>
      </w:r>
      <w:r>
        <w:rPr>
          <w:rFonts w:ascii="Times New Roman" w:eastAsia="方正仿宋_GBK" w:cs="Times New Roman" w:hAnsi="Times New Roman" w:hint="eastAsia"/>
          <w:kern w:val="2"/>
          <w:sz w:val="32"/>
          <w:szCs w:val="32"/>
          <w:shd w:val="clear" w:color="auto" w:fill="auto"/>
          <w:lang w:val="en-US" w:eastAsia="zh-CN" w:bidi="ar-SA"/>
        </w:rPr>
        <w:t>定期维护</w:t>
      </w:r>
      <w:r>
        <w:rPr>
          <w:rFonts w:ascii="Times New Roman" w:eastAsia="方正仿宋_GBK" w:cs="Times New Roman" w:hAnsi="Times New Roman"/>
          <w:kern w:val="2"/>
          <w:sz w:val="32"/>
          <w:szCs w:val="32"/>
          <w:shd w:val="clear" w:color="auto" w:fill="auto"/>
          <w:lang w:val="en-US" w:eastAsia="zh-CN" w:bidi="ar-SA"/>
        </w:rPr>
        <w:t>已在</w:t>
      </w:r>
      <w:r>
        <w:rPr>
          <w:rFonts w:ascii="Times New Roman" w:eastAsia="方正仿宋_GBK" w:cs="Times New Roman" w:hAnsi="Times New Roman" w:hint="eastAsia"/>
          <w:kern w:val="2"/>
          <w:sz w:val="32"/>
          <w:szCs w:val="32"/>
          <w:shd w:val="clear" w:color="auto" w:fill="auto"/>
          <w:lang w:val="en-US" w:eastAsia="zh-CN" w:bidi="ar-SA"/>
        </w:rPr>
        <w:t>广州海关门户网站、</w:t>
      </w:r>
      <w:r>
        <w:rPr>
          <w:rFonts w:cs="Times New Roman" w:hint="eastAsia"/>
          <w:kern w:val="2"/>
          <w:sz w:val="32"/>
          <w:szCs w:val="32"/>
          <w:shd w:val="clear" w:color="auto" w:fill="auto"/>
          <w:lang w:val="en-US" w:eastAsia="zh-CN" w:bidi="ar-SA"/>
        </w:rPr>
        <w:t>基层</w:t>
      </w:r>
      <w:r>
        <w:rPr>
          <w:rFonts w:ascii="Times New Roman" w:eastAsia="方正仿宋_GBK" w:cs="Times New Roman" w:hAnsi="Times New Roman" w:hint="eastAsia"/>
          <w:kern w:val="2"/>
          <w:sz w:val="32"/>
          <w:szCs w:val="32"/>
          <w:shd w:val="clear" w:color="auto" w:fill="auto"/>
          <w:lang w:val="en-US" w:eastAsia="zh-CN" w:bidi="ar-SA"/>
        </w:rPr>
        <w:t>政务公开专区等</w:t>
      </w:r>
      <w:r>
        <w:rPr>
          <w:rFonts w:ascii="Times New Roman" w:eastAsia="方正仿宋_GBK" w:cs="Times New Roman" w:hAnsi="Times New Roman"/>
          <w:kern w:val="2"/>
          <w:sz w:val="32"/>
          <w:szCs w:val="32"/>
          <w:shd w:val="clear" w:color="auto" w:fill="auto"/>
          <w:lang w:val="en-US" w:eastAsia="zh-CN" w:bidi="ar-SA"/>
        </w:rPr>
        <w:t>渠道</w:t>
      </w:r>
      <w:r>
        <w:rPr>
          <w:rFonts w:ascii="Times New Roman" w:eastAsia="方正仿宋_GBK" w:cs="Times New Roman" w:hAnsi="Times New Roman" w:hint="eastAsia"/>
          <w:kern w:val="2"/>
          <w:sz w:val="32"/>
          <w:szCs w:val="32"/>
          <w:shd w:val="clear" w:color="auto" w:fill="auto"/>
          <w:lang w:val="en-US" w:eastAsia="zh-CN" w:bidi="ar-SA"/>
        </w:rPr>
        <w:t>公开</w:t>
      </w:r>
      <w:r>
        <w:rPr>
          <w:rFonts w:ascii="Times New Roman" w:eastAsia="方正仿宋_GBK" w:cs="Times New Roman" w:hAnsi="Times New Roman"/>
          <w:kern w:val="2"/>
          <w:sz w:val="32"/>
          <w:szCs w:val="32"/>
          <w:shd w:val="clear" w:color="auto" w:fill="auto"/>
          <w:lang w:val="en-US" w:eastAsia="zh-CN" w:bidi="ar-SA"/>
        </w:rPr>
        <w:t>的</w:t>
      </w:r>
      <w:r>
        <w:rPr>
          <w:rFonts w:ascii="Times New Roman" w:eastAsia="方正仿宋_GBK" w:cs="Times New Roman" w:hAnsi="Times New Roman" w:hint="eastAsia"/>
          <w:kern w:val="2"/>
          <w:sz w:val="32"/>
          <w:szCs w:val="32"/>
          <w:shd w:val="clear" w:color="auto" w:fill="auto"/>
          <w:lang w:val="en-US" w:eastAsia="zh-CN" w:bidi="ar-SA"/>
        </w:rPr>
        <w:t>信息，确保内容及时</w:t>
      </w:r>
      <w:r>
        <w:rPr>
          <w:rFonts w:ascii="Times New Roman" w:eastAsia="方正仿宋_GBK" w:cs="Times New Roman" w:hAnsi="Times New Roman"/>
          <w:kern w:val="2"/>
          <w:sz w:val="32"/>
          <w:szCs w:val="32"/>
          <w:shd w:val="clear" w:color="auto" w:fill="auto"/>
          <w:lang w:val="en-US" w:eastAsia="zh-CN" w:bidi="ar-SA"/>
        </w:rPr>
        <w:t>、</w:t>
      </w:r>
      <w:r>
        <w:rPr>
          <w:rFonts w:ascii="Times New Roman" w:eastAsia="方正仿宋_GBK" w:cs="Times New Roman" w:hAnsi="Times New Roman" w:hint="eastAsia"/>
          <w:kern w:val="2"/>
          <w:sz w:val="32"/>
          <w:szCs w:val="32"/>
          <w:shd w:val="clear" w:color="auto" w:fill="auto"/>
          <w:lang w:val="en-US" w:eastAsia="zh-CN" w:bidi="ar-SA"/>
        </w:rPr>
        <w:t>准确</w:t>
      </w:r>
      <w:r>
        <w:rPr>
          <w:rFonts w:ascii="Times New Roman" w:eastAsia="方正仿宋_GBK" w:cs="Times New Roman" w:hAnsi="Times New Roman"/>
          <w:kern w:val="2"/>
          <w:sz w:val="32"/>
          <w:szCs w:val="32"/>
          <w:shd w:val="clear" w:color="auto" w:fill="auto"/>
          <w:lang w:val="en-US" w:eastAsia="zh-CN" w:bidi="ar-SA"/>
        </w:rPr>
        <w:t>、有效</w:t>
      </w:r>
      <w:r>
        <w:rPr>
          <w:rFonts w:ascii="Times New Roman" w:eastAsia="方正仿宋_GBK" w:cs="Times New Roman" w:hAnsi="Times New Roman" w:hint="eastAsia"/>
          <w:kern w:val="2"/>
          <w:sz w:val="32"/>
          <w:szCs w:val="32"/>
          <w:shd w:val="clear" w:color="auto" w:fill="auto"/>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val="0"/>
        <w:snapToGrid/>
        <w:spacing w:line="560" w:lineRule="exact"/>
        <w:ind w:firstLineChars="200" w:firstLine="640"/>
        <w:textAlignment w:val="auto"/>
        <w:rPr>
          <w:rFonts w:ascii="方正楷体_GBK" w:eastAsia="方正楷体_GBK" w:cs="方正楷体_GBK" w:hint="eastAsia"/>
          <w:b/>
          <w:bCs/>
          <w:shd w:val="clear" w:color="auto" w:fill="auto"/>
          <w:lang w:val="en-US" w:eastAsia="zh-CN"/>
        </w:rPr>
      </w:pPr>
      <w:r>
        <w:rPr>
          <w:rFonts w:ascii="方正楷体_GBK" w:eastAsia="方正楷体_GBK" w:cs="方正楷体_GBK" w:hint="eastAsia"/>
          <w:b/>
          <w:bCs/>
          <w:shd w:val="clear" w:color="auto" w:fill="auto"/>
          <w:lang w:val="en-US" w:eastAsia="zh-CN"/>
        </w:rPr>
        <w:t xml:space="preserve">（二）顺畅依申请公开渠道，严格依法依规办理。 </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Chars="200" w:firstLine="640"/>
        <w:textAlignment w:val="auto"/>
        <w:rPr>
          <w:rFonts w:ascii="Times New Roman" w:eastAsia="方正仿宋_GBK" w:cs="Times New Roman" w:hAnsi="Times New Roman" w:hint="eastAsia"/>
          <w:kern w:val="2"/>
          <w:sz w:val="32"/>
          <w:szCs w:val="32"/>
          <w:shd w:val="clear" w:color="auto" w:fill="auto"/>
          <w:lang w:val="en-US" w:eastAsia="zh-CN" w:bidi="ar-SA"/>
        </w:rPr>
      </w:pPr>
      <w:r>
        <w:rPr>
          <w:rFonts w:ascii="Times New Roman" w:eastAsia="方正仿宋_GBK" w:cs="Times New Roman" w:hAnsi="Times New Roman" w:hint="eastAsia"/>
          <w:kern w:val="2"/>
          <w:sz w:val="32"/>
          <w:szCs w:val="32"/>
          <w:shd w:val="clear" w:color="auto" w:fill="auto"/>
          <w:lang w:val="en-US" w:eastAsia="zh-CN" w:bidi="ar-SA"/>
        </w:rPr>
        <w:t>更新</w:t>
      </w:r>
      <w:r>
        <w:rPr>
          <w:rFonts w:ascii="Times New Roman" w:eastAsia="方正仿宋_GBK" w:cs="Times New Roman" w:hAnsi="Times New Roman"/>
          <w:kern w:val="2"/>
          <w:sz w:val="32"/>
          <w:szCs w:val="32"/>
          <w:shd w:val="clear" w:color="auto" w:fill="auto"/>
          <w:lang w:val="en-US" w:eastAsia="zh-CN" w:bidi="ar-SA"/>
        </w:rPr>
        <w:t>电子</w:t>
      </w:r>
      <w:r>
        <w:rPr>
          <w:rFonts w:ascii="Times New Roman" w:eastAsia="方正仿宋_GBK" w:cs="Times New Roman" w:hAnsi="Times New Roman" w:hint="eastAsia"/>
          <w:kern w:val="2"/>
          <w:sz w:val="32"/>
          <w:szCs w:val="32"/>
          <w:shd w:val="clear" w:color="auto" w:fill="auto"/>
          <w:lang w:val="en-US" w:eastAsia="zh-CN" w:bidi="ar-SA"/>
        </w:rPr>
        <w:t>邮箱受理渠道，规范账号管理、邮件备份、邮件转办等操作环节。及时查收邮件、信件、传真、电话等各类信息，确保受理渠道顺畅。细致梳理依申请公开</w:t>
      </w:r>
      <w:r>
        <w:rPr>
          <w:rFonts w:ascii="Times New Roman" w:eastAsia="方正仿宋_GBK" w:cs="Times New Roman" w:hAnsi="Times New Roman"/>
          <w:kern w:val="2"/>
          <w:sz w:val="32"/>
          <w:szCs w:val="32"/>
          <w:shd w:val="clear" w:color="auto" w:fill="auto"/>
          <w:lang w:val="en-US" w:eastAsia="zh-CN" w:bidi="ar-SA"/>
        </w:rPr>
        <w:t>办理</w:t>
      </w:r>
      <w:r>
        <w:rPr>
          <w:rFonts w:ascii="Times New Roman" w:eastAsia="方正仿宋_GBK" w:cs="Times New Roman" w:hAnsi="Times New Roman" w:hint="eastAsia"/>
          <w:kern w:val="2"/>
          <w:sz w:val="32"/>
          <w:szCs w:val="32"/>
          <w:shd w:val="clear" w:color="auto" w:fill="auto"/>
          <w:lang w:val="en-US" w:eastAsia="zh-CN" w:bidi="ar-SA"/>
        </w:rPr>
        <w:t>流程，根据《中华人民共和国行政复议法》修订内容，及时明确依申请办理规范要求</w:t>
      </w:r>
      <w:r>
        <w:rPr>
          <w:rFonts w:ascii="Times New Roman" w:eastAsia="方正仿宋_GBK" w:cs="Times New Roman" w:hAnsi="Times New Roman"/>
          <w:kern w:val="2"/>
          <w:sz w:val="32"/>
          <w:szCs w:val="32"/>
          <w:shd w:val="clear" w:color="auto" w:fill="auto"/>
          <w:lang w:val="en-US" w:eastAsia="zh-CN" w:bidi="ar-SA"/>
        </w:rPr>
        <w:t>。</w:t>
      </w:r>
      <w:r>
        <w:rPr>
          <w:rFonts w:ascii="Times New Roman" w:eastAsia="方正仿宋_GBK" w:cs="Times New Roman" w:hAnsi="Times New Roman" w:hint="eastAsia"/>
          <w:kern w:val="2"/>
          <w:sz w:val="32"/>
          <w:szCs w:val="32"/>
          <w:shd w:val="clear" w:color="auto" w:fill="auto"/>
          <w:lang w:val="en-US" w:eastAsia="zh-CN" w:bidi="ar-SA"/>
        </w:rPr>
        <w:t>年内未收到政府信息公开申请。</w:t>
      </w:r>
    </w:p>
    <w:p>
      <w:pPr>
        <w:keepNext w:val="0"/>
        <w:keepLines w:val="0"/>
        <w:pageBreakBefore w:val="0"/>
        <w:widowControl w:val="0"/>
        <w:shd w:val="clear" w:color="auto" w:fill="auto"/>
        <w:kinsoku/>
        <w:wordWrap/>
        <w:overflowPunct/>
        <w:topLinePunct w:val="0"/>
        <w:autoSpaceDE/>
        <w:autoSpaceDN/>
        <w:bidi w:val="0"/>
        <w:adjustRightInd w:val="0"/>
        <w:snapToGrid/>
        <w:spacing w:line="560" w:lineRule="exact"/>
        <w:ind w:firstLineChars="200" w:firstLine="640"/>
        <w:textAlignment w:val="auto"/>
        <w:rPr>
          <w:rFonts w:ascii="方正楷体_GBK" w:eastAsia="方正楷体_GBK" w:cs="方正楷体_GBK" w:hint="eastAsia"/>
          <w:b/>
          <w:bCs/>
          <w:shd w:val="clear" w:color="auto" w:fill="auto"/>
          <w:lang w:val="en-US" w:eastAsia="zh-CN"/>
        </w:rPr>
      </w:pPr>
      <w:r>
        <w:rPr>
          <w:rFonts w:ascii="方正楷体_GBK" w:eastAsia="方正楷体_GBK" w:cs="方正楷体_GBK" w:hint="eastAsia"/>
          <w:b/>
          <w:bCs/>
          <w:shd w:val="clear" w:color="auto" w:fill="auto"/>
          <w:lang w:val="en-US" w:eastAsia="zh-CN"/>
        </w:rPr>
        <w:t>（三）严密全流程管理链条，提高信息公开质效。</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Chars="200" w:firstLine="640"/>
        <w:textAlignment w:val="auto"/>
        <w:rPr>
          <w:rFonts w:ascii="Times New Roman" w:eastAsia="方正仿宋_GBK" w:cs="Times New Roman" w:hAnsi="Times New Roman" w:hint="eastAsia"/>
          <w:kern w:val="2"/>
          <w:sz w:val="32"/>
          <w:szCs w:val="32"/>
          <w:shd w:val="clear" w:color="auto" w:fill="auto"/>
          <w:lang w:val="en-US" w:eastAsia="zh-CN" w:bidi="ar-SA"/>
        </w:rPr>
      </w:pPr>
      <w:r>
        <w:rPr>
          <w:rFonts w:ascii="Times New Roman" w:eastAsia="方正仿宋_GBK" w:cs="Times New Roman" w:hAnsi="Times New Roman" w:hint="eastAsia"/>
          <w:kern w:val="2"/>
          <w:sz w:val="32"/>
          <w:szCs w:val="32"/>
          <w:shd w:val="clear" w:color="auto" w:fill="auto"/>
          <w:lang w:val="en-US" w:eastAsia="zh-CN" w:bidi="ar-SA"/>
        </w:rPr>
        <w:t>严格按照《条例》规定明确政府信息公开主体和范围，坚持“谁公开</w:t>
      </w:r>
      <w:r>
        <w:rPr>
          <w:rFonts w:ascii="Times New Roman" w:eastAsia="方正仿宋_GBK" w:cs="Times New Roman" w:hAnsi="Times New Roman"/>
          <w:kern w:val="2"/>
          <w:sz w:val="32"/>
          <w:szCs w:val="32"/>
          <w:shd w:val="clear" w:color="auto" w:fill="auto"/>
          <w:lang w:val="en-US" w:eastAsia="zh-CN" w:bidi="ar-SA"/>
        </w:rPr>
        <w:t>、</w:t>
      </w:r>
      <w:r>
        <w:rPr>
          <w:rFonts w:ascii="Times New Roman" w:eastAsia="方正仿宋_GBK" w:cs="Times New Roman" w:hAnsi="Times New Roman" w:hint="eastAsia"/>
          <w:kern w:val="2"/>
          <w:sz w:val="32"/>
          <w:szCs w:val="32"/>
          <w:shd w:val="clear" w:color="auto" w:fill="auto"/>
          <w:lang w:val="en-US" w:eastAsia="zh-CN" w:bidi="ar-SA"/>
        </w:rPr>
        <w:t>谁负责”“先审查</w:t>
      </w:r>
      <w:r>
        <w:rPr>
          <w:rFonts w:ascii="Times New Roman" w:eastAsia="方正仿宋_GBK" w:cs="Times New Roman" w:hAnsi="Times New Roman"/>
          <w:kern w:val="2"/>
          <w:sz w:val="32"/>
          <w:szCs w:val="32"/>
          <w:shd w:val="clear" w:color="auto" w:fill="auto"/>
          <w:lang w:val="en-US" w:eastAsia="zh-CN" w:bidi="ar-SA"/>
        </w:rPr>
        <w:t>、</w:t>
      </w:r>
      <w:r>
        <w:rPr>
          <w:rFonts w:ascii="Times New Roman" w:eastAsia="方正仿宋_GBK" w:cs="Times New Roman" w:hAnsi="Times New Roman" w:hint="eastAsia"/>
          <w:kern w:val="2"/>
          <w:sz w:val="32"/>
          <w:szCs w:val="32"/>
          <w:shd w:val="clear" w:color="auto" w:fill="auto"/>
          <w:lang w:val="en-US" w:eastAsia="zh-CN" w:bidi="ar-SA"/>
        </w:rPr>
        <w:t>后公开”原则，</w:t>
      </w:r>
      <w:r>
        <w:rPr>
          <w:rFonts w:ascii="Times New Roman" w:eastAsia="方正仿宋_GBK" w:cs="Times New Roman" w:hAnsi="Times New Roman"/>
          <w:kern w:val="2"/>
          <w:sz w:val="32"/>
          <w:szCs w:val="32"/>
          <w:shd w:val="clear" w:color="auto" w:fill="auto"/>
          <w:lang w:val="en-US" w:eastAsia="zh-CN" w:bidi="ar-SA"/>
        </w:rPr>
        <w:t>落实信息</w:t>
      </w:r>
      <w:r>
        <w:rPr>
          <w:rFonts w:ascii="Times New Roman" w:eastAsia="方正仿宋_GBK" w:cs="Times New Roman" w:hAnsi="Times New Roman" w:hint="eastAsia"/>
          <w:kern w:val="2"/>
          <w:sz w:val="32"/>
          <w:szCs w:val="32"/>
          <w:shd w:val="clear" w:color="auto" w:fill="auto"/>
          <w:lang w:val="en-US" w:eastAsia="zh-CN" w:bidi="ar-SA"/>
        </w:rPr>
        <w:t>公开</w:t>
      </w:r>
      <w:r>
        <w:rPr>
          <w:rFonts w:ascii="Times New Roman" w:eastAsia="方正仿宋_GBK" w:cs="Times New Roman" w:hAnsi="Times New Roman"/>
          <w:kern w:val="2"/>
          <w:sz w:val="32"/>
          <w:szCs w:val="32"/>
          <w:shd w:val="clear" w:color="auto" w:fill="auto"/>
          <w:lang w:val="en-US" w:eastAsia="zh-CN" w:bidi="ar-SA"/>
        </w:rPr>
        <w:t>发布</w:t>
      </w:r>
      <w:r>
        <w:rPr>
          <w:rFonts w:ascii="Times New Roman" w:eastAsia="方正仿宋_GBK" w:cs="Times New Roman" w:hAnsi="Times New Roman" w:hint="eastAsia"/>
          <w:kern w:val="2"/>
          <w:sz w:val="32"/>
          <w:szCs w:val="32"/>
          <w:shd w:val="clear" w:color="auto" w:fill="auto"/>
          <w:lang w:val="en-US" w:eastAsia="zh-CN" w:bidi="ar-SA"/>
        </w:rPr>
        <w:t>三级审查。定期开展信息公开专项检查“回头看”，确保严格</w:t>
      </w:r>
      <w:r>
        <w:rPr>
          <w:rFonts w:ascii="Times New Roman" w:eastAsia="方正仿宋_GBK" w:cs="Times New Roman" w:hAnsi="Times New Roman"/>
          <w:kern w:val="2"/>
          <w:sz w:val="32"/>
          <w:szCs w:val="32"/>
          <w:shd w:val="clear" w:color="auto" w:fill="auto"/>
          <w:lang w:val="en-US" w:eastAsia="zh-CN" w:bidi="ar-SA"/>
        </w:rPr>
        <w:t>执行</w:t>
      </w:r>
      <w:r>
        <w:rPr>
          <w:rFonts w:ascii="Times New Roman" w:eastAsia="方正仿宋_GBK" w:cs="Times New Roman" w:hAnsi="Times New Roman" w:hint="eastAsia"/>
          <w:kern w:val="2"/>
          <w:sz w:val="32"/>
          <w:szCs w:val="32"/>
          <w:shd w:val="clear" w:color="auto" w:fill="auto"/>
          <w:lang w:val="en-US" w:eastAsia="zh-CN" w:bidi="ar-SA"/>
        </w:rPr>
        <w:t>公开时</w:t>
      </w:r>
      <w:r>
        <w:rPr>
          <w:rFonts w:ascii="Times New Roman" w:eastAsia="方正仿宋_GBK" w:cs="Times New Roman" w:hAnsi="Times New Roman"/>
          <w:kern w:val="2"/>
          <w:sz w:val="32"/>
          <w:szCs w:val="32"/>
          <w:shd w:val="clear" w:color="auto" w:fill="auto"/>
          <w:lang w:val="en-US" w:eastAsia="zh-CN" w:bidi="ar-SA"/>
        </w:rPr>
        <w:t>效</w:t>
      </w:r>
      <w:r>
        <w:rPr>
          <w:rFonts w:ascii="Times New Roman" w:eastAsia="方正仿宋_GBK" w:cs="Times New Roman" w:hAnsi="Times New Roman" w:hint="eastAsia"/>
          <w:kern w:val="2"/>
          <w:sz w:val="32"/>
          <w:szCs w:val="32"/>
          <w:shd w:val="clear" w:color="auto" w:fill="auto"/>
          <w:lang w:val="en-US" w:eastAsia="zh-CN" w:bidi="ar-SA"/>
        </w:rPr>
        <w:t>、保密审查流程等</w:t>
      </w:r>
      <w:r>
        <w:rPr>
          <w:rFonts w:ascii="Times New Roman" w:eastAsia="方正仿宋_GBK" w:cs="Times New Roman" w:hAnsi="Times New Roman"/>
          <w:kern w:val="2"/>
          <w:sz w:val="32"/>
          <w:szCs w:val="32"/>
          <w:shd w:val="clear" w:color="auto" w:fill="auto"/>
          <w:lang w:val="en-US" w:eastAsia="zh-CN" w:bidi="ar-SA"/>
        </w:rPr>
        <w:t>规范</w:t>
      </w:r>
      <w:r>
        <w:rPr>
          <w:rFonts w:ascii="Times New Roman" w:eastAsia="方正仿宋_GBK" w:cs="Times New Roman" w:hAnsi="Times New Roman" w:hint="eastAsia"/>
          <w:kern w:val="2"/>
          <w:sz w:val="32"/>
          <w:szCs w:val="32"/>
          <w:shd w:val="clear" w:color="auto" w:fill="auto"/>
          <w:lang w:val="en-US" w:eastAsia="zh-CN" w:bidi="ar-SA"/>
        </w:rPr>
        <w:t>要求。</w:t>
      </w:r>
    </w:p>
    <w:p>
      <w:pPr>
        <w:keepNext w:val="0"/>
        <w:keepLines w:val="0"/>
        <w:pageBreakBefore w:val="0"/>
        <w:widowControl w:val="0"/>
        <w:shd w:val="clear" w:color="auto" w:fill="auto"/>
        <w:kinsoku/>
        <w:wordWrap/>
        <w:overflowPunct/>
        <w:topLinePunct w:val="0"/>
        <w:autoSpaceDE/>
        <w:autoSpaceDN/>
        <w:bidi w:val="0"/>
        <w:adjustRightInd w:val="0"/>
        <w:snapToGrid/>
        <w:spacing w:line="560" w:lineRule="exact"/>
        <w:ind w:firstLineChars="200" w:firstLine="640"/>
        <w:textAlignment w:val="auto"/>
        <w:rPr>
          <w:rFonts w:ascii="方正楷体_GBK" w:eastAsia="方正楷体_GBK" w:cs="方正楷体_GBK" w:hint="eastAsia"/>
          <w:b/>
          <w:bCs/>
          <w:shd w:val="clear" w:color="auto" w:fill="auto"/>
          <w:lang w:val="en-US" w:eastAsia="zh-CN"/>
        </w:rPr>
      </w:pPr>
      <w:r>
        <w:rPr>
          <w:rFonts w:ascii="方正楷体_GBK" w:eastAsia="方正楷体_GBK" w:cs="方正楷体_GBK" w:hint="eastAsia"/>
          <w:b/>
          <w:bCs/>
          <w:shd w:val="clear" w:color="auto" w:fill="auto"/>
          <w:lang w:val="en-US" w:eastAsia="zh-CN"/>
        </w:rPr>
        <w:t>（四）建优政务公开平台，丰富惠民利企举措。</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Chars="200" w:firstLine="640"/>
        <w:textAlignment w:val="auto"/>
        <w:rPr>
          <w:rFonts w:ascii="Times New Roman" w:eastAsia="方正仿宋_GBK" w:cs="Times New Roman" w:hAnsi="Times New Roman" w:hint="eastAsia"/>
          <w:kern w:val="2"/>
          <w:sz w:val="32"/>
          <w:szCs w:val="32"/>
          <w:shd w:val="clear" w:color="auto" w:fill="auto"/>
          <w:lang w:val="en-US" w:eastAsia="zh-CN" w:bidi="ar-SA"/>
        </w:rPr>
      </w:pPr>
      <w:r>
        <w:rPr>
          <w:rFonts w:ascii="Times New Roman" w:eastAsia="方正仿宋_GBK" w:cs="Times New Roman" w:hAnsi="Times New Roman" w:hint="eastAsia"/>
          <w:kern w:val="2"/>
          <w:sz w:val="32"/>
          <w:szCs w:val="32"/>
          <w:shd w:val="clear" w:color="auto" w:fill="auto"/>
          <w:lang w:val="en-US" w:eastAsia="zh-CN" w:bidi="ar-SA"/>
        </w:rPr>
        <w:t>建强</w:t>
      </w:r>
      <w:r>
        <w:rPr>
          <w:rFonts w:ascii="Times New Roman" w:eastAsia="方正仿宋_GBK" w:cs="Times New Roman" w:hAnsi="Times New Roman"/>
          <w:kern w:val="2"/>
          <w:sz w:val="32"/>
          <w:szCs w:val="32"/>
          <w:shd w:val="clear" w:color="auto" w:fill="auto"/>
          <w:lang w:val="en-US" w:eastAsia="zh-CN" w:bidi="ar-SA"/>
        </w:rPr>
        <w:t>建优</w:t>
      </w:r>
      <w:r>
        <w:rPr>
          <w:rFonts w:ascii="Times New Roman" w:eastAsia="方正仿宋_GBK" w:cs="Times New Roman" w:hAnsi="Times New Roman" w:hint="eastAsia"/>
          <w:kern w:val="2"/>
          <w:sz w:val="32"/>
          <w:szCs w:val="32"/>
          <w:shd w:val="clear" w:color="auto" w:fill="auto"/>
          <w:lang w:val="en-US" w:eastAsia="zh-CN" w:bidi="ar-SA"/>
        </w:rPr>
        <w:t>基层政务公开专区，升级便民服务区、公告宣传区，</w:t>
      </w:r>
      <w:r>
        <w:rPr>
          <w:rFonts w:ascii="Times New Roman" w:eastAsia="方正仿宋_GBK" w:cs="Times New Roman" w:hAnsi="Times New Roman"/>
          <w:kern w:val="2"/>
          <w:sz w:val="32"/>
          <w:szCs w:val="32"/>
          <w:shd w:val="clear" w:color="auto" w:fill="auto"/>
          <w:lang w:val="en-US" w:eastAsia="zh-CN" w:bidi="ar-SA"/>
        </w:rPr>
        <w:t>将</w:t>
      </w:r>
      <w:r>
        <w:rPr>
          <w:rFonts w:ascii="Times New Roman" w:eastAsia="方正仿宋_GBK" w:cs="Times New Roman" w:hAnsi="Times New Roman" w:hint="eastAsia"/>
          <w:kern w:val="2"/>
          <w:sz w:val="32"/>
          <w:szCs w:val="32"/>
          <w:shd w:val="clear" w:color="auto" w:fill="auto"/>
          <w:lang w:val="en-US" w:eastAsia="zh-CN" w:bidi="ar-SA"/>
        </w:rPr>
        <w:t>各类指引</w:t>
      </w:r>
      <w:r>
        <w:rPr>
          <w:rFonts w:ascii="Times New Roman" w:eastAsia="方正仿宋_GBK" w:cs="Times New Roman" w:hAnsi="Times New Roman"/>
          <w:kern w:val="2"/>
          <w:sz w:val="32"/>
          <w:szCs w:val="32"/>
          <w:shd w:val="clear" w:color="auto" w:fill="auto"/>
          <w:lang w:val="en-US" w:eastAsia="zh-CN" w:bidi="ar-SA"/>
        </w:rPr>
        <w:t>制作形成</w:t>
      </w:r>
      <w:r>
        <w:rPr>
          <w:rFonts w:ascii="Times New Roman" w:eastAsia="方正仿宋_GBK" w:cs="Times New Roman" w:hAnsi="Times New Roman" w:hint="eastAsia"/>
          <w:kern w:val="2"/>
          <w:sz w:val="32"/>
          <w:szCs w:val="32"/>
          <w:shd w:val="clear" w:color="auto" w:fill="auto"/>
          <w:lang w:val="en-US" w:eastAsia="zh-CN" w:bidi="ar-SA"/>
        </w:rPr>
        <w:t>二维码，创新办事指南“码上看”，为</w:t>
      </w:r>
      <w:r>
        <w:rPr>
          <w:rFonts w:cs="Times New Roman" w:hint="eastAsia"/>
          <w:kern w:val="2"/>
          <w:sz w:val="32"/>
          <w:szCs w:val="32"/>
          <w:shd w:val="clear" w:color="auto" w:fill="auto"/>
          <w:lang w:val="en-US" w:eastAsia="zh-CN" w:bidi="ar-SA"/>
        </w:rPr>
        <w:t>企业</w:t>
      </w:r>
      <w:r>
        <w:rPr>
          <w:rFonts w:ascii="Times New Roman" w:eastAsia="方正仿宋_GBK" w:cs="Times New Roman" w:hAnsi="Times New Roman" w:hint="eastAsia"/>
          <w:kern w:val="2"/>
          <w:sz w:val="32"/>
          <w:szCs w:val="32"/>
          <w:shd w:val="clear" w:color="auto" w:fill="auto"/>
          <w:lang w:val="en-US" w:eastAsia="zh-CN" w:bidi="ar-SA"/>
        </w:rPr>
        <w:t>群众咨询办事提供“集成式”便利服务。开展“我陪群众走流程”政务服务提升行动，</w:t>
      </w:r>
      <w:r>
        <w:rPr>
          <w:rFonts w:ascii="Times New Roman" w:eastAsia="方正仿宋_GBK" w:cs="Times New Roman" w:hAnsi="Times New Roman"/>
          <w:kern w:val="2"/>
          <w:sz w:val="32"/>
          <w:szCs w:val="32"/>
          <w:shd w:val="clear" w:color="auto" w:fill="auto"/>
          <w:lang w:val="en-US" w:eastAsia="zh-CN" w:bidi="ar-SA"/>
        </w:rPr>
        <w:t>研提</w:t>
      </w:r>
      <w:r>
        <w:rPr>
          <w:rFonts w:ascii="Times New Roman" w:eastAsia="方正仿宋_GBK" w:cs="Times New Roman" w:hAnsi="Times New Roman" w:hint="eastAsia"/>
          <w:kern w:val="2"/>
          <w:sz w:val="32"/>
          <w:szCs w:val="32"/>
          <w:shd w:val="clear" w:color="auto" w:fill="auto"/>
          <w:lang w:val="en-US" w:eastAsia="zh-CN" w:bidi="ar-SA"/>
        </w:rPr>
        <w:t>出境种苗花卉生产经营企业注册登记流程</w:t>
      </w:r>
      <w:r>
        <w:rPr>
          <w:rFonts w:ascii="Times New Roman" w:eastAsia="方正仿宋_GBK" w:cs="Times New Roman" w:hAnsi="Times New Roman"/>
          <w:kern w:val="2"/>
          <w:sz w:val="32"/>
          <w:szCs w:val="32"/>
          <w:shd w:val="clear" w:color="auto" w:fill="auto"/>
          <w:lang w:val="en-US" w:eastAsia="zh-CN" w:bidi="ar-SA"/>
        </w:rPr>
        <w:t>相关</w:t>
      </w:r>
      <w:r>
        <w:rPr>
          <w:rFonts w:ascii="Times New Roman" w:eastAsia="方正仿宋_GBK" w:cs="Times New Roman" w:hAnsi="Times New Roman" w:hint="eastAsia"/>
          <w:kern w:val="2"/>
          <w:sz w:val="32"/>
          <w:szCs w:val="32"/>
          <w:shd w:val="clear" w:color="auto" w:fill="auto"/>
          <w:lang w:val="en-US" w:eastAsia="zh-CN" w:bidi="ar-SA"/>
        </w:rPr>
        <w:t>优化建议3条</w:t>
      </w:r>
      <w:r>
        <w:rPr>
          <w:rFonts w:ascii="Times New Roman" w:eastAsia="方正仿宋_GBK" w:cs="Times New Roman" w:hAnsi="Times New Roman"/>
          <w:kern w:val="2"/>
          <w:sz w:val="32"/>
          <w:szCs w:val="32"/>
          <w:shd w:val="clear" w:color="auto" w:fill="auto"/>
          <w:lang w:val="en-US" w:eastAsia="zh-CN" w:bidi="ar-SA"/>
        </w:rPr>
        <w:t>并及时整改</w:t>
      </w:r>
      <w:r>
        <w:rPr>
          <w:rFonts w:ascii="Times New Roman" w:eastAsia="方正仿宋_GBK" w:cs="Times New Roman" w:hAnsi="Times New Roman" w:hint="eastAsia"/>
          <w:kern w:val="2"/>
          <w:sz w:val="32"/>
          <w:szCs w:val="32"/>
          <w:shd w:val="clear" w:color="auto" w:fill="auto"/>
          <w:lang w:val="en-US" w:eastAsia="zh-CN" w:bidi="ar-SA"/>
        </w:rPr>
        <w:t>，提升企业群众获得感。凝聚多维普法宣传力量，组建“公职律师+业务骨干+宣传人才”志愿团队，与兄弟海关、地方部门、街道社区建立协作机制，开展“海关进企业、海关进社区、海关进校园”——“三进”品牌活动76次，覆盖企业商户557家、群众师生370人 ，主动走进口岸</w:t>
      </w:r>
      <w:r>
        <w:rPr>
          <w:rFonts w:ascii="Times New Roman" w:eastAsia="方正仿宋_GBK" w:cs="Times New Roman" w:hAnsi="Times New Roman"/>
          <w:kern w:val="2"/>
          <w:sz w:val="32"/>
          <w:szCs w:val="32"/>
          <w:shd w:val="clear" w:color="auto" w:fill="auto"/>
          <w:lang w:val="en-US" w:eastAsia="zh-CN" w:bidi="ar-SA"/>
        </w:rPr>
        <w:t>丰富</w:t>
      </w:r>
      <w:r>
        <w:rPr>
          <w:rFonts w:ascii="Times New Roman" w:eastAsia="方正仿宋_GBK" w:cs="Times New Roman" w:hAnsi="Times New Roman" w:hint="eastAsia"/>
          <w:kern w:val="2"/>
          <w:sz w:val="32"/>
          <w:szCs w:val="32"/>
          <w:shd w:val="clear" w:color="auto" w:fill="auto"/>
          <w:lang w:val="en-US" w:eastAsia="zh-CN" w:bidi="ar-SA"/>
        </w:rPr>
        <w:t>“三进”品牌内涵，</w:t>
      </w:r>
      <w:r>
        <w:rPr>
          <w:rFonts w:ascii="Times New Roman" w:eastAsia="方正仿宋_GBK" w:cs="Times New Roman" w:hAnsi="Times New Roman"/>
          <w:kern w:val="2"/>
          <w:sz w:val="32"/>
          <w:szCs w:val="32"/>
          <w:shd w:val="clear" w:color="auto" w:fill="auto"/>
          <w:lang w:val="en-US" w:eastAsia="zh-CN" w:bidi="ar-SA"/>
        </w:rPr>
        <w:t>服务</w:t>
      </w:r>
      <w:r>
        <w:rPr>
          <w:rFonts w:ascii="Times New Roman" w:eastAsia="方正仿宋_GBK" w:cs="Times New Roman" w:hAnsi="Times New Roman" w:hint="eastAsia"/>
          <w:kern w:val="2"/>
          <w:sz w:val="32"/>
          <w:szCs w:val="32"/>
          <w:shd w:val="clear" w:color="auto" w:fill="auto"/>
          <w:lang w:val="en-US" w:eastAsia="zh-CN" w:bidi="ar-SA"/>
        </w:rPr>
        <w:t>旅客200人。拓宽政策解读渠道，围绕市场采购贸易新业态，</w:t>
      </w:r>
      <w:r>
        <w:rPr>
          <w:rFonts w:ascii="Times New Roman" w:eastAsia="方正仿宋_GBK" w:cs="Times New Roman" w:hAnsi="Times New Roman"/>
          <w:kern w:val="2"/>
          <w:sz w:val="32"/>
          <w:szCs w:val="32"/>
          <w:shd w:val="clear" w:color="auto" w:fill="auto"/>
          <w:lang w:val="en-US" w:eastAsia="zh-CN" w:bidi="ar-SA"/>
        </w:rPr>
        <w:t>通过</w:t>
      </w:r>
      <w:r>
        <w:rPr>
          <w:rFonts w:ascii="Times New Roman" w:eastAsia="方正仿宋_GBK" w:cs="Times New Roman" w:hAnsi="Times New Roman" w:hint="eastAsia"/>
          <w:kern w:val="2"/>
          <w:sz w:val="32"/>
          <w:szCs w:val="32"/>
          <w:shd w:val="clear" w:color="auto" w:fill="auto"/>
          <w:lang w:val="en-US" w:eastAsia="zh-CN" w:bidi="ar-SA"/>
        </w:rPr>
        <w:t>“广州海关12360”公众号发布专题推文3篇，依托人民日报海外版、广东经视等媒体普及中药材进出口、跨关区保税展示等政策。强化靶向服务助企纾困，依托“关长联系企业”机制，收集并解决企业诉求52项</w:t>
      </w:r>
      <w:r>
        <w:rPr>
          <w:rFonts w:ascii="Times New Roman" w:eastAsia="方正仿宋_GBK" w:cs="Times New Roman" w:hAnsi="Times New Roman"/>
          <w:kern w:val="2"/>
          <w:sz w:val="32"/>
          <w:szCs w:val="32"/>
          <w:shd w:val="clear" w:color="auto" w:fill="auto"/>
          <w:lang w:val="en-US" w:eastAsia="zh-CN" w:bidi="ar-SA"/>
        </w:rPr>
        <w:t>。</w:t>
      </w:r>
      <w:r>
        <w:rPr>
          <w:rFonts w:ascii="Times New Roman" w:eastAsia="方正仿宋_GBK" w:cs="Times New Roman" w:hAnsi="Times New Roman" w:hint="eastAsia"/>
          <w:kern w:val="2"/>
          <w:sz w:val="32"/>
          <w:szCs w:val="32"/>
          <w:shd w:val="clear" w:color="auto" w:fill="auto"/>
          <w:lang w:val="en-US" w:eastAsia="zh-CN" w:bidi="ar-SA"/>
        </w:rPr>
        <w:t>年内收到企业赠送锦旗、牌匾、感谢信6个。</w:t>
      </w:r>
    </w:p>
    <w:p>
      <w:pPr>
        <w:keepNext w:val="0"/>
        <w:keepLines w:val="0"/>
        <w:pageBreakBefore w:val="0"/>
        <w:widowControl w:val="0"/>
        <w:shd w:val="clear" w:color="auto" w:fill="auto"/>
        <w:kinsoku/>
        <w:wordWrap/>
        <w:overflowPunct/>
        <w:topLinePunct w:val="0"/>
        <w:autoSpaceDE/>
        <w:autoSpaceDN/>
        <w:bidi w:val="0"/>
        <w:adjustRightInd w:val="0"/>
        <w:snapToGrid/>
        <w:spacing w:line="560" w:lineRule="exact"/>
        <w:ind w:firstLineChars="200" w:firstLine="640"/>
        <w:textAlignment w:val="auto"/>
        <w:rPr>
          <w:rFonts w:ascii="方正楷体_GBK" w:eastAsia="方正楷体_GBK" w:cs="方正楷体_GBK" w:hint="eastAsia"/>
          <w:b/>
          <w:bCs/>
          <w:shd w:val="clear" w:color="auto" w:fill="auto"/>
          <w:lang w:val="en-US" w:eastAsia="zh-CN"/>
        </w:rPr>
      </w:pPr>
      <w:r>
        <w:rPr>
          <w:rFonts w:ascii="方正楷体_GBK" w:eastAsia="方正楷体_GBK" w:cs="方正楷体_GBK" w:hint="eastAsia"/>
          <w:b/>
          <w:bCs/>
          <w:shd w:val="clear" w:color="auto" w:fill="auto"/>
          <w:lang w:val="en-US" w:eastAsia="zh-CN"/>
        </w:rPr>
        <w:t>（五）强化监管保障，推动工作稳步提升。</w:t>
      </w:r>
    </w:p>
    <w:p>
      <w:pPr>
        <w:keepNext w:val="0"/>
        <w:keepLines w:val="0"/>
        <w:pageBreakBefore w:val="0"/>
        <w:widowControl w:val="0"/>
        <w:shd w:val="clear" w:color="auto" w:fill="auto"/>
        <w:kinsoku/>
        <w:wordWrap/>
        <w:overflowPunct/>
        <w:topLinePunct w:val="0"/>
        <w:autoSpaceDE/>
        <w:autoSpaceDN/>
        <w:bidi w:val="0"/>
        <w:adjustRightInd w:val="0"/>
        <w:snapToGrid/>
        <w:spacing w:line="560" w:lineRule="exact"/>
        <w:ind w:firstLineChars="200" w:firstLine="640"/>
        <w:textAlignment w:val="auto"/>
        <w:rPr>
          <w:rFonts w:ascii="Times New Roman" w:eastAsia="方正仿宋_GBK" w:cs="Times New Roman" w:hAnsi="Times New Roman" w:hint="eastAsia"/>
          <w:kern w:val="2"/>
          <w:sz w:val="32"/>
          <w:szCs w:val="32"/>
          <w:shd w:val="clear" w:color="auto" w:fill="auto"/>
          <w:lang w:val="en-US" w:eastAsia="zh-CN" w:bidi="ar-SA"/>
        </w:rPr>
      </w:pPr>
      <w:r>
        <w:rPr>
          <w:rFonts w:ascii="Times New Roman" w:eastAsia="方正仿宋_GBK" w:cs="Times New Roman" w:hAnsi="Times New Roman" w:hint="eastAsia"/>
          <w:kern w:val="2"/>
          <w:sz w:val="32"/>
          <w:szCs w:val="32"/>
          <w:shd w:val="clear" w:color="auto" w:fill="auto"/>
          <w:lang w:val="en-US" w:eastAsia="zh-CN" w:bidi="ar-SA"/>
        </w:rPr>
        <w:t>优化信息公开工作</w:t>
      </w:r>
      <w:r>
        <w:rPr>
          <w:rFonts w:cs="Times New Roman" w:hint="eastAsia"/>
          <w:kern w:val="2"/>
          <w:sz w:val="32"/>
          <w:szCs w:val="32"/>
          <w:shd w:val="clear" w:color="auto" w:fill="auto"/>
          <w:lang w:val="en-US" w:eastAsia="zh-CN" w:bidi="ar-SA"/>
        </w:rPr>
        <w:t>规范</w:t>
      </w:r>
      <w:r>
        <w:rPr>
          <w:rFonts w:ascii="Times New Roman" w:eastAsia="方正仿宋_GBK" w:cs="Times New Roman" w:hAnsi="Times New Roman" w:hint="eastAsia"/>
          <w:kern w:val="2"/>
          <w:sz w:val="32"/>
          <w:szCs w:val="32"/>
          <w:shd w:val="clear" w:color="auto" w:fill="auto"/>
          <w:lang w:val="en-US" w:eastAsia="zh-CN" w:bidi="ar-SA"/>
        </w:rPr>
        <w:t>，细化分工形成主体明确、要求清晰的责任体系。建立“日学习、周研讨、月巡查、季总结”机制，通过“问卷星”自评自测、</w:t>
      </w:r>
      <w:r>
        <w:rPr>
          <w:rFonts w:ascii="Times New Roman" w:eastAsia="方正仿宋_GBK" w:cs="Times New Roman" w:hAnsi="Times New Roman"/>
          <w:kern w:val="2"/>
          <w:sz w:val="32"/>
          <w:szCs w:val="32"/>
          <w:shd w:val="clear" w:color="auto" w:fill="auto"/>
          <w:lang w:val="en-US" w:eastAsia="zh-CN" w:bidi="ar-SA"/>
        </w:rPr>
        <w:t>学习</w:t>
      </w:r>
      <w:r>
        <w:rPr>
          <w:rFonts w:ascii="Times New Roman" w:eastAsia="方正仿宋_GBK" w:cs="Times New Roman" w:hAnsi="Times New Roman" w:hint="eastAsia"/>
          <w:kern w:val="2"/>
          <w:sz w:val="32"/>
          <w:szCs w:val="32"/>
          <w:shd w:val="clear" w:color="auto" w:fill="auto"/>
          <w:lang w:val="en-US" w:eastAsia="zh-CN" w:bidi="ar-SA"/>
        </w:rPr>
        <w:t>研讨、集中培训以及“找差距”专题分析等</w:t>
      </w:r>
      <w:r>
        <w:rPr>
          <w:rFonts w:ascii="Times New Roman" w:eastAsia="方正仿宋_GBK" w:cs="Times New Roman" w:hAnsi="Times New Roman"/>
          <w:kern w:val="2"/>
          <w:sz w:val="32"/>
          <w:szCs w:val="32"/>
          <w:shd w:val="clear" w:color="auto" w:fill="auto"/>
          <w:lang w:val="en-US" w:eastAsia="zh-CN" w:bidi="ar-SA"/>
        </w:rPr>
        <w:t>方式</w:t>
      </w:r>
      <w:r>
        <w:rPr>
          <w:rFonts w:ascii="Times New Roman" w:eastAsia="方正仿宋_GBK" w:cs="Times New Roman" w:hAnsi="Times New Roman" w:hint="eastAsia"/>
          <w:kern w:val="2"/>
          <w:sz w:val="32"/>
          <w:szCs w:val="32"/>
          <w:shd w:val="clear" w:color="auto" w:fill="auto"/>
          <w:lang w:val="en-US" w:eastAsia="zh-CN" w:bidi="ar-SA"/>
        </w:rPr>
        <w:t>强化能力支撑。在基层政务公开专区张贴</w:t>
      </w:r>
      <w:r>
        <w:rPr>
          <w:rFonts w:ascii="Times New Roman" w:eastAsia="方正仿宋_GBK" w:cs="Times New Roman" w:hAnsi="Times New Roman"/>
          <w:kern w:val="2"/>
          <w:sz w:val="32"/>
          <w:szCs w:val="32"/>
          <w:shd w:val="clear" w:color="auto" w:fill="auto"/>
          <w:lang w:val="en-US" w:eastAsia="zh-CN" w:bidi="ar-SA"/>
        </w:rPr>
        <w:t>海关政务服务调查</w:t>
      </w:r>
      <w:r>
        <w:rPr>
          <w:rFonts w:ascii="Times New Roman" w:eastAsia="方正仿宋_GBK" w:cs="Times New Roman" w:hAnsi="Times New Roman" w:hint="eastAsia"/>
          <w:kern w:val="2"/>
          <w:sz w:val="32"/>
          <w:szCs w:val="32"/>
          <w:shd w:val="clear" w:color="auto" w:fill="auto"/>
          <w:lang w:val="en-US" w:eastAsia="zh-CN" w:bidi="ar-SA"/>
        </w:rPr>
        <w:t>问卷二维码，及时收集群众企业意见建议，持续优化提升政务服务。</w:t>
      </w:r>
    </w:p>
    <w:p>
      <w:pPr>
        <w:pStyle w:val="37"/>
        <w:shd w:val="clear" w:color="auto" w:fill="auto"/>
        <w:adjustRightInd w:val="0"/>
        <w:snapToGrid w:val="0"/>
        <w:ind w:firstLineChars="200" w:firstLine="624"/>
        <w:rPr>
          <w:rFonts w:ascii="方正黑体_GBK" w:eastAsia="方正黑体_GBK" w:cs="楷体_GB2312" w:hint="eastAsia"/>
          <w:bCs/>
          <w:sz w:val="32"/>
          <w:szCs w:val="32"/>
          <w:shd w:val="clear" w:color="auto" w:fill="auto"/>
          <w:lang w:bidi="ar-SA"/>
        </w:rPr>
      </w:pPr>
      <w:r>
        <w:rPr>
          <w:rFonts w:ascii="方正黑体_GBK" w:eastAsia="方正黑体_GBK" w:cs="楷体_GB2312" w:hint="eastAsia"/>
          <w:bCs/>
          <w:sz w:val="32"/>
          <w:szCs w:val="32"/>
          <w:shd w:val="clear" w:color="auto" w:fill="auto"/>
          <w:lang w:bidi="ar-SA"/>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20"/>
        <w:gridCol w:w="2183"/>
        <w:gridCol w:w="1936"/>
        <w:gridCol w:w="2156"/>
      </w:tblGrid>
      <w:tr>
        <w:trPr>
          <w:trHeight w:val="495"/>
        </w:trPr>
        <w:tc>
          <w:tcPr>
            <w:tcW w:w="8995"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第二十条第（一）项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信息内容</w:t>
            </w:r>
          </w:p>
        </w:tc>
        <w:tc>
          <w:tcPr>
            <w:tcW w:w="2183"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本年</w:t>
            </w:r>
            <w:r>
              <w:rPr>
                <w:color w:val="auto"/>
                <w:kern w:val="0"/>
                <w:sz w:val="24"/>
                <w:szCs w:val="24"/>
                <w:shd w:val="clear" w:color="auto" w:fill="auto"/>
              </w:rPr>
              <w:t>制发件数</w:t>
            </w:r>
          </w:p>
        </w:tc>
        <w:tc>
          <w:tcPr>
            <w:tcW w:w="193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本年废止件</w:t>
            </w:r>
            <w:r>
              <w:rPr>
                <w:color w:val="auto"/>
                <w:kern w:val="0"/>
                <w:sz w:val="24"/>
                <w:szCs w:val="24"/>
                <w:shd w:val="clear" w:color="auto" w:fill="auto"/>
              </w:rPr>
              <w:t>数</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现行有效件数</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规章</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eastAsia="zh-CN"/>
              </w:rPr>
            </w:pPr>
            <w:r>
              <w:rPr>
                <w:rFonts w:eastAsia="方正仿宋_GBK" w:hint="eastAsia"/>
                <w:sz w:val="24"/>
                <w:szCs w:val="24"/>
                <w:shd w:val="clear" w:color="auto" w:fill="auto"/>
                <w:lang w:val="en-US" w:eastAsia="zh-CN"/>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行政规范性文件</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r>
      <w:tr>
        <w:trPr>
          <w:trHeight w:val="435"/>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kern w:val="0"/>
                <w:sz w:val="24"/>
                <w:szCs w:val="24"/>
                <w:shd w:val="clear" w:color="auto" w:fill="auto"/>
                <w:lang w:bidi="ar-SA"/>
              </w:rPr>
              <w:t>第二十条第（五）项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5"/>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行政许可</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6"/>
              <w:shd w:val="clear" w:color="auto" w:fill="auto"/>
              <w:jc w:val="center"/>
              <w:rPr>
                <w:rFonts w:eastAsia="方正仿宋_GBK" w:cs="宋体" w:hint="eastAsia"/>
                <w:sz w:val="24"/>
                <w:szCs w:val="24"/>
                <w:shd w:val="clear" w:color="auto" w:fill="auto"/>
                <w:lang w:eastAsia="zh-CN" w:bidi="ar-SA"/>
              </w:rPr>
            </w:pPr>
            <w:r>
              <w:rPr>
                <w:rFonts w:eastAsia="方正仿宋_GBK" w:cs="宋体" w:hint="eastAsia"/>
                <w:sz w:val="24"/>
                <w:szCs w:val="24"/>
                <w:shd w:val="clear" w:color="auto" w:fill="auto"/>
                <w:lang w:val="en-US" w:eastAsia="zh-CN" w:bidi="ar-SA"/>
              </w:rPr>
              <w:t>0</w:t>
            </w:r>
          </w:p>
        </w:tc>
      </w:tr>
      <w:tr>
        <w:trPr>
          <w:trHeight w:val="406"/>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kern w:val="0"/>
                <w:sz w:val="24"/>
                <w:szCs w:val="24"/>
                <w:shd w:val="clear" w:color="auto" w:fill="auto"/>
                <w:lang w:bidi="ar-SA"/>
              </w:rPr>
              <w:t>第二十条第（六）项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行政处罚</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5"/>
              <w:shd w:val="clear" w:color="auto" w:fill="auto"/>
              <w:ind w:left="0" w:firstLine="0"/>
              <w:jc w:val="center"/>
              <w:rPr>
                <w:rFonts w:eastAsia="方正仿宋_GBK"/>
                <w:shd w:val="clear" w:color="auto" w:fill="auto"/>
                <w:lang w:val="en-US" w:eastAsia="zh-CN"/>
              </w:rPr>
            </w:pPr>
            <w:r>
              <w:rPr>
                <w:rFonts w:cs="宋体" w:hint="eastAsia"/>
                <w:sz w:val="24"/>
                <w:szCs w:val="24"/>
                <w:shd w:val="clear" w:color="auto" w:fill="auto"/>
                <w:lang w:val="en-US" w:eastAsia="zh-CN" w:bidi="ar-SA"/>
              </w:rPr>
              <w:t>34</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行政强制</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7"/>
              <w:shd w:val="clear" w:color="auto" w:fill="auto"/>
              <w:jc w:val="center"/>
              <w:rPr>
                <w:rFonts w:eastAsia="方正仿宋_GBK" w:cs="宋体" w:hint="eastAsia"/>
                <w:sz w:val="24"/>
                <w:szCs w:val="24"/>
                <w:shd w:val="clear" w:color="auto" w:fill="auto"/>
                <w:lang w:eastAsia="zh-CN" w:bidi="ar-SA"/>
              </w:rPr>
            </w:pPr>
            <w:r>
              <w:rPr>
                <w:rFonts w:eastAsia="方正仿宋_GBK" w:cs="宋体" w:hint="eastAsia"/>
                <w:sz w:val="24"/>
                <w:szCs w:val="24"/>
                <w:shd w:val="clear" w:color="auto" w:fill="auto"/>
                <w:lang w:val="en-US" w:eastAsia="zh-CN" w:bidi="ar-SA"/>
              </w:rPr>
              <w:t>1</w:t>
            </w:r>
          </w:p>
        </w:tc>
      </w:tr>
      <w:tr>
        <w:trPr>
          <w:trHeight w:val="474"/>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kern w:val="0"/>
                <w:sz w:val="24"/>
                <w:szCs w:val="24"/>
                <w:shd w:val="clear" w:color="auto" w:fill="auto"/>
                <w:lang w:bidi="ar-SA"/>
              </w:rPr>
              <w:t>第二十条第（八）项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信息内容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62"/>
              <w:widowControl/>
              <w:shd w:val="clear" w:color="auto" w:fill="auto"/>
              <w:adjustRightInd w:val="0"/>
              <w:snapToGrid w:val="0"/>
              <w:spacing w:line="260" w:lineRule="exact"/>
              <w:jc w:val="center"/>
              <w:rPr>
                <w:color w:val="auto"/>
                <w:sz w:val="24"/>
                <w:szCs w:val="24"/>
                <w:shd w:val="clear" w:color="auto" w:fill="auto"/>
              </w:rPr>
            </w:pPr>
            <w:r>
              <w:rPr>
                <w:rFonts w:ascii="宋体" w:cs="宋体" w:hint="eastAsia"/>
                <w:color w:val="auto"/>
                <w:kern w:val="0"/>
                <w:sz w:val="24"/>
                <w:szCs w:val="24"/>
                <w:shd w:val="clear" w:color="auto" w:fill="auto"/>
                <w:lang w:bidi="ar-SA"/>
              </w:rPr>
              <w:t>本年收费金额（单位：万元）</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adjustRightInd w:val="0"/>
              <w:snapToGrid w:val="0"/>
              <w:spacing w:line="260" w:lineRule="exact"/>
              <w:jc w:val="center"/>
              <w:rPr>
                <w:shd w:val="clear" w:color="auto" w:fill="auto"/>
              </w:rPr>
            </w:pPr>
            <w:r>
              <w:rPr>
                <w:rFonts w:ascii="宋体" w:cs="宋体" w:hint="eastAsia"/>
                <w:color w:val="auto"/>
                <w:kern w:val="0"/>
                <w:sz w:val="24"/>
                <w:szCs w:val="24"/>
                <w:shd w:val="clear" w:color="auto" w:fill="auto"/>
                <w:lang w:bidi="ar-SA"/>
              </w:rPr>
              <w:t>行政事业性收费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32"/>
              <w:shd w:val="clear" w:color="auto" w:fill="auto"/>
              <w:jc w:val="center"/>
              <w:rPr>
                <w:rFonts w:eastAsia="方正仿宋_GBK" w:cs="宋体" w:hint="eastAsia"/>
                <w:sz w:val="24"/>
                <w:szCs w:val="24"/>
                <w:shd w:val="clear" w:color="auto" w:fill="auto"/>
                <w:lang w:val="en-US" w:eastAsia="zh-CN" w:bidi="ar-SA"/>
              </w:rPr>
            </w:pPr>
            <w:r>
              <w:rPr>
                <w:rFonts w:eastAsia="方正仿宋_GBK" w:cs="宋体" w:hint="eastAsia"/>
                <w:sz w:val="24"/>
                <w:szCs w:val="24"/>
                <w:shd w:val="clear" w:color="auto" w:fill="auto"/>
                <w:lang w:val="en-US" w:eastAsia="zh-CN" w:bidi="ar-SA"/>
              </w:rPr>
              <w:t>0</w:t>
            </w:r>
          </w:p>
        </w:tc>
      </w:tr>
    </w:tbl>
    <w:p>
      <w:pPr>
        <w:pStyle w:val="181"/>
        <w:widowControl/>
        <w:shd w:val="clear" w:color="auto" w:fill="auto"/>
        <w:adjustRightInd w:val="0"/>
        <w:snapToGrid w:val="0"/>
        <w:spacing w:before="0" w:beforeAutospacing="0" w:after="0" w:afterAutospacing="0" w:line="560" w:lineRule="exact"/>
        <w:ind w:firstLineChars="200" w:firstLine="640"/>
        <w:jc w:val="both"/>
        <w:rPr>
          <w:rFonts w:eastAsia="方正仿宋_GBK" w:cs="方正黑体_GBK" w:hint="eastAsia"/>
          <w:kern w:val="2"/>
          <w:sz w:val="32"/>
          <w:szCs w:val="32"/>
          <w:shd w:val="clear" w:color="auto" w:fill="auto"/>
        </w:rPr>
      </w:pPr>
      <w:r>
        <w:rPr>
          <w:rFonts w:eastAsia="方正仿宋_GBK" w:cs="方正黑体_GBK" w:hint="eastAsia"/>
          <w:kern w:val="2"/>
          <w:sz w:val="32"/>
          <w:szCs w:val="32"/>
          <w:shd w:val="clear" w:color="auto" w:fill="auto"/>
        </w:rPr>
        <w:t>*备注：本表格行政许可的处理决定数量，包括本机关在本年度内作出的准予许可决定、不予许可决定、变更许可决定、延期（延续）许可决定、撤销许可决定、撤回许可决定等。</w:t>
      </w:r>
    </w:p>
    <w:p>
      <w:pPr>
        <w:pStyle w:val="26"/>
        <w:widowControl/>
        <w:shd w:val="clear" w:color="auto" w:fill="auto"/>
        <w:adjustRightInd w:val="0"/>
        <w:snapToGrid w:val="0"/>
        <w:spacing w:beforeAutospacing="0" w:afterAutospacing="0" w:line="560" w:lineRule="exact"/>
        <w:ind w:left="0" w:firstLineChars="200" w:firstLine="640"/>
        <w:jc w:val="both"/>
        <w:rPr>
          <w:rFonts w:ascii="方正黑体_GBK" w:eastAsia="方正黑体_GBK" w:cs="楷体_GB2312" w:hint="eastAsia"/>
          <w:bCs/>
          <w:sz w:val="32"/>
          <w:szCs w:val="32"/>
          <w:shd w:val="clear" w:color="auto" w:fill="auto"/>
          <w:lang w:bidi="ar-SA"/>
        </w:rPr>
      </w:pPr>
      <w:bookmarkStart w:id="2" w:name="_GoBack"/>
      <w:bookmarkEnd w:id="2"/>
      <w:r>
        <w:rPr>
          <w:rFonts w:ascii="方正黑体_GBK" w:eastAsia="方正黑体_GBK" w:cs="楷体_GB2312" w:hint="eastAsia"/>
          <w:bCs/>
          <w:sz w:val="32"/>
          <w:szCs w:val="32"/>
          <w:shd w:val="clear" w:color="auto" w:fill="auto"/>
          <w:lang w:bidi="ar-SA"/>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自然人</w:t>
            </w:r>
          </w:p>
        </w:tc>
        <w:tc>
          <w:tcPr>
            <w:tcW w:w="3452"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商业企业</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科研机构</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社会公益组织</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法律服务机构</w:t>
            </w:r>
          </w:p>
        </w:tc>
        <w:tc>
          <w:tcPr>
            <w:tcW w:w="497"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hd w:val="clear" w:color="auto" w:fill="auto"/>
              </w:rPr>
            </w:pPr>
            <w:r>
              <w:rPr>
                <w:rFonts w:ascii="宋体" w:cs="宋体" w:hint="eastAsia"/>
                <w:color w:val="auto"/>
                <w:kern w:val="0"/>
                <w:sz w:val="20"/>
                <w:szCs w:val="20"/>
                <w:shd w:val="clear" w:color="auto" w:fill="auto"/>
                <w:lang w:bidi="ar-SA"/>
              </w:rPr>
              <w:t>其他</w:t>
            </w:r>
          </w:p>
        </w:tc>
        <w:tc>
          <w:tcPr>
            <w:tcW w:w="682"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32"/>
              <w:widowControl/>
              <w:shd w:val="clear" w:color="auto" w:fill="auto"/>
              <w:jc w:val="left"/>
              <w:rPr>
                <w:color w:val="auto"/>
                <w:sz w:val="24"/>
                <w:szCs w:val="24"/>
                <w:shd w:val="clear" w:color="auto" w:fill="auto"/>
              </w:rPr>
            </w:pPr>
            <w:r>
              <w:rPr>
                <w:rFonts w:ascii="宋体" w:cs="宋体" w:hint="eastAsia"/>
                <w:color w:val="auto"/>
                <w:kern w:val="0"/>
                <w:sz w:val="24"/>
                <w:szCs w:val="24"/>
                <w:shd w:val="clear" w:color="auto" w:fill="auto"/>
                <w:lang w:bidi="ar-SA"/>
              </w:rPr>
              <w:t>一、本年新收政府信息公开申请数量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eastAsia="方正仿宋_GBK" w:hint="eastAsia"/>
                <w:sz w:val="24"/>
                <w:szCs w:val="24"/>
                <w:shd w:val="clear" w:color="auto" w:fill="auto"/>
                <w:lang w:val="en-US" w:eastAsia="zh-CN"/>
              </w:rPr>
            </w:pPr>
            <w:r>
              <w:rPr>
                <w:rFonts w:eastAsia="方正仿宋_GBK" w:hint="eastAsia"/>
                <w:sz w:val="24"/>
                <w:szCs w:val="24"/>
                <w:shd w:val="clear" w:color="auto" w:fill="auto"/>
                <w:lang w:val="en-US" w:eastAsia="zh-CN"/>
              </w:rPr>
              <w:t>0</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32"/>
              <w:widowControl/>
              <w:shd w:val="clear" w:color="auto" w:fill="auto"/>
              <w:jc w:val="left"/>
              <w:rPr>
                <w:color w:val="auto"/>
                <w:sz w:val="24"/>
                <w:szCs w:val="24"/>
                <w:shd w:val="clear" w:color="auto" w:fill="auto"/>
              </w:rPr>
            </w:pPr>
            <w:r>
              <w:rPr>
                <w:rFonts w:ascii="宋体" w:cs="宋体" w:hint="eastAsia"/>
                <w:color w:val="auto"/>
                <w:kern w:val="0"/>
                <w:sz w:val="24"/>
                <w:szCs w:val="24"/>
                <w:shd w:val="clear" w:color="auto" w:fill="auto"/>
                <w:lang w:bidi="ar-SA"/>
              </w:rPr>
              <w:t>二、上年结转政府信息公开申请数量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三、本年度办理结果</w:t>
            </w: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left"/>
              <w:rPr>
                <w:color w:val="auto"/>
                <w:sz w:val="24"/>
                <w:szCs w:val="24"/>
                <w:shd w:val="clear" w:color="auto" w:fill="auto"/>
              </w:rPr>
            </w:pPr>
            <w:r>
              <w:rPr>
                <w:rFonts w:ascii="楷体" w:eastAsia="楷体" w:cs="楷体" w:hint="eastAsia"/>
                <w:color w:val="auto"/>
                <w:kern w:val="0"/>
                <w:sz w:val="24"/>
                <w:szCs w:val="24"/>
                <w:shd w:val="clear" w:color="auto" w:fill="auto"/>
                <w:lang w:bidi="ar-SA"/>
              </w:rPr>
              <w:t>（一）予以公开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left"/>
              <w:rPr>
                <w:color w:val="auto"/>
                <w:sz w:val="24"/>
                <w:szCs w:val="24"/>
                <w:shd w:val="clear" w:color="auto" w:fill="auto"/>
              </w:rPr>
            </w:pPr>
            <w:r>
              <w:rPr>
                <w:rFonts w:ascii="楷体" w:eastAsia="楷体" w:cs="楷体" w:hint="eastAsia"/>
                <w:color w:val="auto"/>
                <w:kern w:val="0"/>
                <w:sz w:val="24"/>
                <w:szCs w:val="24"/>
                <w:shd w:val="clear" w:color="auto" w:fill="auto"/>
                <w:lang w:bidi="ar-SA"/>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（三）不予公开</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1.属于国家秘密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2.其他法律行政法规禁止公开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3.危及“三安全一稳定”</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4.保护第三方合法权益</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5.属于三类内部事务信息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6.属于四类过程性信息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7.属于行政执法案卷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8.属于行政查询事项</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（四）无法提供</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1.本机关不掌握相关政府信息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2.没有现成信息需要另行制作</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3.补正后申请内容仍不明确</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（五）不予处理</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1.信访举报投诉类申请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2.重复申请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3.要求提供公开出版物</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4.无正当理由大量反复申请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5.要求行政机关确认或重新出具已获取信息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（六）其他处理</w:t>
            </w: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32"/>
              <w:widowControl/>
              <w:shd w:val="clear" w:color="auto" w:fill="auto"/>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32"/>
              <w:widowControl/>
              <w:shd w:val="clear" w:color="auto" w:fill="auto"/>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32"/>
              <w:widowControl/>
              <w:shd w:val="clear" w:color="auto" w:fill="auto"/>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3.咨询事项，指引咨询渠道</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32"/>
              <w:widowControl/>
              <w:shd w:val="clear" w:color="auto" w:fill="auto"/>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4.申请人撤销申请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（七）总计</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left"/>
              <w:rPr>
                <w:color w:val="auto"/>
                <w:shd w:val="clear" w:color="auto" w:fill="auto"/>
              </w:rPr>
            </w:pPr>
            <w:r>
              <w:rPr>
                <w:rFonts w:ascii="宋体" w:cs="宋体" w:hint="eastAsia"/>
                <w:color w:val="auto"/>
                <w:kern w:val="0"/>
                <w:sz w:val="24"/>
                <w:szCs w:val="24"/>
                <w:shd w:val="clear" w:color="auto" w:fill="auto"/>
                <w:lang w:bidi="ar-SA"/>
              </w:rPr>
              <w:t>四、结转下年度继续办理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shd w:val="clear" w:color="auto" w:fill="auto"/>
              <w:jc w:val="center"/>
              <w:rPr>
                <w:rFonts w:ascii="Times New Roman" w:eastAsia="方正仿宋_GBK" w:cs="Times New Roman" w:hAnsi="Times New Roman" w:hint="eastAsia"/>
                <w:kern w:val="2"/>
                <w:sz w:val="24"/>
                <w:szCs w:val="24"/>
                <w:shd w:val="clear" w:color="auto" w:fill="auto"/>
                <w:lang w:val="en-US" w:eastAsia="zh-CN" w:bidi="ar-SA"/>
              </w:rPr>
            </w:pPr>
            <w:r>
              <w:rPr>
                <w:rFonts w:eastAsia="方正仿宋_GBK" w:hint="eastAsia"/>
                <w:sz w:val="24"/>
                <w:szCs w:val="24"/>
                <w:shd w:val="clear" w:color="auto" w:fill="auto"/>
                <w:lang w:val="en-US" w:eastAsia="zh-CN"/>
              </w:rPr>
              <w:t>0</w:t>
            </w:r>
          </w:p>
        </w:tc>
      </w:tr>
    </w:tbl>
    <w:p>
      <w:pPr>
        <w:pStyle w:val="26"/>
        <w:widowControl/>
        <w:shd w:val="clear" w:color="auto" w:fill="auto"/>
        <w:spacing w:beforeAutospacing="0" w:afterAutospacing="0" w:line="560" w:lineRule="exact"/>
        <w:ind w:firstLineChars="200" w:firstLine="640"/>
        <w:jc w:val="both"/>
        <w:rPr>
          <w:rFonts w:ascii="宋体" w:cs="宋体" w:hint="eastAsia"/>
          <w:color w:val="auto"/>
          <w:szCs w:val="24"/>
          <w:shd w:val="clear" w:color="auto" w:fill="auto"/>
          <w:lang w:bidi="ar-SA"/>
        </w:rPr>
      </w:pPr>
      <w:r>
        <w:rPr>
          <w:rFonts w:ascii="方正黑体_GBK" w:eastAsia="方正黑体_GBK" w:cs="楷体_GB2312" w:hint="eastAsia"/>
          <w:bCs/>
          <w:color w:val="auto"/>
          <w:sz w:val="32"/>
          <w:szCs w:val="32"/>
          <w:shd w:val="clear" w:color="auto" w:fill="auto"/>
          <w:lang w:bidi="ar-SA"/>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行政复议</w:t>
            </w:r>
          </w:p>
        </w:tc>
        <w:tc>
          <w:tcPr>
            <w:tcW w:w="5997" w:type="dxa"/>
            <w:gridSpan w:val="10"/>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结果维持</w:t>
            </w:r>
          </w:p>
        </w:tc>
        <w:tc>
          <w:tcPr>
            <w:tcW w:w="604"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结果纠正</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其他结果</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尚未审结</w:t>
            </w:r>
          </w:p>
        </w:tc>
        <w:tc>
          <w:tcPr>
            <w:tcW w:w="658"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总计</w:t>
            </w:r>
          </w:p>
        </w:tc>
        <w:tc>
          <w:tcPr>
            <w:tcW w:w="2970"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复议后起诉</w:t>
            </w:r>
          </w:p>
        </w:tc>
      </w:tr>
      <w:tr>
        <w:tc>
          <w:tcPr>
            <w:tcW w:w="604"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结果维持</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其他结果</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尚未审结</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总计</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结果维持</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其他结果</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尚未审结</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color w:val="auto"/>
                <w:sz w:val="24"/>
                <w:szCs w:val="24"/>
                <w:shd w:val="clear" w:color="auto" w:fill="auto"/>
              </w:rPr>
            </w:pPr>
            <w:r>
              <w:rPr>
                <w:rFonts w:ascii="宋体" w:cs="宋体" w:hint="eastAsia"/>
                <w:color w:val="auto"/>
                <w:kern w:val="0"/>
                <w:sz w:val="24"/>
                <w:szCs w:val="24"/>
                <w:shd w:val="clear" w:color="auto" w:fill="auto"/>
                <w:lang w:bidi="ar-SA"/>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58"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color w:val="auto"/>
                <w:sz w:val="28"/>
                <w:szCs w:val="28"/>
                <w:shd w:val="clear" w:color="auto" w:fill="auto"/>
                <w:lang w:val="en-US" w:eastAsia="zh-CN"/>
              </w:rPr>
            </w:pPr>
            <w:r>
              <w:rPr>
                <w:rFonts w:hint="eastAsia"/>
                <w:color w:val="auto"/>
                <w:sz w:val="28"/>
                <w:szCs w:val="28"/>
                <w:shd w:val="clear" w:color="auto" w:fill="auto"/>
                <w:lang w:val="en-US" w:eastAsia="zh-CN"/>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kern w:val="0"/>
                <w:sz w:val="28"/>
                <w:szCs w:val="28"/>
                <w:shd w:val="clear" w:color="auto" w:fill="auto"/>
                <w:lang w:val="en-US" w:eastAsia="zh-CN"/>
              </w:rPr>
            </w:pPr>
            <w:r>
              <w:rPr>
                <w:rFonts w:hint="eastAsia"/>
                <w:kern w:val="0"/>
                <w:sz w:val="28"/>
                <w:szCs w:val="28"/>
                <w:shd w:val="clear" w:color="auto" w:fill="auto"/>
                <w:lang w:val="en-US" w:eastAsia="zh-CN"/>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32"/>
              <w:widowControl/>
              <w:shd w:val="clear" w:color="auto" w:fill="auto"/>
              <w:jc w:val="center"/>
              <w:rPr>
                <w:rFonts w:eastAsia="宋体" w:hint="eastAsia"/>
                <w:kern w:val="0"/>
                <w:sz w:val="28"/>
                <w:szCs w:val="28"/>
                <w:shd w:val="clear" w:color="auto" w:fill="auto"/>
                <w:lang w:val="en-US" w:eastAsia="zh-CN"/>
              </w:rPr>
            </w:pPr>
            <w:r>
              <w:rPr>
                <w:rFonts w:hint="eastAsia"/>
                <w:kern w:val="0"/>
                <w:sz w:val="28"/>
                <w:szCs w:val="28"/>
                <w:shd w:val="clear" w:color="auto" w:fill="auto"/>
                <w:lang w:val="en-US" w:eastAsia="zh-CN"/>
              </w:rPr>
              <w:t>0</w:t>
            </w:r>
          </w:p>
        </w:tc>
      </w:tr>
    </w:tbl>
    <w:p>
      <w:pPr>
        <w:pStyle w:val="26"/>
        <w:widowControl/>
        <w:shd w:val="clear" w:color="auto" w:fill="auto"/>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lang w:bidi="ar-SA"/>
        </w:rPr>
      </w:pPr>
      <w:r>
        <w:rPr>
          <w:rFonts w:ascii="方正黑体_GBK" w:eastAsia="方正黑体_GBK" w:cs="楷体_GB2312" w:hint="eastAsia"/>
          <w:bCs/>
          <w:sz w:val="32"/>
          <w:szCs w:val="32"/>
          <w:shd w:val="clear" w:color="auto" w:fill="auto"/>
          <w:lang w:bidi="ar-SA"/>
        </w:rPr>
        <w:t>五、存在的主要问题及改进情况</w:t>
      </w:r>
    </w:p>
    <w:p>
      <w:pPr>
        <w:pStyle w:val="45"/>
        <w:shd w:val="clear" w:color="auto" w:fill="auto"/>
        <w:adjustRightInd w:val="0"/>
        <w:snapToGrid w:val="0"/>
        <w:ind w:firstLineChars="200" w:firstLine="624"/>
        <w:rPr>
          <w:rFonts w:ascii="方正楷体_GBK" w:eastAsia="方正楷体_GBK" w:hint="eastAsia"/>
          <w:b/>
          <w:bCs/>
          <w:shd w:val="clear" w:color="auto" w:fill="auto"/>
          <w:lang w:eastAsia="zh-CN"/>
        </w:rPr>
      </w:pPr>
      <w:r>
        <w:rPr>
          <w:rFonts w:ascii="方正楷体_GBK" w:eastAsia="方正楷体_GBK" w:hint="eastAsia"/>
          <w:b/>
          <w:bCs/>
          <w:shd w:val="clear" w:color="auto" w:fill="auto"/>
        </w:rPr>
        <w:t>（一）202</w:t>
      </w:r>
      <w:r>
        <w:rPr>
          <w:rFonts w:ascii="方正楷体_GBK" w:eastAsia="方正楷体_GBK" w:hint="eastAsia"/>
          <w:b/>
          <w:bCs/>
          <w:shd w:val="clear" w:color="auto" w:fill="auto"/>
          <w:lang w:val="en-US" w:eastAsia="zh-CN"/>
        </w:rPr>
        <w:t>3</w:t>
      </w:r>
      <w:r>
        <w:rPr>
          <w:rFonts w:ascii="方正楷体_GBK" w:eastAsia="方正楷体_GBK" w:hint="eastAsia"/>
          <w:b/>
          <w:bCs/>
          <w:shd w:val="clear" w:color="auto" w:fill="auto"/>
        </w:rPr>
        <w:t>年年报中所提问题整改情况</w:t>
      </w:r>
      <w:r>
        <w:rPr>
          <w:rFonts w:ascii="方正楷体_GBK" w:eastAsia="方正楷体_GBK" w:hint="eastAsia"/>
          <w:b/>
          <w:bCs/>
          <w:shd w:val="clear" w:color="auto" w:fill="auto"/>
          <w:lang w:eastAsia="zh-CN"/>
        </w:rPr>
        <w:t>。</w:t>
      </w:r>
    </w:p>
    <w:p>
      <w:pPr>
        <w:pStyle w:val="45"/>
        <w:shd w:val="clear" w:color="auto" w:fill="auto"/>
        <w:adjustRightInd w:val="0"/>
        <w:snapToGrid w:val="0"/>
        <w:ind w:firstLineChars="200" w:firstLine="624"/>
        <w:rPr>
          <w:rFonts w:hint="eastAsia"/>
          <w:shd w:val="clear" w:color="auto" w:fill="auto"/>
        </w:rPr>
      </w:pPr>
      <w:r>
        <w:rPr>
          <w:rFonts w:hint="eastAsia"/>
          <w:shd w:val="clear" w:color="auto" w:fill="auto"/>
        </w:rPr>
        <w:t>荔湾海关2023年年报中提出以下问题：政策解读质效有待进一步提升，解读形式有待进一步丰富，解读内容针对性、实用性有待进一步增强。</w:t>
      </w:r>
    </w:p>
    <w:p>
      <w:pPr>
        <w:pStyle w:val="45"/>
        <w:shd w:val="clear" w:color="auto" w:fill="auto"/>
        <w:adjustRightInd w:val="0"/>
        <w:snapToGrid w:val="0"/>
        <w:ind w:firstLineChars="200" w:firstLine="624"/>
        <w:rPr>
          <w:shd w:val="clear" w:color="auto" w:fill="auto"/>
        </w:rPr>
      </w:pPr>
      <w:r>
        <w:rPr>
          <w:rFonts w:hint="eastAsia"/>
          <w:shd w:val="clear" w:color="auto" w:fill="auto"/>
        </w:rPr>
        <w:t>上述问题在2024年已采取措施完成整改：</w:t>
      </w:r>
      <w:r>
        <w:rPr>
          <w:rFonts w:hint="eastAsia"/>
          <w:b/>
          <w:bCs/>
          <w:shd w:val="clear" w:color="auto" w:fill="auto"/>
        </w:rPr>
        <w:t>一是</w:t>
      </w:r>
      <w:r>
        <w:rPr>
          <w:rFonts w:hint="eastAsia"/>
          <w:shd w:val="clear" w:color="auto" w:fill="auto"/>
        </w:rPr>
        <w:t>丰富解读形式，通过“线下宣讲座谈+关企群即时互动+12360科普推文+新闻报道宣传”</w:t>
      </w:r>
      <w:r>
        <w:rPr>
          <w:shd w:val="clear" w:color="auto" w:fill="auto"/>
        </w:rPr>
        <w:t>，</w:t>
      </w:r>
      <w:r>
        <w:rPr>
          <w:rFonts w:hint="eastAsia"/>
          <w:shd w:val="clear" w:color="auto" w:fill="auto"/>
        </w:rPr>
        <w:t>打造政策解读矩阵</w:t>
      </w:r>
      <w:r>
        <w:rPr>
          <w:shd w:val="clear" w:color="auto" w:fill="auto"/>
        </w:rPr>
        <w:t>。</w:t>
      </w:r>
      <w:r>
        <w:rPr>
          <w:rFonts w:hint="eastAsia"/>
          <w:b/>
          <w:bCs/>
          <w:shd w:val="clear" w:color="auto" w:fill="auto"/>
        </w:rPr>
        <w:t>二是</w:t>
      </w:r>
      <w:r>
        <w:rPr>
          <w:rFonts w:hint="eastAsia"/>
          <w:shd w:val="clear" w:color="auto" w:fill="auto"/>
        </w:rPr>
        <w:t>开展常态化关企互动，结合“关长联系企业”“海关进企业”等机制，将政策解读融入属地查检、拓区评审、AEO企业培育、企业调研中，提升解读精准性</w:t>
      </w:r>
      <w:r>
        <w:rPr>
          <w:shd w:val="clear" w:color="auto" w:fill="auto"/>
        </w:rPr>
        <w:t>。</w:t>
      </w:r>
      <w:r>
        <w:rPr>
          <w:rFonts w:hint="eastAsia"/>
          <w:b/>
          <w:bCs/>
          <w:shd w:val="clear" w:color="auto" w:fill="auto"/>
        </w:rPr>
        <w:t>三是</w:t>
      </w:r>
      <w:r>
        <w:rPr>
          <w:rFonts w:hint="eastAsia"/>
          <w:shd w:val="clear" w:color="auto" w:fill="auto"/>
        </w:rPr>
        <w:t>多元联动凝聚合力，协同兄弟海关、地方部门、街道社区共建共享普法与政策解读资源。</w:t>
      </w:r>
    </w:p>
    <w:p>
      <w:pPr>
        <w:pStyle w:val="38"/>
        <w:numPr>
          <w:ilvl w:val="0"/>
          <w:numId w:val="1"/>
        </w:numPr>
        <w:shd w:val="clear" w:color="auto" w:fill="auto"/>
        <w:adjustRightInd w:val="0"/>
        <w:snapToGrid w:val="0"/>
        <w:ind w:left="0" w:firstLineChars="200" w:firstLine="624"/>
        <w:rPr>
          <w:rFonts w:ascii="方正楷体_GBK" w:eastAsia="方正楷体_GBK" w:hint="eastAsia"/>
          <w:b/>
          <w:bCs/>
          <w:shd w:val="clear" w:color="auto" w:fill="auto"/>
        </w:rPr>
      </w:pPr>
      <w:r>
        <w:rPr>
          <w:rFonts w:ascii="方正楷体_GBK" w:eastAsia="方正楷体_GBK" w:hint="eastAsia"/>
          <w:b/>
          <w:bCs/>
          <w:shd w:val="clear" w:color="auto" w:fill="auto"/>
        </w:rPr>
        <w:t>目前存在问题</w:t>
      </w:r>
      <w:r>
        <w:rPr>
          <w:rFonts w:ascii="方正楷体_GBK" w:eastAsia="方正楷体_GBK" w:hint="eastAsia"/>
          <w:b/>
          <w:bCs/>
          <w:shd w:val="clear" w:color="auto" w:fill="auto"/>
          <w:lang w:eastAsia="zh-CN"/>
        </w:rPr>
        <w:t>。</w:t>
      </w:r>
    </w:p>
    <w:p>
      <w:pPr>
        <w:pStyle w:val="45"/>
        <w:shd w:val="clear" w:color="auto" w:fill="auto"/>
        <w:adjustRightInd w:val="0"/>
        <w:snapToGrid w:val="0"/>
        <w:ind w:firstLineChars="200" w:firstLine="624"/>
        <w:rPr>
          <w:rFonts w:hint="eastAsia"/>
          <w:shd w:val="clear" w:color="auto" w:fill="auto"/>
        </w:rPr>
      </w:pPr>
      <w:r>
        <w:rPr>
          <w:rFonts w:hint="eastAsia"/>
          <w:shd w:val="clear" w:color="auto" w:fill="auto"/>
        </w:rPr>
        <w:t>依申请公开工作办理水平</w:t>
      </w:r>
      <w:r>
        <w:rPr>
          <w:shd w:val="clear" w:color="auto" w:fill="auto"/>
        </w:rPr>
        <w:t>仍不够熟练</w:t>
      </w:r>
      <w:r>
        <w:rPr>
          <w:rFonts w:hint="eastAsia"/>
          <w:shd w:val="clear" w:color="auto" w:fill="auto"/>
        </w:rPr>
        <w:t>，</w:t>
      </w:r>
      <w:r>
        <w:rPr>
          <w:shd w:val="clear" w:color="auto" w:fill="auto"/>
        </w:rPr>
        <w:t>需进一步</w:t>
      </w:r>
      <w:r>
        <w:rPr>
          <w:rFonts w:hint="eastAsia"/>
          <w:shd w:val="clear" w:color="auto" w:fill="auto"/>
        </w:rPr>
        <w:t>提升岗位人员专业能力</w:t>
      </w:r>
      <w:r>
        <w:rPr>
          <w:shd w:val="clear" w:color="auto" w:fill="auto"/>
        </w:rPr>
        <w:t>。</w:t>
      </w:r>
    </w:p>
    <w:p>
      <w:pPr>
        <w:pStyle w:val="26"/>
        <w:widowControl/>
        <w:shd w:val="clear" w:color="auto" w:fill="auto"/>
        <w:spacing w:beforeAutospacing="0" w:afterAutospacing="0" w:line="560" w:lineRule="exact"/>
        <w:ind w:firstLineChars="200" w:firstLine="640"/>
        <w:jc w:val="both"/>
        <w:rPr>
          <w:rFonts w:ascii="方正黑体_GBK" w:eastAsia="方正黑体_GBK" w:cs="楷体_GB2312" w:hint="eastAsia"/>
          <w:bCs/>
          <w:color w:val="auto"/>
          <w:sz w:val="32"/>
          <w:szCs w:val="32"/>
          <w:shd w:val="clear" w:color="auto" w:fill="auto"/>
          <w:lang w:bidi="ar-SA"/>
        </w:rPr>
      </w:pPr>
      <w:r>
        <w:rPr>
          <w:rFonts w:ascii="方正黑体_GBK" w:eastAsia="方正黑体_GBK" w:cs="楷体_GB2312" w:hint="eastAsia"/>
          <w:bCs/>
          <w:color w:val="auto"/>
          <w:sz w:val="32"/>
          <w:szCs w:val="32"/>
          <w:shd w:val="clear" w:color="auto" w:fill="auto"/>
          <w:lang w:bidi="ar-SA"/>
        </w:rPr>
        <w:t>六、其他需要报告的事项</w:t>
      </w:r>
      <w:bookmarkEnd w:id="1"/>
    </w:p>
    <w:p>
      <w:pPr>
        <w:pStyle w:val="45"/>
        <w:shd w:val="clear" w:color="auto" w:fill="auto"/>
        <w:adjustRightInd w:val="0"/>
        <w:snapToGrid w:val="0"/>
        <w:ind w:firstLineChars="200" w:firstLine="624"/>
        <w:rPr>
          <w:shd w:val="clear" w:color="auto" w:fill="auto"/>
        </w:rPr>
      </w:pPr>
      <w:r>
        <w:rPr>
          <w:rFonts w:ascii="Times New Roman" w:eastAsia="方正仿宋_GBK" w:cs="Times New Roman" w:hAnsi="Times New Roman" w:hint="eastAsia"/>
          <w:spacing w:val="-4"/>
          <w:sz w:val="32"/>
          <w:szCs w:val="20"/>
          <w:shd w:val="clear" w:color="auto" w:fill="auto"/>
          <w:lang w:val="en-US" w:eastAsia="zh-CN"/>
        </w:rPr>
        <w:t>荔湾海关严格按照《国务院办公厅关于印发〈政府信息公开信息处理费管理办法〉的通知》，规范政府信息公开信息处理费收取工作，202</w:t>
      </w:r>
      <w:r>
        <w:rPr>
          <w:rFonts w:cs="Times New Roman" w:hint="eastAsia"/>
          <w:spacing w:val="-4"/>
          <w:sz w:val="32"/>
          <w:szCs w:val="20"/>
          <w:shd w:val="clear" w:color="auto" w:fill="auto"/>
          <w:lang w:val="en-US" w:eastAsia="zh-CN"/>
        </w:rPr>
        <w:t>4</w:t>
      </w:r>
      <w:r>
        <w:rPr>
          <w:rFonts w:ascii="Times New Roman" w:eastAsia="方正仿宋_GBK" w:cs="Times New Roman" w:hAnsi="Times New Roman" w:hint="eastAsia"/>
          <w:spacing w:val="-4"/>
          <w:sz w:val="32"/>
          <w:szCs w:val="20"/>
          <w:shd w:val="clear" w:color="auto" w:fill="auto"/>
          <w:lang w:val="en-US" w:eastAsia="zh-CN"/>
        </w:rPr>
        <w:t>年未收取政府信息公开信息处理费。</w:t>
      </w:r>
    </w:p>
    <w:sectPr>
      <w:footerReference w:type="default" r:id="rId2"/>
      <w:footerReference w:type="even" r:id="rId3"/>
      <w:footerReference w:type="first" r:id="rId4"/>
      <w:pgSz w:w="11907" w:h="16840"/>
      <w:pgMar w:top="1928" w:right="1588" w:bottom="1588" w:left="1588" w:header="851" w:footer="992" w:gutter="0"/>
      <w:pgNumType w:fmt="numberInDash" w:start="1"/>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00000001" w:usb1="08000000" w:usb2="00000000" w:usb3="00000000" w:csb0="00040000" w:csb1="00000000"/>
  </w:font>
  <w:font w:name="方正黑体_GBK">
    <w:panose1 w:val="02000000000000000000"/>
    <w:charset w:val="86"/>
    <w:family w:val="script"/>
    <w:pitch w:val="variable"/>
    <w:sig w:usb0="00000001" w:usb1="08000000" w:usb2="00000000" w:usb3="00000000" w:csb0="00040000" w:csb1="00000000"/>
  </w:font>
  <w:font w:name="楷体_GB2312">
    <w:altName w:val="楷体"/>
    <w:panose1 w:val="00000000000000000000"/>
    <w:charset w:val="00"/>
    <w:family w:val="auto"/>
    <w:pitch w:val="variable"/>
    <w:sig w:usb0="00000000" w:usb1="00000000" w:usb2="00000000" w:usb3="00000000" w:csb0="00000000" w:csb1="00000000"/>
  </w:font>
  <w:font w:name="Times New Roman">
    <w:panose1 w:val="02020603050405020304"/>
    <w:charset w:val="00"/>
    <w:family w:val="roman"/>
    <w:pitch w:val="variable"/>
    <w:sig w:usb0="20007A87" w:usb1="80000000" w:usb2="00000008" w:usb3="00000000" w:csb0="000001FF" w:csb1="00000000"/>
  </w:font>
  <w:font w:name="方正仿宋_GBK">
    <w:panose1 w:val="02000000000000000000"/>
    <w:charset w:val="86"/>
    <w:family w:val="script"/>
    <w:pitch w:val="variable"/>
    <w:sig w:usb0="00000001" w:usb1="08000000" w:usb2="00000000" w:usb3="00000000" w:csb0="00040000" w:csb1="00000000"/>
  </w:font>
  <w:font w:name="方正楷体_GBK">
    <w:panose1 w:val="02000000000000000000"/>
    <w:charset w:val="86"/>
    <w:family w:val="script"/>
    <w:pitch w:val="variable"/>
    <w:sig w:usb0="00000001" w:usb1="08000000" w:usb2="00000000" w:usb3="00000000" w:csb0="00040000" w:csb1="00000000"/>
  </w:font>
  <w:font w:name="宋体">
    <w:altName w:val="方正书宋_GBK"/>
    <w:panose1 w:val="00000000000000000000"/>
    <w:charset w:val="86"/>
    <w:family w:val="auto"/>
    <w:pitch w:val="variable"/>
    <w:sig w:usb0="00000000" w:usb1="00000000" w:usb2="00000000" w:usb3="00000000" w:csb0="00000000" w:csb1="00000000"/>
  </w:font>
  <w:font w:name="楷体">
    <w:altName w:val="方正楷体_GBK"/>
    <w:panose1 w:val="02010609060101010101"/>
    <w:charset w:val="86"/>
    <w:family w:val="auto"/>
    <w:pitch w:val="variable"/>
    <w:sig w:usb0="00000000" w:usb1="00000000" w:usb2="00000016" w:usb3="00000000" w:csb0="00040001" w:csb1="00000000"/>
  </w:font>
  <w:font w:name="黑体">
    <w:altName w:val="方正黑体_GBK"/>
    <w:panose1 w:val="02010609060101010101"/>
    <w:charset w:val="86"/>
    <w:family w:val="auto"/>
    <w:pitch w:val="variable"/>
    <w:sig w:usb0="800002BF" w:usb1="38CF7CFA" w:usb2="00000016" w:usb3="00000000" w:csb0="00040001" w:csb1="00000000"/>
  </w:font>
  <w:font w:name="Calibri">
    <w:altName w:val="DejaVu Sans"/>
    <w:panose1 w:val="020F0502020204030204"/>
    <w:charset w:val="00"/>
    <w:family w:val="swiss"/>
    <w:pitch w:val="variable"/>
    <w:sig w:usb0="00000000" w:usb1="00000000" w:usb2="00000001" w:usb3="00000000" w:csb0="0000019F" w:csb1="00000000"/>
  </w:font>
  <w:font w:name="Lucida Sans">
    <w:altName w:val="DejaVu Sans"/>
    <w:panose1 w:val="020B0602030504020204"/>
    <w:charset w:val="00"/>
    <w:family w:val="auto"/>
    <w:pitch w:val="variable"/>
    <w:sig w:usb0="00000000" w:usb1="00000000" w:usb2="00000000" w:usb3="00000000" w:csb0="20000001" w:csb1="00000000"/>
  </w:font>
  <w:font w:name="Wingdings">
    <w:altName w:val="Standard Symbols PS"/>
    <w:panose1 w:val="05000000000000000000"/>
    <w:charset w:val="02"/>
    <w:family w:val="auto"/>
    <w:pitch w:val="variable"/>
    <w:sig w:usb0="00000000" w:usb1="0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1"/>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27"/>
      </w:rPr>
      <w:fldChar w:fldCharType="begin"/>
    </w:r>
    <w:r>
      <w:rPr>
        <w:rStyle w:val="27"/>
      </w:rPr>
      <w:instrText>Page</w:instrText>
    </w:r>
    <w:r>
      <w:rPr>
        <w:rStyle w:val="27"/>
      </w:rPr>
      <w:fldChar w:fldCharType="separate"/>
    </w:r>
    <w:r>
      <w:rPr>
        <w:rStyle w:val="27"/>
      </w:rPr>
      <w:t>- 1 -</w:t>
    </w:r>
    <w:r>
      <w:rPr>
        <w:rStyle w:val="27"/>
      </w:rPr>
      <w:fldChar w:fldCharType="end"/>
    </w:r>
  </w:p>
  <w:p>
    <w:pPr>
      <w:pStyle w:val="21"/>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1"/>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27"/>
      </w:rPr>
      <w:fldChar w:fldCharType="begin"/>
    </w:r>
    <w:r>
      <w:rPr>
        <w:rStyle w:val="27"/>
      </w:rPr>
      <w:instrText>Page</w:instrText>
    </w:r>
    <w:r>
      <w:rPr>
        <w:rStyle w:val="27"/>
      </w:rPr>
      <w:fldChar w:fldCharType="separate"/>
    </w:r>
    <w:r>
      <w:rPr>
        <w:rStyle w:val="27"/>
      </w:rPr>
      <w:t>- 2 -</w:t>
    </w:r>
    <w:r>
      <w:rPr>
        <w:rStyle w:val="27"/>
      </w:rPr>
      <w:fldChar w:fldCharType="end"/>
    </w:r>
  </w:p>
  <w:p>
    <w:pPr>
      <w:pStyle w:val="21"/>
      <w:tabs>
        <w:tab w:val="center" w:pos="4153"/>
        <w:tab w:val="right" w:pos="8306"/>
      </w:tabs>
      <w:ind w:right="360" w:firstLine="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1"/>
      <w:tabs>
        <w:tab w:val="center" w:pos="4153"/>
        <w:tab w:val="right" w:pos="8306"/>
      </w:tabs>
      <w:jc w:val="right"/>
    </w:pPr>
    <w:r>
      <w:fldChar w:fldCharType="begin"/>
    </w:r>
    <w:r>
      <w:instrText>Page</w:instrText>
    </w:r>
    <w:r>
      <w:fldChar w:fldCharType="separate"/>
    </w:r>
    <w:r>
      <w:t>- 1 -</w:t>
    </w:r>
    <w:r>
      <w:fldChar w:fldCharType="end"/>
    </w:r>
    <w:r>
      <w:fldChar w:fldCharType="begin"/>
    </w:r>
    <w:r>
      <w:instrText>NumPages</w:instrText>
    </w:r>
    <w:r>
      <w:fldChar w:fldCharType="separate"/>
    </w:r>
    <w:r>
      <w:t>2</w:t>
    </w:r>
    <w:r>
      <w:fldChar w:fldCharType="end"/>
    </w:r>
    <w:r>
      <w:fldChar w:fldCharType="begin"/>
    </w:r>
    <w:r>
      <w:instrText>Page</w:instrText>
    </w:r>
    <w:r>
      <w:fldChar w:fldCharType="separate"/>
    </w:r>
    <w:r>
      <w:t>- 1 -</w:t>
    </w:r>
    <w:r>
      <w:fldChar w:fldCharType="end"/>
    </w:r>
    <w:r>
      <w:fldChar w:fldCharType="begin"/>
    </w:r>
    <w:r>
      <w:instrText>Page</w:instrText>
    </w:r>
    <w:r>
      <w:fldChar w:fldCharType="separate"/>
    </w:r>
    <w:r>
      <w:t>- 1 -</w:t>
    </w:r>
    <w:r>
      <w:fldChar w:fldCharType="end"/>
    </w:r>
  </w:p>
  <w:p>
    <w:pPr>
      <w:pStyle w:val="21"/>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AEEA7A92"/>
    <w:multiLevelType w:val="singleLevel"/>
    <w:tmpl w:val="AEEA7A92"/>
    <w:lvl w:ilvl="0">
      <w:start w:val="2"/>
      <w:numFmt w:val="chineseCounting"/>
      <w:lvlRestart w:val="0"/>
      <w:suff w:val="nothing"/>
      <w:lvlText w:val="（%1）"/>
      <w:lvlJc w:val="left"/>
      <w:pPr>
        <w:ind w:left="0" w:hanging="0"/>
      </w:pPr>
      <w:rPr>
        <w:rFonts w:hint="eastAsia"/>
      </w:rPr>
    </w:lvl>
  </w:abstractNum>
  <w:abstractNum w:abstractNumId="1">
    <w:nsid w:val="E62147B5"/>
    <w:multiLevelType w:val="singleLevel"/>
    <w:tmpl w:val="B0803AE2"/>
    <w:lvl w:ilvl="0">
      <w:start w:val="1"/>
      <w:numFmt w:val="decimal"/>
      <w:lvlRestart w:val="0"/>
      <w:pStyle w:val="15"/>
      <w:lvlText w:val="%1."/>
      <w:lvlJc w:val="left"/>
      <w:pPr>
        <w:ind w:left="780" w:hanging="360"/>
      </w:pPr>
    </w:lvl>
  </w:abstractNum>
  <w:abstractNum w:abstractNumId="2">
    <w:nsid w:val="5B2199F5"/>
    <w:multiLevelType w:val="singleLevel"/>
    <w:tmpl w:val="0FFFFF88"/>
    <w:lvl w:ilvl="0">
      <w:start w:val="1"/>
      <w:numFmt w:val="decimal"/>
      <w:lvlRestart w:val="0"/>
      <w:pStyle w:val="17"/>
      <w:lvlText w:val="%1."/>
      <w:lvlJc w:val="left"/>
      <w:pPr>
        <w:ind w:left="360" w:hanging="360"/>
      </w:pPr>
    </w:lvl>
  </w:abstractNum>
  <w:abstractNum w:abstractNumId="3">
    <w:nsid w:val="0FFFFF89"/>
    <w:multiLevelType w:val="singleLevel"/>
    <w:tmpl w:val="0FFFFF89"/>
    <w:lvl w:ilvl="0">
      <w:start w:val="1"/>
      <w:numFmt w:val="bullet"/>
      <w:lvlRestart w:val="0"/>
      <w:pStyle w:val="19"/>
      <w:lvlText w:val=""/>
      <w:lvlJc w:val="left"/>
      <w:pPr>
        <w:ind w:left="36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5"/>
  <w:doNotDisplayPageBoundaries/>
  <w:bordersDoNotSurroundHeader/>
  <w:bordersDoNotSurroundFooter/>
  <w:defaultTabStop w:val="420"/>
  <w:evenAndOddHeaders/>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List Number 2"/>
    <w:basedOn w:val="0"/>
    <w:pPr>
      <w:numPr>
        <w:ilvl w:val="0"/>
        <w:numId w:val="2"/>
      </w:numPr>
    </w:pPr>
  </w:style>
  <w:style w:type="paragraph" w:styleId="16">
    <w:name w:val="index 8"/>
    <w:basedOn w:val="0"/>
    <w:next w:val="0"/>
    <w:pPr>
      <w:ind w:left="2940"/>
    </w:pPr>
  </w:style>
  <w:style w:type="paragraph" w:styleId="17">
    <w:name w:val="List Number"/>
    <w:basedOn w:val="0"/>
    <w:pPr>
      <w:numPr>
        <w:ilvl w:val="0"/>
        <w:numId w:val="3"/>
      </w:numPr>
    </w:pPr>
  </w:style>
  <w:style w:type="paragraph" w:styleId="18">
    <w:name w:val="index 5"/>
    <w:basedOn w:val="0"/>
    <w:next w:val="0"/>
    <w:pPr>
      <w:ind w:left="1680"/>
    </w:pPr>
    <w:rPr>
      <w:rFonts w:ascii="Times New Roman" w:eastAsia="宋体" w:cs="Times New Roman" w:hAnsi="Times New Roman"/>
      <w:lang w:val="en-US" w:eastAsia="zh-CN" w:bidi="ar-SA"/>
    </w:rPr>
  </w:style>
  <w:style w:type="paragraph" w:styleId="19">
    <w:name w:val="List Bullet"/>
    <w:basedOn w:val="0"/>
    <w:pPr>
      <w:numPr>
        <w:ilvl w:val="0"/>
        <w:numId w:val="4"/>
      </w:numPr>
    </w:pPr>
  </w:style>
  <w:style w:type="paragraph" w:styleId="20">
    <w:name w:val="index 6"/>
    <w:basedOn w:val="0"/>
    <w:next w:val="0"/>
    <w:pPr>
      <w:ind w:left="2100"/>
    </w:pPr>
  </w:style>
  <w:style w:type="paragraph" w:styleId="21">
    <w:name w:val="footer"/>
    <w:basedOn w:val="0"/>
    <w:pPr>
      <w:tabs>
        <w:tab w:val="center" w:pos="4153"/>
        <w:tab w:val="right" w:pos="8306"/>
      </w:tabs>
      <w:snapToGrid w:val="0"/>
      <w:jc w:val="left"/>
    </w:pPr>
    <w:rPr>
      <w:sz w:val="18"/>
      <w:szCs w:val="18"/>
    </w:rPr>
  </w:style>
  <w:style w:type="paragraph" w:styleId="22">
    <w:name w:val="header"/>
    <w:basedOn w:val="0"/>
    <w:pPr>
      <w:pBdr>
        <w:bottom w:val="single" w:sz="6" w:space="1" w:color="auto"/>
      </w:pBdr>
      <w:tabs>
        <w:tab w:val="center" w:pos="4153"/>
        <w:tab w:val="right" w:pos="8306"/>
      </w:tabs>
      <w:snapToGrid w:val="0"/>
      <w:jc w:val="center"/>
    </w:pPr>
    <w:rPr>
      <w:sz w:val="18"/>
      <w:szCs w:val="18"/>
    </w:rPr>
  </w:style>
  <w:style w:type="paragraph" w:styleId="23">
    <w:name w:val="toc 1"/>
    <w:basedOn w:val="0"/>
    <w:next w:val="0"/>
  </w:style>
  <w:style w:type="paragraph" w:styleId="24">
    <w:name w:val="index 7"/>
    <w:basedOn w:val="0"/>
    <w:next w:val="0"/>
    <w:pPr>
      <w:ind w:left="2520"/>
    </w:pPr>
  </w:style>
  <w:style w:type="paragraph" w:styleId="25">
    <w:name w:val="toc 2"/>
    <w:basedOn w:val="0"/>
    <w:next w:val="0"/>
    <w:pPr>
      <w:ind w:left="420"/>
    </w:pPr>
  </w:style>
  <w:style w:type="paragraph" w:styleId="26">
    <w:name w:val="Normal (Web)"/>
    <w:next w:val="21"/>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character" w:styleId="27">
    <w:name w:val="page number"/>
    <w:basedOn w:val="10"/>
  </w:style>
  <w:style w:type="character" w:styleId="28">
    <w:name w:val="Hyperlink"/>
    <w:rPr>
      <w:color w:val="0000FF"/>
      <w:u w:val="single"/>
    </w:rPr>
  </w:style>
  <w:style w:type="paragraph" w:customStyle="1" w:styleId="29">
    <w:name w:val="样式 三号"/>
    <w:next w:val="30"/>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0">
    <w:name w:val="样式 三号1"/>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1">
    <w:name w:val="样式 1 三号"/>
    <w:next w:val="2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vertAlign w:val="baseline"/>
      <w:lang w:val="en-US" w:eastAsia="zh-CN" w:bidi="ar-SA"/>
    </w:rPr>
  </w:style>
  <w:style w:type="paragraph" w:customStyle="1" w:styleId="32">
    <w:name w:val="样式 小三"/>
    <w:next w:val="25"/>
    <w:pPr>
      <w:widowControl w:val="0"/>
      <w:jc w:val="both"/>
    </w:pPr>
    <w:rPr>
      <w:rFonts w:ascii="Times New Roman" w:eastAsia="宋体" w:cs="Times New Roman" w:hAnsi="Times New Roman"/>
      <w:kern w:val="2"/>
      <w:sz w:val="30"/>
      <w:szCs w:val="30"/>
      <w:lang w:val="en-US" w:eastAsia="zh-CN" w:bidi="ar-SA"/>
    </w:rPr>
  </w:style>
  <w:style w:type="paragraph" w:customStyle="1" w:styleId="33">
    <w:name w:val="样式 1 小四"/>
    <w:next w:val="23"/>
    <w:pPr>
      <w:widowControl w:val="0"/>
    </w:pPr>
    <w:rPr>
      <w:rFonts w:ascii="宋体" w:eastAsia="宋体" w:cs="Times New Roman"/>
      <w:kern w:val="2"/>
      <w:sz w:val="24"/>
      <w:lang w:val="en-US" w:eastAsia="zh-CN" w:bidi="ar-SA"/>
    </w:rPr>
  </w:style>
  <w:style w:type="paragraph" w:customStyle="1" w:styleId="34">
    <w:name w:val="样式 6 小四"/>
    <w:next w:val="0"/>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35">
    <w:name w:val="样式 20 小四"/>
    <w:next w:val="18"/>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36">
    <w:name w:val="样式 12 三号"/>
    <w:next w:val="16"/>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customStyle="1" w:styleId="37">
    <w:name w:val="样式 50 三号"/>
    <w:next w:val="20"/>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8">
    <w:name w:val="样式 13 三号"/>
    <w:next w:val="24"/>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9">
    <w:name w:val="样式 2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vertAlign w:val="baseline"/>
      <w:lang w:val="en-US" w:eastAsia="zh-CN" w:bidi="ar-SA"/>
    </w:rPr>
  </w:style>
  <w:style w:type="paragraph" w:customStyle="1" w:styleId="40">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1">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2">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3">
    <w:name w:val="样式 6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vertAlign w:val="baseline"/>
      <w:lang w:val="en-US" w:eastAsia="zh-CN" w:bidi="ar-SA"/>
    </w:rPr>
  </w:style>
  <w:style w:type="paragraph" w:customStyle="1" w:styleId="44">
    <w:name w:val="样式 7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45">
    <w:name w:val="样式 8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46">
    <w:name w:val="样式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vertAlign w:val="baseline"/>
      <w:lang w:val="en-US" w:eastAsia="zh-CN" w:bidi="ar-SA"/>
    </w:rPr>
  </w:style>
  <w:style w:type="paragraph" w:customStyle="1" w:styleId="47">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48">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49">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50">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51">
    <w:name w:val="样式 9 三号"/>
    <w:pPr>
      <w:widowControl w:val="0"/>
      <w:ind w:left="420"/>
      <w:jc w:val="both"/>
    </w:pPr>
    <w:rPr>
      <w:rFonts w:ascii="Times New Roman" w:eastAsia="方正仿宋_GBK" w:cs="Times New Roman" w:hAnsi="Times New Roman"/>
      <w:kern w:val="2"/>
      <w:sz w:val="32"/>
      <w:szCs w:val="22"/>
      <w:lang w:val="en-US" w:eastAsia="zh-CN" w:bidi="ar-SA"/>
    </w:rPr>
  </w:style>
  <w:style w:type="paragraph" w:customStyle="1" w:styleId="52">
    <w:name w:val="样式 2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53">
    <w:name w:val="样式 1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54">
    <w:name w:val="样式 3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vertAlign w:val="baseline"/>
      <w:lang w:val="en-US" w:eastAsia="zh-CN" w:bidi="ar-SA"/>
    </w:rPr>
  </w:style>
  <w:style w:type="paragraph" w:customStyle="1" w:styleId="55">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56">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57">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58">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60">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64">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65">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66">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67">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68">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69">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71">
    <w:name w:val="样式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eastAsia="宋体" w:cs="Times New Roman" w:hAnsi="Calibri"/>
      <w:snapToGrid/>
      <w:color w:val="auto"/>
      <w:spacing w:val="0"/>
      <w:w w:val="100"/>
      <w:kern w:val="2"/>
      <w:position w:val="0"/>
      <w:sz w:val="21"/>
      <w:szCs w:val="22"/>
      <w:u w:val="none" w:color="auto"/>
      <w:vertAlign w:val="baseline"/>
      <w:lang w:val="en-US" w:eastAsia="zh-CN" w:bidi="ar-SA"/>
    </w:rPr>
  </w:style>
  <w:style w:type="paragraph" w:customStyle="1" w:styleId="72">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73">
    <w:name w:val="样式 22 小三"/>
    <w:pPr>
      <w:widowControl w:val="0"/>
      <w:jc w:val="both"/>
    </w:pPr>
    <w:rPr>
      <w:rFonts w:ascii="Times New Roman" w:eastAsia="宋体" w:cs="Times New Roman" w:hAnsi="Times New Roman"/>
      <w:kern w:val="2"/>
      <w:sz w:val="30"/>
      <w:szCs w:val="30"/>
      <w:lang w:val="en-US" w:eastAsia="zh-CN" w:bidi="ar-SA"/>
    </w:rPr>
  </w:style>
  <w:style w:type="paragraph" w:customStyle="1" w:styleId="74">
    <w:name w:val="样式 17 三号"/>
    <w:next w:val="19"/>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customStyle="1" w:styleId="75">
    <w:name w:val="样式 18 三号"/>
    <w:next w:val="17"/>
    <w:pPr>
      <w:widowControl w:val="0"/>
      <w:jc w:val="both"/>
    </w:pPr>
    <w:rPr>
      <w:rFonts w:ascii="Times New Roman" w:eastAsia="方正仿宋_GBK" w:cs="Times New Roman" w:hAnsi="Times New Roman"/>
      <w:kern w:val="2"/>
      <w:sz w:val="32"/>
      <w:szCs w:val="22"/>
      <w:lang w:val="en-US" w:eastAsia="zh-CN" w:bidi="ar-SA"/>
    </w:rPr>
  </w:style>
  <w:style w:type="paragraph" w:customStyle="1" w:styleId="76">
    <w:name w:val="样式 4 小四"/>
    <w:pPr>
      <w:widowControl w:val="0"/>
      <w:spacing w:line="240" w:lineRule="auto"/>
      <w:jc w:val="left"/>
    </w:pPr>
    <w:rPr>
      <w:rFonts w:ascii="宋体" w:eastAsia="宋体" w:cs="Lucida Sans"/>
      <w:kern w:val="2"/>
      <w:sz w:val="24"/>
      <w:szCs w:val="21"/>
      <w:lang w:val="en-US" w:eastAsia="zh-CN" w:bidi="ar-SA"/>
    </w:rPr>
  </w:style>
  <w:style w:type="paragraph" w:customStyle="1" w:styleId="77">
    <w:name w:val="样式 5 小四"/>
    <w:pPr>
      <w:widowControl w:val="0"/>
      <w:spacing w:line="240" w:lineRule="auto"/>
      <w:jc w:val="left"/>
    </w:pPr>
    <w:rPr>
      <w:rFonts w:ascii="宋体" w:eastAsia="宋体" w:cs="Lucida Sans"/>
      <w:kern w:val="2"/>
      <w:sz w:val="24"/>
      <w:szCs w:val="21"/>
      <w:lang w:val="en-US" w:eastAsia="zh-CN" w:bidi="ar-SA"/>
    </w:rPr>
  </w:style>
  <w:style w:type="paragraph" w:styleId="78">
    <w:name w:val="annotation text"/>
    <w:basedOn w:val="0"/>
    <w:pPr>
      <w:jc w:val="left"/>
    </w:pPr>
  </w:style>
  <w:style w:type="paragraph" w:styleId="79">
    <w:name w:val="annotation subject"/>
    <w:basedOn w:val="78"/>
    <w:next w:val="78"/>
    <w:rPr>
      <w:b/>
    </w:rPr>
  </w:style>
  <w:style w:type="paragraph" w:customStyle="1" w:styleId="80">
    <w:name w:val="样式 11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81">
    <w:name w:val="样式 1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82">
    <w:name w:val="样式 1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83">
    <w:name w:val="样式 16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84">
    <w:name w:val="样式 19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85">
    <w:name w:val="样式 2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86">
    <w:name w:val="样式 21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87">
    <w:name w:val="样式 22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88">
    <w:name w:val="样式 2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181">
    <w:name w:val="样式 7 小四"/>
    <w:pPr>
      <w:widowControl w:val="0"/>
      <w:spacing w:before="100" w:beforeAutospacing="1" w:after="100" w:afterAutospacing="1"/>
      <w:jc w:val="left"/>
    </w:pPr>
    <w:rPr>
      <w:rFonts w:ascii="Times New Roman" w:eastAsia="宋体" w:cs="Times New Roman" w:hAnsi="Times New Roman"/>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138</TotalTime>
  <Application>Yozo_Office</Application>
  <Pages>7</Pages>
  <Words>2832</Words>
  <Characters>2940</Characters>
  <Lines>446</Lines>
  <Paragraphs>313</Paragraphs>
  <CharactersWithSpaces>2943</CharactersWithSpaces>
  <Company>ccic</Company>
</Properties>
</file>

<file path=docProps/core.xml><?xml version="1.0" encoding="utf-8"?>
<cp:coreProperties xmlns:cp="http://schemas.openxmlformats.org/package/2006/metadata/core-properties" xmlns:dc="http://purl.org/dc/elements/1.1/" xmlns:dcterms="http://purl.org/dc/terms/" xmlns:xsi="http://www.w3.org/2001/XMLSchema-instance">
  <dc:creator>吕大良</dc:creator>
  <cp:lastModifiedBy>刘书华</cp:lastModifiedBy>
  <cp:revision>58</cp:revision>
  <cp:lastPrinted>2025-01-14T14:28:45Z</cp:lastPrinted>
  <dcterms:created xsi:type="dcterms:W3CDTF">2008-05-10T15:46:00Z</dcterms:created>
  <dcterms:modified xsi:type="dcterms:W3CDTF">2025-01-26T07:56:15Z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2052-11.8.2.10125</vt:lpwstr>
  </property>
</Properties>
</file>