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ascii="方正小标宋_GBK" w:eastAsia="方正小标宋_GBK" w:hint="eastAsia"/>
          <w:sz w:val="44"/>
          <w:szCs w:val="44"/>
        </w:rPr>
      </w:pPr>
      <w:r>
        <w:rPr>
          <w:rFonts w:ascii="方正小标宋_GBK" w:eastAsia="方正小标宋_GBK" w:hint="eastAsia"/>
          <w:sz w:val="44"/>
          <w:szCs w:val="44"/>
        </w:rPr>
        <w:t>花都海关202</w:t>
      </w:r>
      <w:r>
        <w:rPr>
          <w:rFonts w:ascii="方正小标宋_GBK" w:eastAsia="方正小标宋_GBK"/>
          <w:sz w:val="44"/>
          <w:szCs w:val="44"/>
        </w:rPr>
        <w:t>5</w:t>
      </w:r>
      <w:r>
        <w:rPr>
          <w:rFonts w:ascii="方正小标宋_GBK" w:eastAsia="方正小标宋_GBK" w:hint="eastAsia"/>
          <w:sz w:val="44"/>
          <w:szCs w:val="44"/>
        </w:rPr>
        <w:t>年政府信息公开工作年度报告</w:t>
      </w:r>
    </w:p>
    <w:p>
      <w:pPr>
        <w:spacing w:line="560" w:lineRule="exact"/>
      </w:pPr>
    </w:p>
    <w:p>
      <w:pPr>
        <w:spacing w:line="560" w:lineRule="exact"/>
        <w:ind w:firstLineChars="200" w:firstLine="640"/>
        <w:rPr>
          <w:rFonts w:ascii="Times New Roman" w:eastAsia="方正仿宋_GBK" w:hAnsi="Times New Roman" w:hint="eastAsia"/>
          <w:sz w:val="32"/>
        </w:rPr>
      </w:pPr>
      <w:r>
        <w:rPr>
          <w:rFonts w:ascii="Times New Roman" w:eastAsia="方正仿宋_GBK" w:hAnsi="Times New Roman" w:hint="eastAsia"/>
          <w:sz w:val="32"/>
        </w:rPr>
        <w:t>根据《中华人民共和国政府信息公开条例》《国务院办公厅政府信息与政务公开办公室关于政府信息公开工作年度报告有关事项的通知》《国务院办公厅政府信息与政务公开办公室关于印发〈中华人民共和国政府信息公开工作年度报告格式〉的通知》等规定，梳理编制花都海关202</w:t>
      </w:r>
      <w:r>
        <w:rPr>
          <w:rFonts w:ascii="Times New Roman" w:eastAsia="方正仿宋_GBK" w:hAnsi="Times New Roman"/>
          <w:sz w:val="32"/>
        </w:rPr>
        <w:t>5</w:t>
      </w:r>
      <w:r>
        <w:rPr>
          <w:rFonts w:ascii="Times New Roman" w:eastAsia="方正仿宋_GBK" w:hAnsi="Times New Roman" w:hint="eastAsia"/>
          <w:sz w:val="32"/>
        </w:rPr>
        <w:t>年政府信息公开工作年报。年报中所列数据的统计期限，自202</w:t>
      </w:r>
      <w:r>
        <w:rPr>
          <w:rFonts w:ascii="Times New Roman" w:eastAsia="方正仿宋_GBK" w:hAnsi="Times New Roman"/>
          <w:sz w:val="32"/>
        </w:rPr>
        <w:t>5</w:t>
      </w:r>
      <w:r>
        <w:rPr>
          <w:rFonts w:ascii="Times New Roman" w:eastAsia="方正仿宋_GBK" w:hAnsi="Times New Roman" w:hint="eastAsia"/>
          <w:sz w:val="32"/>
        </w:rPr>
        <w:t>年1月1日起至202</w:t>
      </w:r>
      <w:r>
        <w:rPr>
          <w:rFonts w:ascii="Times New Roman" w:eastAsia="方正仿宋_GBK" w:hAnsi="Times New Roman"/>
          <w:sz w:val="32"/>
        </w:rPr>
        <w:t>5</w:t>
      </w:r>
      <w:r>
        <w:rPr>
          <w:rFonts w:ascii="Times New Roman" w:eastAsia="方正仿宋_GBK" w:hAnsi="Times New Roman" w:hint="eastAsia"/>
          <w:sz w:val="32"/>
        </w:rPr>
        <w:t>年12月31日止。如对本年报有疑问或有任何意见、建议，请联系花都海关办公室。地址：广东省广州市花都区建设北路79号，邮编：510800；电话：020-36913360；电子邮箱：huadu@customs.gov.cn。</w:t>
      </w:r>
    </w:p>
    <w:p>
      <w:pPr>
        <w:spacing w:line="560" w:lineRule="exact"/>
        <w:ind w:firstLineChars="200" w:firstLine="640"/>
        <w:rPr>
          <w:rFonts w:ascii="方正黑体_GBK" w:eastAsia="方正黑体_GBK" w:hint="eastAsia"/>
          <w:sz w:val="32"/>
        </w:rPr>
      </w:pPr>
      <w:r>
        <w:rPr>
          <w:rFonts w:ascii="方正黑体_GBK" w:eastAsia="方正黑体_GBK" w:hint="eastAsia"/>
          <w:sz w:val="32"/>
        </w:rPr>
        <w:t>一、总体情况</w:t>
      </w:r>
    </w:p>
    <w:p>
      <w:pPr>
        <w:spacing w:line="560" w:lineRule="exact"/>
        <w:ind w:firstLineChars="200" w:firstLine="640"/>
        <w:rPr>
          <w:rFonts w:ascii="Times New Roman" w:eastAsia="方正仿宋_GBK" w:hAnsi="Times New Roman" w:hint="eastAsia"/>
          <w:sz w:val="32"/>
        </w:rPr>
      </w:pPr>
      <w:r>
        <w:rPr>
          <w:rFonts w:ascii="Times New Roman" w:eastAsia="方正仿宋_GBK" w:hAnsi="Times New Roman" w:hint="eastAsia"/>
          <w:sz w:val="32"/>
        </w:rPr>
        <w:t>202</w:t>
      </w:r>
      <w:r>
        <w:rPr>
          <w:rFonts w:ascii="Times New Roman" w:eastAsia="方正仿宋_GBK" w:hAnsi="Times New Roman"/>
          <w:sz w:val="32"/>
        </w:rPr>
        <w:t>5</w:t>
      </w:r>
      <w:r>
        <w:rPr>
          <w:rFonts w:ascii="Times New Roman" w:eastAsia="方正仿宋_GBK" w:hAnsi="Times New Roman" w:hint="eastAsia"/>
          <w:sz w:val="32"/>
        </w:rPr>
        <w:t>年，花都海关以习近平新时代中国特色社会主义思想为指导，</w:t>
      </w:r>
      <w:r>
        <w:rPr>
          <w:rFonts w:ascii="Times New Roman" w:eastAsia="方正仿宋_GBK" w:hAnsi="Times New Roman"/>
          <w:sz w:val="32"/>
        </w:rPr>
        <w:t>深入学习贯彻党的二十大和二十届历次全会精神，</w:t>
      </w:r>
      <w:r>
        <w:rPr>
          <w:rFonts w:ascii="Times New Roman" w:eastAsia="方正仿宋_GBK" w:hAnsi="Times New Roman" w:hint="eastAsia"/>
          <w:sz w:val="32"/>
        </w:rPr>
        <w:t>认真贯彻落实习近平总书记重要指示批示和给红其拉甫海关全体关员重要回信精神，按照《中华人民共和国政府信息公开条例》，</w:t>
      </w:r>
      <w:r>
        <w:rPr>
          <w:rFonts w:ascii="Times New Roman" w:eastAsia="方正仿宋_GBK" w:hAnsi="Times New Roman"/>
          <w:sz w:val="32"/>
        </w:rPr>
        <w:t>拓宽发布渠道，丰富内容形式，</w:t>
      </w:r>
      <w:r>
        <w:rPr>
          <w:rFonts w:ascii="Times New Roman" w:eastAsia="方正仿宋_GBK" w:hAnsi="Times New Roman" w:hint="eastAsia"/>
          <w:sz w:val="32"/>
        </w:rPr>
        <w:t>不断提升基层政务公开标准化规范化水平。现将工作情况报告如下：</w:t>
      </w:r>
    </w:p>
    <w:p>
      <w:pPr>
        <w:spacing w:line="560" w:lineRule="exact"/>
        <w:ind w:firstLineChars="200" w:firstLine="640"/>
        <w:rPr>
          <w:rFonts w:ascii="方正楷体_GBK" w:eastAsia="方正楷体_GBK" w:hint="eastAsia"/>
          <w:b/>
          <w:sz w:val="32"/>
          <w:shd w:val="solid" w:color="D8D8D8" w:fill="FFFFFF"/>
        </w:rPr>
      </w:pPr>
      <w:r>
        <w:rPr>
          <w:rFonts w:ascii="方正楷体_GBK" w:eastAsia="方正楷体_GBK" w:hint="eastAsia"/>
          <w:b/>
          <w:sz w:val="32"/>
        </w:rPr>
        <w:t>（一）</w:t>
      </w:r>
      <w:r>
        <w:rPr>
          <w:rFonts w:ascii="方正楷体_GBK" w:eastAsia="方正楷体_GBK"/>
          <w:b/>
          <w:sz w:val="32"/>
        </w:rPr>
        <w:t>积极落实主动公开工作</w:t>
      </w:r>
      <w:r>
        <w:rPr>
          <w:rFonts w:ascii="方正楷体_GBK" w:eastAsia="方正楷体_GBK" w:hint="eastAsia"/>
          <w:b/>
          <w:sz w:val="32"/>
        </w:rPr>
        <w:t>。</w:t>
      </w:r>
    </w:p>
    <w:p>
      <w:pPr>
        <w:spacing w:line="560" w:lineRule="exact"/>
        <w:ind w:firstLineChars="200" w:firstLine="640"/>
        <w:rPr>
          <w:rFonts w:ascii="Times New Roman" w:eastAsia="方正仿宋_GBK" w:hAnsi="Times New Roman"/>
          <w:sz w:val="32"/>
          <w:shd w:val="solid" w:color="D8D8D8" w:fill="FFFFFF"/>
        </w:rPr>
      </w:pPr>
      <w:r>
        <w:rPr>
          <w:rFonts w:ascii="Times New Roman" w:eastAsia="方正仿宋_GBK" w:hAnsi="Times New Roman"/>
          <w:sz w:val="32"/>
        </w:rPr>
        <w:t>持续完善主动公开机制，理顺</w:t>
      </w:r>
      <w:r>
        <w:rPr>
          <w:rFonts w:ascii="Times New Roman" w:eastAsia="方正仿宋_GBK" w:hAnsi="Times New Roman" w:hint="eastAsia"/>
          <w:sz w:val="32"/>
        </w:rPr>
        <w:t>信息</w:t>
      </w:r>
      <w:r>
        <w:rPr>
          <w:rFonts w:ascii="Times New Roman" w:eastAsia="方正仿宋_GBK" w:hAnsi="Times New Roman"/>
          <w:sz w:val="32"/>
        </w:rPr>
        <w:t>发布流程，明确各类信息的公开形式、时限、范围、程序，提升信息公开规范性。充分利用</w:t>
      </w:r>
      <w:r>
        <w:rPr>
          <w:rFonts w:ascii="Times New Roman" w:eastAsia="方正仿宋_GBK" w:hAnsi="Times New Roman" w:hint="eastAsia"/>
          <w:sz w:val="32"/>
        </w:rPr>
        <w:t>广州海关门户网站</w:t>
      </w:r>
      <w:r>
        <w:rPr>
          <w:rFonts w:ascii="Times New Roman" w:eastAsia="方正仿宋_GBK" w:hAnsi="Times New Roman"/>
          <w:sz w:val="32"/>
        </w:rPr>
        <w:t>推进信息公开，严格按要求</w:t>
      </w:r>
      <w:r>
        <w:rPr>
          <w:rFonts w:ascii="Times New Roman" w:eastAsia="方正仿宋_GBK" w:hAnsi="Times New Roman" w:hint="eastAsia"/>
          <w:sz w:val="32"/>
        </w:rPr>
        <w:t>主动公开花都海关职能信息、财务预决算、行政处罚、行政许可等信息，</w:t>
      </w:r>
      <w:r>
        <w:rPr>
          <w:rFonts w:ascii="Times New Roman" w:eastAsia="方正仿宋_GBK" w:hAnsi="Times New Roman"/>
          <w:sz w:val="32"/>
        </w:rPr>
        <w:t>定期检查、维护已公开政府信息，及时清理失效信息，提升公开信息的有效性、准确性。</w:t>
      </w:r>
      <w:r>
        <w:rPr>
          <w:rFonts w:ascii="Times New Roman" w:eastAsia="方正仿宋_GBK" w:hAnsi="Times New Roman" w:hint="eastAsia"/>
          <w:sz w:val="32"/>
        </w:rPr>
        <w:t>202</w:t>
      </w:r>
      <w:r>
        <w:rPr>
          <w:rFonts w:ascii="Times New Roman" w:eastAsia="方正仿宋_GBK" w:hAnsi="Times New Roman"/>
          <w:sz w:val="32"/>
        </w:rPr>
        <w:t>5</w:t>
      </w:r>
      <w:r>
        <w:rPr>
          <w:rFonts w:ascii="Times New Roman" w:eastAsia="方正仿宋_GBK" w:hAnsi="Times New Roman" w:hint="eastAsia"/>
          <w:sz w:val="32"/>
        </w:rPr>
        <w:t>年，花都海关共公示行政执法信息</w:t>
      </w:r>
      <w:r>
        <w:rPr>
          <w:rFonts w:ascii="Times New Roman" w:eastAsia="方正仿宋_GBK" w:hAnsi="Times New Roman"/>
          <w:sz w:val="32"/>
        </w:rPr>
        <w:t>21</w:t>
      </w:r>
      <w:r>
        <w:rPr>
          <w:rFonts w:ascii="Times New Roman" w:eastAsia="方正仿宋_GBK" w:hAnsi="Times New Roman" w:hint="eastAsia"/>
          <w:sz w:val="32"/>
        </w:rPr>
        <w:t>条</w:t>
      </w:r>
      <w:r>
        <w:rPr>
          <w:rFonts w:ascii="Times New Roman" w:eastAsia="方正仿宋_GBK" w:hAnsi="Times New Roman"/>
          <w:sz w:val="32"/>
        </w:rPr>
        <w:t>、</w:t>
      </w:r>
      <w:r>
        <w:rPr>
          <w:rFonts w:ascii="Times New Roman" w:eastAsia="方正仿宋_GBK" w:hAnsi="Times New Roman" w:hint="eastAsia"/>
          <w:sz w:val="32"/>
        </w:rPr>
        <w:t>财政信息</w:t>
      </w:r>
      <w:r>
        <w:rPr>
          <w:rFonts w:ascii="Times New Roman" w:eastAsia="方正仿宋_GBK" w:hAnsi="Times New Roman"/>
          <w:sz w:val="32"/>
        </w:rPr>
        <w:t>4</w:t>
      </w:r>
      <w:r>
        <w:rPr>
          <w:rFonts w:ascii="Times New Roman" w:eastAsia="方正仿宋_GBK" w:hAnsi="Times New Roman" w:hint="eastAsia"/>
          <w:sz w:val="32"/>
        </w:rPr>
        <w:t>条。动态维护更新政务公开栏对外公告、标识牌</w:t>
      </w:r>
      <w:r>
        <w:rPr>
          <w:rFonts w:ascii="Times New Roman" w:eastAsia="方正仿宋_GBK" w:hAnsi="Times New Roman"/>
          <w:sz w:val="32"/>
        </w:rPr>
        <w:t>等</w:t>
      </w:r>
      <w:r>
        <w:rPr>
          <w:rFonts w:ascii="Times New Roman" w:eastAsia="方正仿宋_GBK" w:hAnsi="Times New Roman" w:hint="eastAsia"/>
          <w:sz w:val="32"/>
        </w:rPr>
        <w:t>，全年累计更新政务公开标识</w:t>
      </w:r>
      <w:r>
        <w:rPr>
          <w:rFonts w:ascii="Times New Roman" w:eastAsia="方正仿宋_GBK" w:hAnsi="Times New Roman"/>
          <w:sz w:val="32"/>
        </w:rPr>
        <w:t>5</w:t>
      </w:r>
      <w:r>
        <w:rPr>
          <w:rFonts w:ascii="Times New Roman" w:eastAsia="方正仿宋_GBK" w:hAnsi="Times New Roman" w:hint="eastAsia"/>
          <w:sz w:val="32"/>
        </w:rPr>
        <w:t>次，张贴海关公告</w:t>
      </w:r>
      <w:r>
        <w:rPr>
          <w:rFonts w:ascii="Times New Roman" w:eastAsia="方正仿宋_GBK" w:hAnsi="Times New Roman"/>
          <w:sz w:val="32"/>
        </w:rPr>
        <w:t>52</w:t>
      </w:r>
      <w:r>
        <w:rPr>
          <w:rFonts w:ascii="Times New Roman" w:eastAsia="方正仿宋_GBK" w:hAnsi="Times New Roman" w:hint="eastAsia"/>
          <w:sz w:val="32"/>
        </w:rPr>
        <w:t>份</w:t>
      </w:r>
      <w:r>
        <w:rPr>
          <w:rFonts w:ascii="Times New Roman" w:eastAsia="方正仿宋_GBK" w:hAnsi="Times New Roman"/>
          <w:sz w:val="32"/>
        </w:rPr>
        <w:t>，及时、准确</w:t>
      </w:r>
      <w:r>
        <w:rPr>
          <w:rFonts w:ascii="Times New Roman" w:eastAsia="方正仿宋_GBK" w:cs="Arial" w:hAnsi="Times New Roman" w:hint="eastAsia"/>
          <w:kern w:val="2"/>
          <w:sz w:val="32"/>
          <w:szCs w:val="32"/>
          <w:lang w:val="en-US" w:eastAsia="zh-CN"/>
        </w:rPr>
        <w:t>为企业</w:t>
      </w:r>
      <w:r>
        <w:rPr>
          <w:rFonts w:ascii="Times New Roman" w:eastAsia="方正仿宋_GBK" w:cs="Arial" w:hAnsi="Times New Roman"/>
          <w:kern w:val="2"/>
          <w:sz w:val="32"/>
          <w:szCs w:val="32"/>
          <w:lang w:val="en-US" w:eastAsia="zh-CN"/>
        </w:rPr>
        <w:t>公</w:t>
      </w:r>
      <w:r>
        <w:rPr>
          <w:rFonts w:ascii="Times New Roman" w:eastAsia="方正仿宋_GBK" w:cs="Arial" w:hAnsi="Times New Roman" w:hint="eastAsia"/>
          <w:kern w:val="2"/>
          <w:sz w:val="32"/>
          <w:szCs w:val="32"/>
          <w:lang w:val="en-US" w:eastAsia="zh-CN"/>
        </w:rPr>
        <w:t>众提供权威可靠的政府信息。</w:t>
      </w:r>
    </w:p>
    <w:p>
      <w:pPr>
        <w:spacing w:line="560" w:lineRule="exact"/>
        <w:ind w:firstLineChars="200" w:firstLine="640"/>
        <w:rPr>
          <w:rFonts w:ascii="方正楷体_GBK" w:eastAsia="方正楷体_GBK" w:hint="eastAsia"/>
          <w:b/>
          <w:sz w:val="32"/>
          <w:shd w:val="solid" w:color="D8D8D8" w:fill="FFFFFF"/>
        </w:rPr>
      </w:pPr>
      <w:r>
        <w:rPr>
          <w:rFonts w:ascii="方正楷体_GBK" w:eastAsia="方正楷体_GBK" w:hint="eastAsia"/>
          <w:b/>
          <w:sz w:val="32"/>
        </w:rPr>
        <w:t>（二）</w:t>
      </w:r>
      <w:r>
        <w:rPr>
          <w:rFonts w:ascii="方正楷体_GBK" w:eastAsia="方正楷体_GBK"/>
          <w:b/>
          <w:sz w:val="32"/>
        </w:rPr>
        <w:t>畅通</w:t>
      </w:r>
      <w:r>
        <w:rPr>
          <w:rFonts w:ascii="方正楷体_GBK" w:eastAsia="方正楷体_GBK" w:hint="eastAsia"/>
          <w:b/>
          <w:sz w:val="32"/>
        </w:rPr>
        <w:t>依申请公开渠道。</w:t>
      </w:r>
    </w:p>
    <w:p>
      <w:pPr>
        <w:spacing w:line="560" w:lineRule="exact"/>
        <w:ind w:firstLineChars="200" w:firstLine="640"/>
        <w:rPr>
          <w:rFonts w:ascii="Times New Roman" w:eastAsia="方正仿宋_GBK" w:hAnsi="Times New Roman"/>
          <w:sz w:val="32"/>
        </w:rPr>
      </w:pPr>
      <w:r>
        <w:rPr>
          <w:rFonts w:ascii="Times New Roman" w:eastAsia="方正仿宋_GBK" w:hAnsi="Times New Roman"/>
          <w:sz w:val="32"/>
        </w:rPr>
        <w:t>分设受理政府信息公开申请的专用电子邮箱以及邮寄接收点，加强对</w:t>
      </w:r>
      <w:r>
        <w:rPr>
          <w:rFonts w:ascii="Times New Roman" w:eastAsia="方正仿宋_GBK" w:cs="Arial" w:hAnsi="Times New Roman" w:hint="eastAsia"/>
          <w:kern w:val="2"/>
          <w:sz w:val="32"/>
          <w:szCs w:val="32"/>
          <w:lang w:val="en-US" w:eastAsia="zh-CN"/>
        </w:rPr>
        <w:t>信件、电话、电邮等</w:t>
      </w:r>
      <w:r>
        <w:rPr>
          <w:rFonts w:ascii="Times New Roman" w:eastAsia="方正仿宋_GBK" w:hAnsi="Times New Roman" w:hint="eastAsia"/>
          <w:sz w:val="32"/>
        </w:rPr>
        <w:t>依申请公开受理途径</w:t>
      </w:r>
      <w:r>
        <w:rPr>
          <w:rFonts w:ascii="Times New Roman" w:eastAsia="方正仿宋_GBK" w:hAnsi="Times New Roman"/>
          <w:sz w:val="32"/>
        </w:rPr>
        <w:t>的</w:t>
      </w:r>
      <w:r>
        <w:rPr>
          <w:rFonts w:ascii="Times New Roman" w:eastAsia="方正仿宋_GBK" w:hAnsi="Times New Roman" w:hint="eastAsia"/>
          <w:sz w:val="32"/>
        </w:rPr>
        <w:t>日常管理</w:t>
      </w:r>
      <w:r>
        <w:rPr>
          <w:rFonts w:ascii="Times New Roman" w:eastAsia="方正仿宋_GBK" w:hAnsi="Times New Roman"/>
          <w:sz w:val="32"/>
        </w:rPr>
        <w:t>，安排专人负责跟进处理，形成从受理、审查到反馈、归档的完整闭环，依法保障社会公众获取海关政府信息的合理需求</w:t>
      </w:r>
      <w:r>
        <w:rPr>
          <w:rFonts w:ascii="Times New Roman" w:eastAsia="方正仿宋_GBK" w:hAnsi="Times New Roman" w:hint="eastAsia"/>
          <w:sz w:val="32"/>
        </w:rPr>
        <w:t>。202</w:t>
      </w:r>
      <w:r>
        <w:rPr>
          <w:rFonts w:ascii="Times New Roman" w:eastAsia="方正仿宋_GBK" w:hAnsi="Times New Roman"/>
          <w:sz w:val="32"/>
        </w:rPr>
        <w:t>5</w:t>
      </w:r>
      <w:r>
        <w:rPr>
          <w:rFonts w:ascii="Times New Roman" w:eastAsia="方正仿宋_GBK" w:hAnsi="Times New Roman" w:hint="eastAsia"/>
          <w:sz w:val="32"/>
        </w:rPr>
        <w:t>年未收到政府信息公开申请</w:t>
      </w:r>
      <w:r>
        <w:rPr>
          <w:rFonts w:ascii="Times New Roman" w:eastAsia="方正仿宋_GBK" w:hAnsi="Times New Roman"/>
          <w:sz w:val="32"/>
        </w:rPr>
        <w:t>，未发生因政府信息公开申请引发的行政复议、诉讼</w:t>
      </w:r>
      <w:r>
        <w:rPr>
          <w:rFonts w:ascii="Times New Roman" w:eastAsia="方正仿宋_GBK" w:hAnsi="Times New Roman" w:hint="eastAsia"/>
          <w:sz w:val="32"/>
        </w:rPr>
        <w:t>。</w:t>
      </w:r>
    </w:p>
    <w:p>
      <w:pPr>
        <w:spacing w:line="560" w:lineRule="exact"/>
        <w:ind w:firstLineChars="200" w:firstLine="640"/>
        <w:rPr>
          <w:rFonts w:ascii="方正楷体_GBK" w:eastAsia="方正楷体_GBK" w:hint="eastAsia"/>
          <w:b/>
          <w:sz w:val="32"/>
          <w:shd w:val="solid" w:color="D8D8D8" w:fill="FFFFFF"/>
        </w:rPr>
      </w:pPr>
      <w:r>
        <w:rPr>
          <w:rFonts w:ascii="方正楷体_GBK" w:eastAsia="方正楷体_GBK" w:hint="eastAsia"/>
          <w:b/>
          <w:sz w:val="32"/>
        </w:rPr>
        <w:t>（三）</w:t>
      </w:r>
      <w:r>
        <w:rPr>
          <w:rFonts w:ascii="方正楷体_GBK" w:eastAsia="方正楷体_GBK"/>
          <w:b/>
          <w:sz w:val="32"/>
        </w:rPr>
        <w:t>严格</w:t>
      </w:r>
      <w:r>
        <w:rPr>
          <w:rFonts w:ascii="方正楷体_GBK" w:eastAsia="方正楷体_GBK" w:hint="eastAsia"/>
          <w:b/>
          <w:sz w:val="32"/>
        </w:rPr>
        <w:t>政府信息公开管理。</w:t>
      </w:r>
    </w:p>
    <w:p>
      <w:pPr>
        <w:pStyle w:val="42"/>
        <w:ind w:firstLine="659"/>
      </w:pPr>
      <w:r>
        <w:rPr>
          <w:rFonts w:ascii="Times New Roman" w:eastAsia="方正仿宋_GBK" w:hAnsi="Times New Roman"/>
          <w:sz w:val="32"/>
        </w:rPr>
        <w:t>压紧压实政府信息公开主体责任，</w:t>
      </w:r>
      <w:r>
        <w:rPr>
          <w:rFonts w:ascii="Times New Roman" w:eastAsia="方正仿宋_GBK" w:cs="楷体_GB2312" w:hAnsi="Times New Roman" w:hint="eastAsia"/>
          <w:bCs/>
          <w:spacing w:val="-4"/>
          <w:sz w:val="32"/>
          <w:szCs w:val="22"/>
          <w:lang w:val="en-US" w:eastAsia="zh-CN"/>
        </w:rPr>
        <w:t>严格落实政府信息公开</w:t>
      </w:r>
      <w:r>
        <w:rPr>
          <w:rFonts w:ascii="Times New Roman" w:eastAsia="方正仿宋_GBK" w:cs="楷体_GB2312" w:hAnsi="Times New Roman"/>
          <w:bCs/>
          <w:spacing w:val="-4"/>
          <w:sz w:val="32"/>
          <w:szCs w:val="22"/>
          <w:lang w:val="en-US" w:eastAsia="zh-CN"/>
        </w:rPr>
        <w:t>发布</w:t>
      </w:r>
      <w:r>
        <w:rPr>
          <w:rFonts w:ascii="Times New Roman" w:eastAsia="方正仿宋_GBK" w:cs="楷体_GB2312" w:hAnsi="Times New Roman" w:hint="eastAsia"/>
          <w:bCs/>
          <w:spacing w:val="-4"/>
          <w:sz w:val="32"/>
          <w:szCs w:val="22"/>
          <w:lang w:val="en-US" w:eastAsia="zh-CN"/>
        </w:rPr>
        <w:t>审查制度，坚持“先审查、后公开”原则</w:t>
      </w:r>
      <w:r>
        <w:rPr>
          <w:rFonts w:ascii="Times New Roman" w:eastAsia="方正仿宋_GBK" w:cs="楷体_GB2312" w:hAnsi="Times New Roman"/>
          <w:bCs/>
          <w:spacing w:val="-4"/>
          <w:sz w:val="32"/>
          <w:szCs w:val="22"/>
          <w:lang w:val="en-US" w:eastAsia="zh-CN"/>
        </w:rPr>
        <w:t>，</w:t>
      </w:r>
      <w:r>
        <w:rPr>
          <w:rFonts w:ascii="方正仿宋_GBK" w:eastAsia="方正仿宋_GBK" w:cs="Times New Roman" w:hint="eastAsia"/>
          <w:kern w:val="2"/>
          <w:sz w:val="32"/>
          <w:szCs w:val="32"/>
          <w:lang w:val="en-US" w:eastAsia="zh-CN"/>
        </w:rPr>
        <w:t>严把保密关、文字关、数据关</w:t>
      </w:r>
      <w:r>
        <w:rPr>
          <w:rFonts w:ascii="Times New Roman" w:eastAsia="方正仿宋_GBK" w:cs="楷体_GB2312" w:hAnsi="Times New Roman"/>
          <w:bCs/>
          <w:spacing w:val="-4"/>
          <w:sz w:val="32"/>
          <w:szCs w:val="22"/>
          <w:lang w:val="en-US" w:eastAsia="zh-CN"/>
        </w:rPr>
        <w:t>。</w:t>
      </w:r>
      <w:r>
        <w:rPr>
          <w:rFonts w:ascii="Times New Roman" w:eastAsia="方正仿宋_GBK" w:hAnsi="Times New Roman"/>
          <w:vanish w:val="0"/>
          <w:szCs w:val="32"/>
        </w:rPr>
        <w:t>定期组织对已发布信息开展自查核对，</w:t>
      </w:r>
      <w:r>
        <w:rPr>
          <w:rFonts w:ascii="Times New Roman" w:eastAsia="方正仿宋_GBK" w:hAnsi="Times New Roman" w:hint="eastAsia"/>
          <w:vanish w:val="0"/>
          <w:szCs w:val="32"/>
        </w:rPr>
        <w:t>严格执行信息公示时效要求，确保信息规范发布、</w:t>
      </w:r>
      <w:r>
        <w:rPr>
          <w:rFonts w:ascii="Times New Roman" w:eastAsia="方正仿宋_GBK" w:hAnsi="Times New Roman"/>
          <w:vanish w:val="0"/>
          <w:szCs w:val="32"/>
        </w:rPr>
        <w:t>准确有效</w:t>
      </w:r>
      <w:r>
        <w:rPr>
          <w:rFonts w:ascii="Times New Roman" w:eastAsia="方正仿宋_GBK" w:hAnsi="Times New Roman" w:hint="eastAsia"/>
          <w:vanish w:val="0"/>
          <w:szCs w:val="32"/>
        </w:rPr>
        <w:t>。</w:t>
      </w:r>
      <w:r>
        <w:rPr>
          <w:rFonts w:ascii="Times New Roman" w:eastAsia="方正仿宋_GBK" w:hAnsi="Times New Roman"/>
          <w:sz w:val="32"/>
        </w:rPr>
        <w:t>加大对政务公开岗位人员的教育培训力度，增强基层依法依规公开意识，切实提高业务能力，</w:t>
      </w:r>
      <w:r>
        <w:rPr>
          <w:rFonts w:ascii="Times New Roman" w:eastAsia="方正仿宋_GBK" w:hAnsi="Times New Roman" w:hint="eastAsia"/>
          <w:sz w:val="32"/>
        </w:rPr>
        <w:t>提</w:t>
      </w:r>
      <w:r>
        <w:rPr>
          <w:rFonts w:ascii="Times New Roman" w:eastAsia="方正仿宋_GBK" w:hAnsi="Times New Roman"/>
          <w:sz w:val="32"/>
        </w:rPr>
        <w:t>升政府信息管理工作质效。</w:t>
      </w:r>
    </w:p>
    <w:p>
      <w:pPr>
        <w:spacing w:line="560" w:lineRule="exact"/>
        <w:ind w:firstLineChars="200" w:firstLine="640"/>
        <w:rPr>
          <w:rFonts w:ascii="Times New Roman" w:eastAsia="方正仿宋_GBK" w:hAnsi="Times New Roman" w:hint="eastAsia"/>
          <w:sz w:val="32"/>
        </w:rPr>
      </w:pPr>
      <w:r>
        <w:rPr>
          <w:rFonts w:ascii="方正楷体_GBK" w:eastAsia="方正楷体_GBK" w:hint="eastAsia"/>
          <w:b/>
          <w:sz w:val="32"/>
        </w:rPr>
        <w:t>（四）</w:t>
      </w:r>
      <w:r>
        <w:rPr>
          <w:rFonts w:ascii="方正楷体_GBK" w:eastAsia="方正楷体_GBK"/>
          <w:b/>
          <w:sz w:val="32"/>
        </w:rPr>
        <w:t>完善</w:t>
      </w:r>
      <w:r>
        <w:rPr>
          <w:rFonts w:ascii="方正楷体_GBK" w:eastAsia="方正楷体_GBK" w:hint="eastAsia"/>
          <w:b/>
          <w:sz w:val="32"/>
        </w:rPr>
        <w:t>政府信息公开</w:t>
      </w:r>
      <w:r>
        <w:rPr>
          <w:rFonts w:ascii="方正楷体_GBK" w:eastAsia="方正楷体_GBK"/>
          <w:b/>
          <w:sz w:val="32"/>
        </w:rPr>
        <w:t>平台建设</w:t>
      </w:r>
      <w:r>
        <w:rPr>
          <w:rFonts w:ascii="方正楷体_GBK" w:eastAsia="方正楷体_GBK" w:hint="eastAsia"/>
          <w:b/>
          <w:sz w:val="32"/>
        </w:rPr>
        <w:t xml:space="preserve">。   </w:t>
      </w:r>
      <w:r>
        <w:rPr>
          <w:rFonts w:ascii="Times New Roman" w:eastAsia="方正仿宋_GBK" w:hAnsi="Times New Roman" w:hint="eastAsia"/>
          <w:sz w:val="32"/>
        </w:rPr>
        <w:t xml:space="preserve"> </w:t>
      </w:r>
    </w:p>
    <w:p>
      <w:pPr>
        <w:spacing w:line="560" w:lineRule="exact"/>
        <w:ind w:firstLineChars="200" w:firstLine="640"/>
        <w:rPr>
          <w:rFonts w:ascii="Times New Roman" w:eastAsia="方正仿宋_GBK" w:hAnsi="Times New Roman"/>
          <w:sz w:val="32"/>
          <w:shd w:val="solid" w:color="D8D8D8" w:fill="FFFFFF"/>
        </w:rPr>
      </w:pPr>
      <w:r>
        <w:rPr>
          <w:rFonts w:ascii="Times New Roman" w:eastAsia="方正仿宋_GBK" w:hAnsi="Times New Roman"/>
          <w:sz w:val="32"/>
        </w:rPr>
        <w:t>用好对外公告栏、电子显示屏等实体平台，丰富信息公开渠道及形式。优化升级基层政务公开专区，办事窗口放置纸质和电子化政务服务指南、通关手册等，新增适老化政务公开服务，提升公开信息获取便捷度。</w:t>
      </w:r>
      <w:r>
        <w:rPr>
          <w:rFonts w:ascii="Times New Roman" w:eastAsia="方正仿宋_GBK" w:hAnsi="Times New Roman" w:hint="eastAsia"/>
          <w:sz w:val="32"/>
        </w:rPr>
        <w:t>组织</w:t>
      </w:r>
      <w:r>
        <w:rPr>
          <w:rFonts w:ascii="Times New Roman" w:eastAsia="方正仿宋_GBK" w:hAnsi="Times New Roman"/>
          <w:sz w:val="32"/>
        </w:rPr>
        <w:t>开展</w:t>
      </w:r>
      <w:r>
        <w:rPr>
          <w:rFonts w:ascii="Times New Roman" w:eastAsia="方正仿宋_GBK" w:hAnsi="Times New Roman" w:hint="eastAsia"/>
          <w:sz w:val="32"/>
        </w:rPr>
        <w:t>“海关进企业、海关进社区、海关进校园”——“三进”品牌活动，全年累计开展活动</w:t>
      </w:r>
      <w:r>
        <w:rPr>
          <w:rFonts w:ascii="Times New Roman" w:eastAsia="方正仿宋_GBK" w:hAnsi="Times New Roman"/>
          <w:sz w:val="32"/>
        </w:rPr>
        <w:t>132</w:t>
      </w:r>
      <w:r>
        <w:rPr>
          <w:rFonts w:ascii="Times New Roman" w:eastAsia="方正仿宋_GBK" w:hAnsi="Times New Roman" w:hint="eastAsia"/>
          <w:sz w:val="32"/>
        </w:rPr>
        <w:t>次，服务企业、社区居民、学校师生总计</w:t>
      </w:r>
      <w:r>
        <w:rPr>
          <w:rFonts w:ascii="Times New Roman" w:eastAsia="方正仿宋_GBK" w:hAnsi="Times New Roman"/>
          <w:sz w:val="32"/>
        </w:rPr>
        <w:t>1215家（人）次</w:t>
      </w:r>
      <w:bookmarkStart w:id="0" w:name="_GoBack"/>
      <w:bookmarkEnd w:id="0"/>
      <w:r>
        <w:rPr>
          <w:rFonts w:ascii="Times New Roman" w:eastAsia="方正仿宋_GBK" w:hAnsi="Times New Roman" w:hint="eastAsia"/>
          <w:sz w:val="32"/>
        </w:rPr>
        <w:t>。加强对海关政策解读和</w:t>
      </w:r>
      <w:r>
        <w:rPr>
          <w:rFonts w:ascii="Times New Roman" w:eastAsia="方正仿宋_GBK" w:hAnsi="Times New Roman"/>
          <w:sz w:val="32"/>
        </w:rPr>
        <w:t>宣贯</w:t>
      </w:r>
      <w:r>
        <w:rPr>
          <w:rFonts w:ascii="Times New Roman" w:eastAsia="方正仿宋_GBK" w:hAnsi="Times New Roman" w:hint="eastAsia"/>
          <w:sz w:val="32"/>
        </w:rPr>
        <w:t>，</w:t>
      </w:r>
      <w:r>
        <w:rPr>
          <w:rFonts w:ascii="Times New Roman" w:eastAsia="方正仿宋_GBK" w:hAnsi="Times New Roman"/>
          <w:sz w:val="32"/>
        </w:rPr>
        <w:t>落实</w:t>
      </w:r>
      <w:r>
        <w:rPr>
          <w:rFonts w:ascii="Times New Roman" w:eastAsia="方正仿宋_GBK" w:hAnsi="Times New Roman" w:hint="eastAsia"/>
          <w:sz w:val="32"/>
        </w:rPr>
        <w:t>“关长</w:t>
      </w:r>
      <w:r>
        <w:rPr>
          <w:rFonts w:ascii="Times New Roman" w:eastAsia="方正仿宋_GBK" w:hAnsi="Times New Roman"/>
          <w:sz w:val="32"/>
        </w:rPr>
        <w:t>联系企业</w:t>
      </w:r>
      <w:r>
        <w:rPr>
          <w:rFonts w:ascii="Times New Roman" w:eastAsia="方正仿宋_GBK" w:hAnsi="Times New Roman" w:hint="eastAsia"/>
          <w:sz w:val="32"/>
        </w:rPr>
        <w:t>”“</w:t>
      </w:r>
      <w:r>
        <w:rPr>
          <w:rFonts w:ascii="Times New Roman" w:eastAsia="方正仿宋_GBK" w:hAnsi="Times New Roman"/>
          <w:sz w:val="32"/>
        </w:rPr>
        <w:t>企业协调员</w:t>
      </w:r>
      <w:r>
        <w:rPr>
          <w:rFonts w:ascii="Times New Roman" w:eastAsia="方正仿宋_GBK" w:hAnsi="Times New Roman" w:hint="eastAsia"/>
          <w:sz w:val="32"/>
        </w:rPr>
        <w:t>”等机制，综合运用</w:t>
      </w:r>
      <w:r>
        <w:rPr>
          <w:rFonts w:ascii="Times New Roman" w:eastAsia="方正仿宋_GBK" w:hAnsi="Times New Roman"/>
          <w:sz w:val="32"/>
        </w:rPr>
        <w:t>政务服务专窗</w:t>
      </w:r>
      <w:r>
        <w:rPr>
          <w:rFonts w:ascii="Times New Roman" w:eastAsia="方正仿宋_GBK" w:hAnsi="Times New Roman" w:hint="eastAsia"/>
          <w:sz w:val="32"/>
        </w:rPr>
        <w:t>指导、集中宣讲、</w:t>
      </w:r>
      <w:r>
        <w:rPr>
          <w:rFonts w:ascii="Times New Roman" w:eastAsia="方正仿宋_GBK" w:hAnsi="Times New Roman"/>
          <w:sz w:val="32"/>
        </w:rPr>
        <w:t>入企座谈</w:t>
      </w:r>
      <w:r>
        <w:rPr>
          <w:rFonts w:ascii="Times New Roman" w:eastAsia="方正仿宋_GBK" w:hAnsi="Times New Roman" w:hint="eastAsia"/>
          <w:sz w:val="32"/>
        </w:rPr>
        <w:t>等多元化方式，构建立体</w:t>
      </w:r>
      <w:r>
        <w:rPr>
          <w:rFonts w:ascii="Times New Roman" w:eastAsia="方正仿宋_GBK" w:hAnsi="Times New Roman"/>
          <w:sz w:val="32"/>
        </w:rPr>
        <w:t>式</w:t>
      </w:r>
      <w:r>
        <w:rPr>
          <w:rFonts w:ascii="Times New Roman" w:eastAsia="方正仿宋_GBK" w:hAnsi="Times New Roman" w:hint="eastAsia"/>
          <w:sz w:val="32"/>
        </w:rPr>
        <w:t>宣</w:t>
      </w:r>
      <w:r>
        <w:rPr>
          <w:rFonts w:ascii="Times New Roman" w:eastAsia="方正仿宋_GBK" w:hAnsi="Times New Roman"/>
          <w:sz w:val="32"/>
        </w:rPr>
        <w:t>传</w:t>
      </w:r>
      <w:r>
        <w:rPr>
          <w:rFonts w:ascii="Times New Roman" w:eastAsia="方正仿宋_GBK" w:hAnsi="Times New Roman" w:hint="eastAsia"/>
          <w:sz w:val="32"/>
        </w:rPr>
        <w:t>网络</w:t>
      </w:r>
      <w:r>
        <w:rPr>
          <w:rFonts w:ascii="Times New Roman" w:eastAsia="方正仿宋_GBK" w:hAnsi="Times New Roman"/>
          <w:sz w:val="32"/>
        </w:rPr>
        <w:t>，围绕企业公众关心的最新政策和热点问题，</w:t>
      </w:r>
      <w:r>
        <w:rPr>
          <w:rFonts w:ascii="Times New Roman" w:eastAsia="方正仿宋_GBK" w:hAnsi="Times New Roman" w:hint="eastAsia"/>
          <w:sz w:val="32"/>
        </w:rPr>
        <w:t>“线上+线下”开展政策宣讲</w:t>
      </w:r>
      <w:r>
        <w:rPr>
          <w:rFonts w:ascii="Times New Roman" w:eastAsia="方正仿宋_GBK" w:hAnsi="Times New Roman"/>
          <w:sz w:val="32"/>
        </w:rPr>
        <w:t>140</w:t>
      </w:r>
      <w:r>
        <w:rPr>
          <w:rFonts w:ascii="Times New Roman" w:eastAsia="方正仿宋_GBK" w:hAnsi="Times New Roman" w:hint="eastAsia"/>
          <w:sz w:val="32"/>
        </w:rPr>
        <w:t>余次，调研企业</w:t>
      </w:r>
      <w:r>
        <w:rPr>
          <w:rFonts w:ascii="Times New Roman" w:eastAsia="方正仿宋_GBK" w:hAnsi="Times New Roman"/>
          <w:sz w:val="32"/>
        </w:rPr>
        <w:t>166</w:t>
      </w:r>
      <w:r>
        <w:rPr>
          <w:rFonts w:ascii="Times New Roman" w:eastAsia="方正仿宋_GBK" w:hAnsi="Times New Roman" w:hint="eastAsia"/>
          <w:sz w:val="32"/>
        </w:rPr>
        <w:t>家</w:t>
      </w:r>
      <w:r>
        <w:rPr>
          <w:rFonts w:ascii="Times New Roman" w:eastAsia="方正仿宋_GBK" w:hAnsi="Times New Roman"/>
          <w:sz w:val="32"/>
        </w:rPr>
        <w:t>，</w:t>
      </w:r>
      <w:r>
        <w:rPr>
          <w:rFonts w:ascii="Times New Roman" w:eastAsia="方正仿宋_GBK" w:hAnsi="Times New Roman" w:hint="eastAsia"/>
          <w:sz w:val="32"/>
        </w:rPr>
        <w:t>收集并解决企业“急难愁盼”</w:t>
      </w:r>
      <w:r>
        <w:rPr>
          <w:rFonts w:ascii="Times New Roman" w:eastAsia="方正仿宋_GBK" w:hAnsi="Times New Roman"/>
          <w:sz w:val="32"/>
        </w:rPr>
        <w:t>问题98</w:t>
      </w:r>
      <w:r>
        <w:rPr>
          <w:rFonts w:ascii="Times New Roman" w:eastAsia="方正仿宋_GBK" w:hAnsi="Times New Roman" w:hint="eastAsia"/>
          <w:sz w:val="32"/>
        </w:rPr>
        <w:t>项</w:t>
      </w:r>
      <w:r>
        <w:rPr>
          <w:rFonts w:ascii="Times New Roman" w:eastAsia="方正仿宋_GBK" w:hAnsi="Times New Roman"/>
          <w:sz w:val="32"/>
        </w:rPr>
        <w:t>。</w:t>
      </w:r>
    </w:p>
    <w:p>
      <w:pPr>
        <w:spacing w:line="560" w:lineRule="exact"/>
        <w:ind w:firstLineChars="200" w:firstLine="640"/>
        <w:rPr>
          <w:rFonts w:ascii="Times New Roman" w:eastAsia="方正仿宋_GBK" w:hAnsi="Times New Roman" w:hint="eastAsia"/>
          <w:sz w:val="32"/>
        </w:rPr>
      </w:pPr>
      <w:r>
        <w:rPr>
          <w:rFonts w:ascii="方正楷体_GBK" w:eastAsia="方正楷体_GBK" w:hint="eastAsia"/>
          <w:b/>
          <w:sz w:val="32"/>
        </w:rPr>
        <w:t>（五）</w:t>
      </w:r>
      <w:r>
        <w:rPr>
          <w:rFonts w:ascii="方正楷体_GBK" w:eastAsia="方正楷体_GBK"/>
          <w:b/>
          <w:sz w:val="32"/>
        </w:rPr>
        <w:t>强化</w:t>
      </w:r>
      <w:r>
        <w:rPr>
          <w:rFonts w:ascii="方正楷体_GBK" w:eastAsia="方正楷体_GBK" w:hint="eastAsia"/>
          <w:b/>
          <w:sz w:val="32"/>
        </w:rPr>
        <w:t xml:space="preserve">政府信息公开监督保障。      </w:t>
      </w:r>
      <w:r>
        <w:rPr>
          <w:rFonts w:ascii="Times New Roman" w:eastAsia="方正仿宋_GBK" w:hAnsi="Times New Roman" w:hint="eastAsia"/>
          <w:sz w:val="32"/>
        </w:rPr>
        <w:t xml:space="preserve">   </w:t>
      </w:r>
    </w:p>
    <w:p>
      <w:pPr>
        <w:spacing w:line="560" w:lineRule="exact"/>
        <w:ind w:firstLineChars="200" w:firstLine="640"/>
        <w:rPr>
          <w:rFonts w:ascii="Times New Roman" w:eastAsia="方正仿宋_GBK" w:hAnsi="Times New Roman"/>
          <w:sz w:val="32"/>
          <w:shd w:val="solid" w:color="D8D8D8" w:fill="FFFFFF"/>
        </w:rPr>
      </w:pPr>
      <w:r>
        <w:rPr>
          <w:rFonts w:ascii="Times New Roman" w:eastAsia="方正仿宋_GBK" w:hAnsi="Times New Roman"/>
          <w:sz w:val="32"/>
        </w:rPr>
        <w:t>更新优化政务公开工作流程，细化各环节工作人员职责，构建权责清晰、责任到人的高效工作体系。</w:t>
      </w:r>
      <w:r>
        <w:rPr>
          <w:rFonts w:ascii="Times New Roman" w:eastAsia="方正仿宋_GBK" w:hAnsi="Times New Roman" w:hint="eastAsia"/>
          <w:sz w:val="32"/>
        </w:rPr>
        <w:t>定期开展政府信息公开自查，</w:t>
      </w:r>
      <w:r>
        <w:rPr>
          <w:rFonts w:ascii="Times New Roman" w:eastAsia="方正仿宋_GBK" w:cs="Times New Roman" w:hAnsi="Times New Roman" w:hint="eastAsia"/>
          <w:sz w:val="32"/>
          <w:lang w:val="en-US" w:eastAsia="zh-CN"/>
        </w:rPr>
        <w:t>严格监督各科室</w:t>
      </w:r>
      <w:r>
        <w:rPr>
          <w:rFonts w:ascii="Times New Roman" w:eastAsia="方正仿宋_GBK" w:cs="Times New Roman" w:hAnsi="Times New Roman"/>
          <w:sz w:val="32"/>
          <w:lang w:val="en-US" w:eastAsia="zh-CN"/>
        </w:rPr>
        <w:t>按时限要求规范发布信息，筑牢</w:t>
      </w:r>
      <w:r>
        <w:rPr>
          <w:rFonts w:ascii="Times New Roman" w:eastAsia="方正仿宋_GBK" w:hAnsi="Times New Roman"/>
          <w:sz w:val="32"/>
        </w:rPr>
        <w:t>政务公开工作监督保障根基。搭建海关与社会沟通的桥梁，每月</w:t>
      </w:r>
      <w:r>
        <w:rPr>
          <w:rFonts w:ascii="Times New Roman" w:eastAsia="方正仿宋_GBK" w:hAnsi="Times New Roman" w:hint="eastAsia"/>
          <w:sz w:val="32"/>
        </w:rPr>
        <w:t>开展“关长接待日”</w:t>
      </w:r>
      <w:r>
        <w:rPr>
          <w:rFonts w:ascii="Times New Roman" w:eastAsia="方正仿宋_GBK" w:hAnsi="Times New Roman"/>
          <w:sz w:val="32"/>
        </w:rPr>
        <w:t>活动</w:t>
      </w:r>
      <w:r>
        <w:rPr>
          <w:rFonts w:ascii="Times New Roman" w:eastAsia="方正仿宋_GBK" w:hAnsi="Times New Roman" w:hint="eastAsia"/>
          <w:sz w:val="32"/>
        </w:rPr>
        <w:t>，</w:t>
      </w:r>
      <w:r>
        <w:rPr>
          <w:rFonts w:ascii="Times New Roman" w:eastAsia="方正仿宋_GBK" w:hAnsi="Times New Roman"/>
          <w:sz w:val="32"/>
        </w:rPr>
        <w:t>加强与企业公众的联系，广泛收集意见与建议，</w:t>
      </w:r>
      <w:r>
        <w:rPr>
          <w:rFonts w:ascii="Times New Roman" w:eastAsia="方正仿宋_GBK" w:hAnsi="Times New Roman" w:hint="eastAsia"/>
          <w:sz w:val="32"/>
        </w:rPr>
        <w:t>自觉接受社会监督</w:t>
      </w:r>
      <w:r>
        <w:rPr>
          <w:rFonts w:ascii="Times New Roman" w:eastAsia="方正仿宋_GBK" w:hAnsi="Times New Roman"/>
          <w:sz w:val="32"/>
        </w:rPr>
        <w:t>，提升海关工作透明度与公信力。</w:t>
      </w:r>
    </w:p>
    <w:p>
      <w:pPr>
        <w:pStyle w:val="16"/>
        <w:autoSpaceDN w:val="0"/>
        <w:adjustRightInd w:val="0"/>
        <w:snapToGrid w:val="0"/>
        <w:ind w:firstLineChars="200" w:firstLine="624"/>
        <w:rPr>
          <w:rFonts w:ascii="方正黑体_GBK" w:eastAsia="方正黑体_GBK" w:cs="楷体_GB2312"/>
          <w:bCs/>
          <w:szCs w:val="32"/>
          <w:shd w:val="clear" w:color="auto" w:fill="FFFFFF"/>
        </w:rPr>
      </w:pPr>
      <w:r>
        <w:rPr>
          <w:rFonts w:ascii="方正黑体_GBK" w:eastAsia="方正黑体_GBK" w:cs="楷体_GB2312" w:hint="eastAsia"/>
          <w:bCs/>
          <w:szCs w:val="32"/>
          <w:shd w:val="clear" w:color="auto" w:fill="FFFFFF"/>
        </w:rPr>
        <w:t>二、主动公开政府信息情况</w:t>
      </w:r>
    </w:p>
    <w:tbl>
      <w:tblPr>
        <w:jc w:val="center"/>
        <w:tblW w:w="8994" w:type="dxa"/>
        <w:tblBorders>
          <w:top w:val="none" w:sz="0" w:space="0" w:color="auto"/>
          <w:left w:val="none" w:sz="0" w:space="0" w:color="auto"/>
          <w:bottom w:val="none" w:sz="0" w:space="0" w:color="auto"/>
          <w:right w:val="none" w:sz="0" w:space="0" w:color="auto"/>
        </w:tblBorders>
        <w:tblLayout w:type="fixed"/>
        <w:tblCellMar>
          <w:top w:w="0" w:type="dxa"/>
          <w:left w:w="0" w:type="dxa"/>
          <w:bottom w:w="0" w:type="dxa"/>
          <w:right w:w="0" w:type="dxa"/>
        </w:tblCellMar>
      </w:tblPr>
      <w:tblGrid>
        <w:gridCol w:w="2719"/>
        <w:gridCol w:w="2183"/>
        <w:gridCol w:w="1936"/>
        <w:gridCol w:w="2156"/>
      </w:tblGrid>
      <w:tr>
        <w:trPr>
          <w:trHeight w:val="495"/>
        </w:trPr>
        <w:tc>
          <w:tcPr>
            <w:tcW w:w="8994" w:type="dxa"/>
            <w:gridSpan w:val="4"/>
            <w:tcBorders>
              <w:top w:val="single" w:sz="8" w:space="0" w:color="auto"/>
              <w:left w:val="single" w:sz="8" w:space="0" w:color="auto"/>
              <w:bottom w:val="single" w:sz="8" w:space="0" w:color="auto"/>
              <w:right w:val="single" w:sz="8" w:space="0" w:color="auto"/>
            </w:tcBorders>
            <w:shd w:val="clear" w:color="auto" w:fill="C6D9F1"/>
            <w:tcMar>
              <w:left w:w="108" w:type="dxa"/>
              <w:right w:w="108" w:type="dxa"/>
            </w:tcMar>
            <w:vAlign w:val="center"/>
          </w:tcPr>
          <w:p>
            <w:pPr>
              <w:pStyle w:val="18"/>
              <w:widowControl/>
              <w:autoSpaceDN w:val="0"/>
              <w:spacing w:line="560" w:lineRule="exact"/>
              <w:jc w:val="center"/>
              <w:rPr>
                <w:sz w:val="24"/>
                <w:szCs w:val="24"/>
              </w:rPr>
            </w:pPr>
            <w:r>
              <w:rPr>
                <w:rFonts w:ascii="宋体" w:cs="宋体" w:hint="eastAsia"/>
                <w:kern w:val="0"/>
                <w:sz w:val="24"/>
                <w:szCs w:val="24"/>
              </w:rPr>
              <w:t>第二十条第（一）项</w:t>
            </w:r>
          </w:p>
        </w:tc>
      </w:tr>
      <w:tr>
        <w:trPr>
          <w:trHeight w:val="680"/>
        </w:trPr>
        <w:tc>
          <w:tcPr>
            <w:tcW w:w="2719"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4"/>
                <w:szCs w:val="24"/>
              </w:rPr>
            </w:pPr>
            <w:r>
              <w:rPr>
                <w:rFonts w:ascii="宋体" w:cs="宋体" w:hint="eastAsia"/>
                <w:kern w:val="0"/>
                <w:sz w:val="24"/>
                <w:szCs w:val="24"/>
              </w:rPr>
              <w:t>信息内容</w:t>
            </w:r>
          </w:p>
        </w:tc>
        <w:tc>
          <w:tcPr>
            <w:tcW w:w="2183"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4"/>
                <w:szCs w:val="24"/>
              </w:rPr>
            </w:pPr>
            <w:r>
              <w:rPr>
                <w:rFonts w:ascii="宋体" w:cs="宋体" w:hint="eastAsia"/>
                <w:kern w:val="0"/>
                <w:sz w:val="24"/>
                <w:szCs w:val="24"/>
              </w:rPr>
              <w:t>本年</w:t>
            </w:r>
            <w:r>
              <w:rPr>
                <w:rFonts w:hint="eastAsia"/>
                <w:kern w:val="0"/>
                <w:sz w:val="24"/>
                <w:szCs w:val="24"/>
              </w:rPr>
              <w:t>制发件数</w:t>
            </w:r>
          </w:p>
        </w:tc>
        <w:tc>
          <w:tcPr>
            <w:tcW w:w="1936"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4"/>
                <w:szCs w:val="24"/>
              </w:rPr>
            </w:pPr>
            <w:r>
              <w:rPr>
                <w:rFonts w:ascii="宋体" w:cs="宋体" w:hint="eastAsia"/>
                <w:kern w:val="0"/>
                <w:sz w:val="24"/>
                <w:szCs w:val="24"/>
              </w:rPr>
              <w:t>本年废止件</w:t>
            </w:r>
            <w:r>
              <w:rPr>
                <w:rFonts w:hint="eastAsia"/>
                <w:kern w:val="0"/>
                <w:sz w:val="24"/>
                <w:szCs w:val="24"/>
              </w:rPr>
              <w:t>数</w:t>
            </w:r>
          </w:p>
        </w:tc>
        <w:tc>
          <w:tcPr>
            <w:tcW w:w="2156" w:type="dxa"/>
            <w:tcBorders>
              <w:top w:val="nil"/>
              <w:left w:val="nil"/>
              <w:bottom w:val="single" w:sz="8" w:space="0" w:color="auto"/>
              <w:right w:val="single" w:sz="8" w:space="0" w:color="auto"/>
            </w:tcBorders>
            <w:shd w:val="clear" w:color="auto" w:fill="auto"/>
            <w:vAlign w:val="center"/>
          </w:tcPr>
          <w:p>
            <w:pPr>
              <w:pStyle w:val="18"/>
              <w:widowControl/>
              <w:autoSpaceDN w:val="0"/>
              <w:spacing w:line="560" w:lineRule="exact"/>
              <w:jc w:val="center"/>
              <w:rPr>
                <w:sz w:val="24"/>
                <w:szCs w:val="24"/>
              </w:rPr>
            </w:pPr>
            <w:r>
              <w:rPr>
                <w:rFonts w:ascii="宋体" w:cs="宋体" w:hint="eastAsia"/>
                <w:kern w:val="0"/>
                <w:sz w:val="24"/>
                <w:szCs w:val="24"/>
              </w:rPr>
              <w:t>现行有效件数</w:t>
            </w:r>
          </w:p>
        </w:tc>
      </w:tr>
      <w:tr>
        <w:trPr>
          <w:trHeight w:val="510"/>
        </w:trPr>
        <w:tc>
          <w:tcPr>
            <w:tcW w:w="2719"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autoSpaceDN w:val="0"/>
              <w:adjustRightInd w:val="0"/>
              <w:snapToGrid w:val="0"/>
              <w:spacing w:line="560" w:lineRule="exact"/>
              <w:jc w:val="center"/>
              <w:rPr>
                <w:sz w:val="24"/>
                <w:szCs w:val="24"/>
              </w:rPr>
            </w:pPr>
            <w:r>
              <w:rPr>
                <w:rFonts w:ascii="宋体" w:cs="宋体" w:hint="eastAsia"/>
                <w:kern w:val="0"/>
                <w:sz w:val="24"/>
                <w:szCs w:val="24"/>
              </w:rPr>
              <w:t>规章</w:t>
            </w:r>
          </w:p>
        </w:tc>
        <w:tc>
          <w:tcPr>
            <w:tcW w:w="2183"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1936"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2156" w:type="dxa"/>
            <w:tcBorders>
              <w:top w:val="nil"/>
              <w:left w:val="nil"/>
              <w:bottom w:val="single" w:sz="8" w:space="0" w:color="auto"/>
              <w:right w:val="single" w:sz="8" w:space="0" w:color="auto"/>
            </w:tcBorders>
            <w:shd w:val="clear" w:color="auto" w:fill="auto"/>
            <w:vAlign w:val="center"/>
          </w:tcPr>
          <w:p>
            <w:pPr>
              <w:pStyle w:val="18"/>
              <w:autoSpaceDN w:val="0"/>
              <w:spacing w:line="560" w:lineRule="exact"/>
              <w:jc w:val="center"/>
              <w:rPr>
                <w:rFonts w:eastAsia="方正仿宋_GBK"/>
                <w:sz w:val="24"/>
                <w:szCs w:val="24"/>
              </w:rPr>
            </w:pPr>
            <w:r>
              <w:rPr>
                <w:rFonts w:eastAsia="方正仿宋_GBK"/>
                <w:sz w:val="24"/>
                <w:szCs w:val="24"/>
              </w:rPr>
              <w:t>0</w:t>
            </w:r>
          </w:p>
        </w:tc>
      </w:tr>
      <w:tr>
        <w:trPr>
          <w:trHeight w:val="510"/>
        </w:trPr>
        <w:tc>
          <w:tcPr>
            <w:tcW w:w="2719"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autoSpaceDN w:val="0"/>
              <w:adjustRightInd w:val="0"/>
              <w:snapToGrid w:val="0"/>
              <w:spacing w:line="560" w:lineRule="exact"/>
              <w:jc w:val="center"/>
              <w:rPr>
                <w:sz w:val="24"/>
                <w:szCs w:val="24"/>
              </w:rPr>
            </w:pPr>
            <w:r>
              <w:rPr>
                <w:rFonts w:ascii="宋体" w:cs="宋体" w:hint="eastAsia"/>
                <w:kern w:val="0"/>
                <w:sz w:val="24"/>
                <w:szCs w:val="24"/>
              </w:rPr>
              <w:t>行政规范性文件</w:t>
            </w:r>
          </w:p>
        </w:tc>
        <w:tc>
          <w:tcPr>
            <w:tcW w:w="2183"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1936"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2156" w:type="dxa"/>
            <w:tcBorders>
              <w:top w:val="nil"/>
              <w:left w:val="nil"/>
              <w:bottom w:val="single" w:sz="8" w:space="0" w:color="auto"/>
              <w:right w:val="single" w:sz="8" w:space="0" w:color="auto"/>
            </w:tcBorders>
            <w:shd w:val="clear" w:color="auto" w:fill="auto"/>
            <w:vAlign w:val="center"/>
          </w:tcPr>
          <w:p>
            <w:pPr>
              <w:pStyle w:val="18"/>
              <w:autoSpaceDN w:val="0"/>
              <w:spacing w:line="560" w:lineRule="exact"/>
              <w:jc w:val="center"/>
              <w:rPr>
                <w:rFonts w:eastAsia="方正仿宋_GBK"/>
                <w:sz w:val="24"/>
                <w:szCs w:val="24"/>
              </w:rPr>
            </w:pPr>
            <w:r>
              <w:rPr>
                <w:rFonts w:eastAsia="方正仿宋_GBK"/>
                <w:sz w:val="24"/>
                <w:szCs w:val="24"/>
              </w:rPr>
              <w:t>0</w:t>
            </w:r>
          </w:p>
        </w:tc>
      </w:tr>
      <w:tr>
        <w:trPr>
          <w:trHeight w:val="435"/>
        </w:trPr>
        <w:tc>
          <w:tcPr>
            <w:tcW w:w="8994" w:type="dxa"/>
            <w:gridSpan w:val="4"/>
            <w:tcBorders>
              <w:top w:val="nil"/>
              <w:left w:val="single" w:sz="8" w:space="0" w:color="auto"/>
              <w:bottom w:val="single" w:sz="8" w:space="0" w:color="auto"/>
              <w:right w:val="single" w:sz="8" w:space="0" w:color="auto"/>
            </w:tcBorders>
            <w:shd w:val="clear" w:color="auto" w:fill="C6D9F1"/>
            <w:tcMar>
              <w:left w:w="108" w:type="dxa"/>
              <w:right w:w="108" w:type="dxa"/>
            </w:tcMar>
            <w:vAlign w:val="center"/>
          </w:tcPr>
          <w:p>
            <w:pPr>
              <w:pStyle w:val="18"/>
              <w:widowControl/>
              <w:autoSpaceDN w:val="0"/>
              <w:spacing w:line="560" w:lineRule="exact"/>
              <w:jc w:val="center"/>
              <w:rPr>
                <w:sz w:val="24"/>
                <w:szCs w:val="24"/>
              </w:rPr>
            </w:pPr>
            <w:r>
              <w:rPr>
                <w:rFonts w:ascii="宋体" w:cs="宋体" w:hint="eastAsia"/>
                <w:kern w:val="0"/>
                <w:sz w:val="24"/>
                <w:szCs w:val="24"/>
              </w:rPr>
              <w:t>第二十条第（五）项</w:t>
            </w:r>
          </w:p>
        </w:tc>
      </w:tr>
      <w:tr>
        <w:trPr>
          <w:trHeight w:val="680"/>
        </w:trPr>
        <w:tc>
          <w:tcPr>
            <w:tcW w:w="2719"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autoSpaceDN w:val="0"/>
              <w:adjustRightInd w:val="0"/>
              <w:snapToGrid w:val="0"/>
              <w:spacing w:line="560" w:lineRule="exact"/>
              <w:jc w:val="center"/>
              <w:rPr>
                <w:sz w:val="24"/>
                <w:szCs w:val="24"/>
              </w:rPr>
            </w:pPr>
            <w:r>
              <w:rPr>
                <w:rFonts w:ascii="宋体" w:cs="宋体" w:hint="eastAsia"/>
                <w:kern w:val="0"/>
                <w:sz w:val="24"/>
                <w:szCs w:val="24"/>
              </w:rPr>
              <w:t>信息内容</w:t>
            </w:r>
          </w:p>
        </w:tc>
        <w:tc>
          <w:tcPr>
            <w:tcW w:w="6275" w:type="dxa"/>
            <w:gridSpan w:val="3"/>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9"/>
              <w:widowControl/>
              <w:autoSpaceDN w:val="0"/>
              <w:adjustRightInd w:val="0"/>
              <w:snapToGrid w:val="0"/>
              <w:spacing w:line="560" w:lineRule="exact"/>
              <w:jc w:val="center"/>
              <w:rPr>
                <w:sz w:val="24"/>
                <w:szCs w:val="24"/>
              </w:rPr>
            </w:pPr>
            <w:r>
              <w:rPr>
                <w:rFonts w:ascii="宋体" w:cs="宋体" w:hint="eastAsia"/>
                <w:kern w:val="0"/>
                <w:sz w:val="24"/>
                <w:szCs w:val="24"/>
              </w:rPr>
              <w:t>本年处理决定数量</w:t>
            </w:r>
          </w:p>
        </w:tc>
      </w:tr>
      <w:tr>
        <w:trPr>
          <w:trHeight w:val="510"/>
        </w:trPr>
        <w:tc>
          <w:tcPr>
            <w:tcW w:w="2719"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autoSpaceDN w:val="0"/>
              <w:adjustRightInd w:val="0"/>
              <w:snapToGrid w:val="0"/>
              <w:spacing w:line="560" w:lineRule="exact"/>
              <w:jc w:val="center"/>
              <w:rPr>
                <w:sz w:val="24"/>
                <w:szCs w:val="24"/>
              </w:rPr>
            </w:pPr>
            <w:r>
              <w:rPr>
                <w:rFonts w:ascii="宋体" w:cs="宋体" w:hint="eastAsia"/>
                <w:kern w:val="0"/>
                <w:sz w:val="24"/>
                <w:szCs w:val="24"/>
              </w:rPr>
              <w:t>行政许可</w:t>
            </w:r>
          </w:p>
        </w:tc>
        <w:tc>
          <w:tcPr>
            <w:tcW w:w="6275" w:type="dxa"/>
            <w:gridSpan w:val="3"/>
            <w:tcBorders>
              <w:top w:val="nil"/>
              <w:left w:val="nil"/>
              <w:bottom w:val="single" w:sz="8" w:space="0" w:color="auto"/>
              <w:right w:val="single" w:sz="8" w:space="0" w:color="auto"/>
            </w:tcBorders>
            <w:shd w:val="clear" w:color="auto" w:fill="auto"/>
            <w:tcMar>
              <w:left w:w="108" w:type="dxa"/>
              <w:right w:w="108" w:type="dxa"/>
            </w:tcMar>
            <w:vAlign w:val="center"/>
          </w:tcPr>
          <w:p>
            <w:pPr>
              <w:pStyle w:val="22"/>
              <w:autoSpaceDN w:val="0"/>
              <w:spacing w:line="560" w:lineRule="exact"/>
              <w:jc w:val="center"/>
              <w:rPr>
                <w:rFonts w:eastAsia="方正仿宋_GBK" w:cs="宋体"/>
                <w:sz w:val="24"/>
                <w:szCs w:val="24"/>
              </w:rPr>
            </w:pPr>
            <w:r>
              <w:rPr>
                <w:rFonts w:eastAsia="方正仿宋_GBK" w:cs="宋体"/>
                <w:sz w:val="24"/>
                <w:szCs w:val="24"/>
              </w:rPr>
              <w:t>2</w:t>
            </w:r>
          </w:p>
        </w:tc>
      </w:tr>
      <w:tr>
        <w:trPr>
          <w:trHeight w:val="406"/>
        </w:trPr>
        <w:tc>
          <w:tcPr>
            <w:tcW w:w="8994" w:type="dxa"/>
            <w:gridSpan w:val="4"/>
            <w:tcBorders>
              <w:top w:val="nil"/>
              <w:left w:val="single" w:sz="8" w:space="0" w:color="auto"/>
              <w:bottom w:val="single" w:sz="8" w:space="0" w:color="auto"/>
              <w:right w:val="single" w:sz="8" w:space="0" w:color="auto"/>
            </w:tcBorders>
            <w:shd w:val="clear" w:color="auto" w:fill="C6D9F1"/>
            <w:tcMar>
              <w:left w:w="108" w:type="dxa"/>
              <w:right w:w="108" w:type="dxa"/>
            </w:tcMar>
            <w:vAlign w:val="center"/>
          </w:tcPr>
          <w:p>
            <w:pPr>
              <w:pStyle w:val="18"/>
              <w:widowControl/>
              <w:autoSpaceDN w:val="0"/>
              <w:spacing w:line="560" w:lineRule="exact"/>
              <w:jc w:val="center"/>
              <w:rPr>
                <w:sz w:val="24"/>
                <w:szCs w:val="24"/>
              </w:rPr>
            </w:pPr>
            <w:r>
              <w:rPr>
                <w:rFonts w:ascii="宋体" w:cs="宋体" w:hint="eastAsia"/>
                <w:kern w:val="0"/>
                <w:sz w:val="24"/>
                <w:szCs w:val="24"/>
              </w:rPr>
              <w:t>第二十条第（六）项</w:t>
            </w:r>
          </w:p>
        </w:tc>
      </w:tr>
      <w:tr>
        <w:trPr>
          <w:trHeight w:val="680"/>
        </w:trPr>
        <w:tc>
          <w:tcPr>
            <w:tcW w:w="2719"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autoSpaceDN w:val="0"/>
              <w:adjustRightInd w:val="0"/>
              <w:snapToGrid w:val="0"/>
              <w:spacing w:line="560" w:lineRule="exact"/>
              <w:jc w:val="center"/>
              <w:rPr>
                <w:sz w:val="24"/>
                <w:szCs w:val="24"/>
              </w:rPr>
            </w:pPr>
            <w:r>
              <w:rPr>
                <w:rFonts w:ascii="宋体" w:cs="宋体" w:hint="eastAsia"/>
                <w:kern w:val="0"/>
                <w:sz w:val="24"/>
                <w:szCs w:val="24"/>
              </w:rPr>
              <w:t>信息内容</w:t>
            </w:r>
          </w:p>
        </w:tc>
        <w:tc>
          <w:tcPr>
            <w:tcW w:w="6275" w:type="dxa"/>
            <w:gridSpan w:val="3"/>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20"/>
              <w:widowControl/>
              <w:autoSpaceDN w:val="0"/>
              <w:adjustRightInd w:val="0"/>
              <w:snapToGrid w:val="0"/>
              <w:spacing w:line="560" w:lineRule="exact"/>
              <w:jc w:val="center"/>
              <w:rPr>
                <w:sz w:val="24"/>
                <w:szCs w:val="24"/>
              </w:rPr>
            </w:pPr>
            <w:r>
              <w:rPr>
                <w:rFonts w:ascii="宋体" w:cs="宋体" w:hint="eastAsia"/>
                <w:kern w:val="0"/>
                <w:sz w:val="24"/>
                <w:szCs w:val="24"/>
              </w:rPr>
              <w:t>本年处理决定数量</w:t>
            </w:r>
          </w:p>
        </w:tc>
      </w:tr>
      <w:tr>
        <w:trPr>
          <w:trHeight w:val="510"/>
        </w:trPr>
        <w:tc>
          <w:tcPr>
            <w:tcW w:w="2719"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autoSpaceDN w:val="0"/>
              <w:adjustRightInd w:val="0"/>
              <w:snapToGrid w:val="0"/>
              <w:spacing w:line="560" w:lineRule="exact"/>
              <w:jc w:val="center"/>
              <w:rPr>
                <w:sz w:val="24"/>
                <w:szCs w:val="24"/>
              </w:rPr>
            </w:pPr>
            <w:r>
              <w:rPr>
                <w:rFonts w:ascii="宋体" w:cs="宋体" w:hint="eastAsia"/>
                <w:kern w:val="0"/>
                <w:sz w:val="24"/>
                <w:szCs w:val="24"/>
              </w:rPr>
              <w:t>行政处罚</w:t>
            </w:r>
          </w:p>
        </w:tc>
        <w:tc>
          <w:tcPr>
            <w:tcW w:w="6275" w:type="dxa"/>
            <w:gridSpan w:val="3"/>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cs="宋体"/>
                <w:sz w:val="24"/>
                <w:szCs w:val="24"/>
                <w:shd w:val="solid" w:color="FFFF00" w:fill="FFFFFF"/>
              </w:rPr>
            </w:pPr>
            <w:r>
              <w:rPr>
                <w:rFonts w:eastAsia="方正仿宋_GBK" w:cs="宋体"/>
                <w:sz w:val="24"/>
                <w:szCs w:val="24"/>
              </w:rPr>
              <w:t>185</w:t>
            </w:r>
          </w:p>
        </w:tc>
      </w:tr>
      <w:tr>
        <w:trPr>
          <w:trHeight w:val="510"/>
        </w:trPr>
        <w:tc>
          <w:tcPr>
            <w:tcW w:w="2719"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autoSpaceDN w:val="0"/>
              <w:adjustRightInd w:val="0"/>
              <w:snapToGrid w:val="0"/>
              <w:spacing w:line="560" w:lineRule="exact"/>
              <w:jc w:val="center"/>
              <w:rPr>
                <w:sz w:val="24"/>
                <w:szCs w:val="24"/>
              </w:rPr>
            </w:pPr>
            <w:r>
              <w:rPr>
                <w:rFonts w:ascii="宋体" w:cs="宋体" w:hint="eastAsia"/>
                <w:kern w:val="0"/>
                <w:sz w:val="24"/>
                <w:szCs w:val="24"/>
              </w:rPr>
              <w:t>行政强制</w:t>
            </w:r>
          </w:p>
        </w:tc>
        <w:tc>
          <w:tcPr>
            <w:tcW w:w="6275" w:type="dxa"/>
            <w:gridSpan w:val="3"/>
            <w:tcBorders>
              <w:top w:val="nil"/>
              <w:left w:val="nil"/>
              <w:bottom w:val="single" w:sz="8" w:space="0" w:color="auto"/>
              <w:right w:val="single" w:sz="8" w:space="0" w:color="auto"/>
            </w:tcBorders>
            <w:shd w:val="clear" w:color="auto" w:fill="auto"/>
            <w:tcMar>
              <w:left w:w="108" w:type="dxa"/>
              <w:right w:w="108" w:type="dxa"/>
            </w:tcMar>
            <w:vAlign w:val="center"/>
          </w:tcPr>
          <w:p>
            <w:pPr>
              <w:pStyle w:val="23"/>
              <w:autoSpaceDN w:val="0"/>
              <w:spacing w:line="560" w:lineRule="exact"/>
              <w:jc w:val="center"/>
              <w:rPr>
                <w:rFonts w:eastAsia="方正仿宋_GBK" w:cs="宋体"/>
                <w:sz w:val="24"/>
                <w:szCs w:val="24"/>
                <w:shd w:val="solid" w:color="FFFF00" w:fill="FFFFFF"/>
              </w:rPr>
            </w:pPr>
            <w:r>
              <w:rPr>
                <w:rFonts w:eastAsia="方正仿宋_GBK" w:cs="宋体"/>
                <w:sz w:val="24"/>
                <w:szCs w:val="24"/>
              </w:rPr>
              <w:t>5</w:t>
            </w:r>
          </w:p>
        </w:tc>
      </w:tr>
      <w:tr>
        <w:trPr>
          <w:trHeight w:val="474"/>
        </w:trPr>
        <w:tc>
          <w:tcPr>
            <w:tcW w:w="8994" w:type="dxa"/>
            <w:gridSpan w:val="4"/>
            <w:tcBorders>
              <w:top w:val="nil"/>
              <w:left w:val="single" w:sz="8" w:space="0" w:color="auto"/>
              <w:bottom w:val="single" w:sz="8" w:space="0" w:color="auto"/>
              <w:right w:val="single" w:sz="8" w:space="0" w:color="auto"/>
            </w:tcBorders>
            <w:shd w:val="clear" w:color="auto" w:fill="C6D9F1"/>
            <w:tcMar>
              <w:left w:w="108" w:type="dxa"/>
              <w:right w:w="108" w:type="dxa"/>
            </w:tcMar>
            <w:vAlign w:val="center"/>
          </w:tcPr>
          <w:p>
            <w:pPr>
              <w:pStyle w:val="18"/>
              <w:widowControl/>
              <w:autoSpaceDN w:val="0"/>
              <w:spacing w:line="560" w:lineRule="exact"/>
              <w:jc w:val="center"/>
              <w:rPr>
                <w:sz w:val="24"/>
                <w:szCs w:val="24"/>
              </w:rPr>
            </w:pPr>
            <w:r>
              <w:rPr>
                <w:rFonts w:ascii="宋体" w:cs="宋体" w:hint="eastAsia"/>
                <w:kern w:val="0"/>
                <w:sz w:val="24"/>
                <w:szCs w:val="24"/>
              </w:rPr>
              <w:t>第二十条第（八）项</w:t>
            </w:r>
          </w:p>
        </w:tc>
      </w:tr>
      <w:tr>
        <w:trPr>
          <w:trHeight w:val="680"/>
        </w:trPr>
        <w:tc>
          <w:tcPr>
            <w:tcW w:w="2719"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autoSpaceDN w:val="0"/>
              <w:adjustRightInd w:val="0"/>
              <w:snapToGrid w:val="0"/>
              <w:spacing w:line="560" w:lineRule="exact"/>
              <w:jc w:val="center"/>
              <w:rPr>
                <w:sz w:val="24"/>
                <w:szCs w:val="24"/>
              </w:rPr>
            </w:pPr>
            <w:r>
              <w:rPr>
                <w:rFonts w:ascii="宋体" w:cs="宋体" w:hint="eastAsia"/>
                <w:kern w:val="0"/>
                <w:sz w:val="24"/>
                <w:szCs w:val="24"/>
              </w:rPr>
              <w:t>信息内容</w:t>
            </w:r>
          </w:p>
        </w:tc>
        <w:tc>
          <w:tcPr>
            <w:tcW w:w="6275" w:type="dxa"/>
            <w:gridSpan w:val="3"/>
            <w:tcBorders>
              <w:top w:val="nil"/>
              <w:left w:val="nil"/>
              <w:bottom w:val="single" w:sz="8" w:space="0" w:color="auto"/>
              <w:right w:val="single" w:sz="8" w:space="0" w:color="000000"/>
            </w:tcBorders>
            <w:shd w:val="clear" w:color="auto" w:fill="auto"/>
            <w:tcMar>
              <w:left w:w="108" w:type="dxa"/>
              <w:right w:w="108" w:type="dxa"/>
            </w:tcMar>
            <w:vAlign w:val="center"/>
          </w:tcPr>
          <w:p>
            <w:pPr>
              <w:pStyle w:val="21"/>
              <w:widowControl/>
              <w:autoSpaceDN w:val="0"/>
              <w:adjustRightInd w:val="0"/>
              <w:snapToGrid w:val="0"/>
              <w:spacing w:line="560" w:lineRule="exact"/>
              <w:jc w:val="center"/>
              <w:rPr>
                <w:sz w:val="24"/>
                <w:szCs w:val="24"/>
              </w:rPr>
            </w:pPr>
            <w:r>
              <w:rPr>
                <w:rFonts w:ascii="宋体" w:cs="宋体" w:hint="eastAsia"/>
                <w:kern w:val="0"/>
                <w:sz w:val="24"/>
                <w:szCs w:val="24"/>
              </w:rPr>
              <w:t>本年收费金额（单位：万元）</w:t>
            </w:r>
          </w:p>
        </w:tc>
      </w:tr>
      <w:tr>
        <w:trPr>
          <w:trHeight w:val="510"/>
        </w:trPr>
        <w:tc>
          <w:tcPr>
            <w:tcW w:w="2719"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autoSpaceDN w:val="0"/>
              <w:adjustRightInd w:val="0"/>
              <w:snapToGrid w:val="0"/>
              <w:spacing w:line="560" w:lineRule="exact"/>
              <w:jc w:val="center"/>
            </w:pPr>
            <w:r>
              <w:rPr>
                <w:rFonts w:ascii="宋体" w:cs="宋体" w:hint="eastAsia"/>
                <w:kern w:val="0"/>
                <w:sz w:val="24"/>
                <w:szCs w:val="24"/>
              </w:rPr>
              <w:t>行政事业性收费</w:t>
            </w:r>
          </w:p>
        </w:tc>
        <w:tc>
          <w:tcPr>
            <w:tcW w:w="6275" w:type="dxa"/>
            <w:gridSpan w:val="3"/>
            <w:tcBorders>
              <w:top w:val="nil"/>
              <w:left w:val="nil"/>
              <w:bottom w:val="single" w:sz="8" w:space="0" w:color="auto"/>
              <w:right w:val="single" w:sz="8" w:space="0" w:color="000000"/>
            </w:tcBorders>
            <w:shd w:val="clear" w:color="auto" w:fill="auto"/>
            <w:tcMar>
              <w:left w:w="108" w:type="dxa"/>
              <w:right w:w="108" w:type="dxa"/>
            </w:tcMar>
            <w:vAlign w:val="center"/>
          </w:tcPr>
          <w:p>
            <w:pPr>
              <w:pStyle w:val="18"/>
              <w:autoSpaceDN w:val="0"/>
              <w:spacing w:line="560" w:lineRule="exact"/>
              <w:jc w:val="center"/>
              <w:rPr>
                <w:rFonts w:eastAsia="方正仿宋_GBK" w:cs="宋体"/>
                <w:sz w:val="24"/>
                <w:szCs w:val="24"/>
              </w:rPr>
            </w:pPr>
            <w:r>
              <w:rPr>
                <w:rFonts w:eastAsia="方正仿宋_GBK" w:cs="宋体"/>
                <w:sz w:val="24"/>
                <w:szCs w:val="24"/>
              </w:rPr>
              <w:t>0</w:t>
            </w:r>
          </w:p>
        </w:tc>
      </w:tr>
    </w:tbl>
    <w:p>
      <w:pPr>
        <w:pStyle w:val="91"/>
        <w:widowControl/>
        <w:adjustRightInd w:val="0"/>
        <w:snapToGrid w:val="0"/>
        <w:spacing w:before="0" w:beforeAutospacing="0" w:after="0" w:afterAutospacing="0" w:line="560" w:lineRule="exact"/>
        <w:ind w:firstLineChars="200" w:firstLine="640"/>
        <w:jc w:val="both"/>
        <w:rPr>
          <w:rFonts w:eastAsia="方正仿宋_GBK" w:cs="方正黑体_GBK"/>
          <w:kern w:val="2"/>
          <w:sz w:val="32"/>
          <w:szCs w:val="32"/>
        </w:rPr>
      </w:pPr>
      <w:r>
        <w:rPr>
          <w:rFonts w:eastAsia="方正仿宋_GBK" w:cs="方正黑体_GBK" w:hint="eastAsia"/>
          <w:kern w:val="2"/>
          <w:sz w:val="32"/>
          <w:szCs w:val="32"/>
        </w:rPr>
        <w:t>*备注：本表格行政许可的处理决定数量，包括本机关在本年度内作出的准予许可决定、不予许可决定、变更许可决定、延期（延续）许可决定、撤销许可决定、撤回许可决定等。</w:t>
      </w:r>
    </w:p>
    <w:p>
      <w:pPr>
        <w:pStyle w:val="15"/>
        <w:widowControl/>
        <w:shd w:val="clear" w:color="auto" w:fill="FFFFFF"/>
        <w:autoSpaceDN w:val="0"/>
        <w:adjustRightInd w:val="0"/>
        <w:snapToGrid w:val="0"/>
        <w:spacing w:before="0" w:beforeAutospacing="0" w:after="0" w:afterAutospacing="0" w:line="560" w:lineRule="exact"/>
        <w:ind w:firstLineChars="200" w:firstLine="640"/>
        <w:jc w:val="both"/>
        <w:rPr>
          <w:rFonts w:ascii="方正黑体_GBK" w:eastAsia="方正黑体_GBK" w:cs="楷体_GB2312"/>
          <w:bCs/>
          <w:sz w:val="32"/>
          <w:szCs w:val="32"/>
          <w:shd w:val="clear" w:color="auto" w:fill="FFFFFF"/>
        </w:rPr>
      </w:pPr>
      <w:r>
        <w:rPr>
          <w:rFonts w:ascii="方正黑体_GBK" w:eastAsia="方正黑体_GBK" w:cs="楷体_GB2312" w:hint="eastAsia"/>
          <w:bCs/>
          <w:sz w:val="32"/>
          <w:szCs w:val="32"/>
          <w:shd w:val="clear" w:color="auto" w:fill="FFFFFF"/>
        </w:rPr>
        <w:t>三、收到和处理政府信息公开申请情况</w:t>
      </w:r>
    </w:p>
    <w:tbl>
      <w:tblPr>
        <w:jc w:val="center"/>
        <w:tblW w:w="9071" w:type="dxa"/>
        <w:tblBorders>
          <w:top w:val="none" w:sz="0" w:space="0" w:color="auto"/>
          <w:left w:val="none" w:sz="0" w:space="0" w:color="auto"/>
          <w:bottom w:val="none" w:sz="0" w:space="0" w:color="auto"/>
          <w:right w:val="none" w:sz="0" w:space="0" w:color="auto"/>
        </w:tblBorders>
        <w:tblLayout w:type="fixed"/>
        <w:tblCellMar>
          <w:top w:w="0" w:type="dxa"/>
          <w:left w:w="0" w:type="dxa"/>
          <w:bottom w:w="0" w:type="dxa"/>
          <w:right w:w="0" w:type="dxa"/>
        </w:tblCellMar>
      </w:tblPr>
      <w:tblGrid>
        <w:gridCol w:w="696"/>
        <w:gridCol w:w="936"/>
        <w:gridCol w:w="2670"/>
        <w:gridCol w:w="635"/>
        <w:gridCol w:w="675"/>
        <w:gridCol w:w="750"/>
        <w:gridCol w:w="765"/>
        <w:gridCol w:w="765"/>
        <w:gridCol w:w="497"/>
        <w:gridCol w:w="682"/>
      </w:tblGrid>
      <w:tr>
        <w:trPr>
          <w:tblHeader/>
        </w:trPr>
        <w:tc>
          <w:tcPr>
            <w:tcW w:w="4302" w:type="dxa"/>
            <w:gridSpan w:val="3"/>
            <w:vMerge w:val="restart"/>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pPr>
            <w:r>
              <w:rPr>
                <w:rFonts w:ascii="宋体" w:cs="宋体" w:hint="eastAsia"/>
                <w:kern w:val="0"/>
                <w:sz w:val="20"/>
                <w:szCs w:val="20"/>
              </w:rPr>
              <w:t>（本列数据的勾稽关系为：第一项加第二项之和，等于第三项加第四项之和）</w:t>
            </w:r>
          </w:p>
        </w:tc>
        <w:tc>
          <w:tcPr>
            <w:tcW w:w="4769" w:type="dxa"/>
            <w:gridSpan w:val="7"/>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pPr>
            <w:r>
              <w:rPr>
                <w:rFonts w:ascii="宋体" w:cs="宋体" w:hint="eastAsia"/>
                <w:kern w:val="0"/>
                <w:sz w:val="20"/>
                <w:szCs w:val="20"/>
              </w:rPr>
              <w:t>申请人情况</w:t>
            </w:r>
          </w:p>
        </w:tc>
      </w:tr>
      <w:tr>
        <w:trPr>
          <w:tblHeader/>
        </w:trPr>
        <w:tc>
          <w:tcPr>
            <w:tcW w:w="10578" w:type="dxa"/>
            <w:gridSpan w:val="3"/>
            <w:vMerge/>
            <w:tcBorders>
              <w:top w:val="single" w:sz="8" w:space="0" w:color="auto"/>
              <w:left w:val="single" w:sz="8" w:space="0" w:color="auto"/>
              <w:bottom w:val="single" w:sz="8" w:space="0" w:color="auto"/>
              <w:right w:val="single" w:sz="8" w:space="0" w:color="auto"/>
            </w:tcBorders>
            <w:vAlign w:val="center"/>
          </w:tcPr>
          <w:p/>
        </w:tc>
        <w:tc>
          <w:tcPr>
            <w:tcW w:w="635" w:type="dxa"/>
            <w:vMerge w:val="restart"/>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rFonts w:ascii="Times New Roman" w:eastAsia="宋体" w:cs="Times New Roman" w:hAnsi="Times New Roman"/>
                <w:sz w:val="30"/>
                <w:szCs w:val="30"/>
              </w:rPr>
            </w:pPr>
            <w:r>
              <w:rPr>
                <w:rFonts w:ascii="宋体" w:cs="宋体" w:hint="eastAsia"/>
                <w:kern w:val="0"/>
                <w:sz w:val="20"/>
                <w:szCs w:val="20"/>
              </w:rPr>
              <w:t>自然人</w:t>
            </w:r>
          </w:p>
        </w:tc>
        <w:tc>
          <w:tcPr>
            <w:tcW w:w="3452" w:type="dxa"/>
            <w:gridSpan w:val="5"/>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pPr>
            <w:r>
              <w:rPr>
                <w:rFonts w:ascii="宋体" w:cs="宋体" w:hint="eastAsia"/>
                <w:kern w:val="0"/>
                <w:sz w:val="20"/>
                <w:szCs w:val="20"/>
              </w:rPr>
              <w:t>法人或其他组织</w:t>
            </w:r>
          </w:p>
        </w:tc>
        <w:tc>
          <w:tcPr>
            <w:tcW w:w="682" w:type="dxa"/>
            <w:vMerge w:val="restart"/>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pPr>
            <w:r>
              <w:rPr>
                <w:rFonts w:ascii="宋体" w:cs="宋体" w:hint="eastAsia"/>
                <w:kern w:val="0"/>
                <w:sz w:val="20"/>
                <w:szCs w:val="20"/>
              </w:rPr>
              <w:t>总计</w:t>
            </w:r>
          </w:p>
        </w:tc>
      </w:tr>
      <w:tr>
        <w:trPr>
          <w:trHeight w:val="649"/>
          <w:tblHeader/>
        </w:trPr>
        <w:tc>
          <w:tcPr>
            <w:tcW w:w="10578" w:type="dxa"/>
            <w:gridSpan w:val="3"/>
            <w:vMerge/>
            <w:tcBorders>
              <w:top w:val="single" w:sz="8" w:space="0" w:color="auto"/>
              <w:left w:val="single" w:sz="8" w:space="0" w:color="auto"/>
              <w:bottom w:val="single" w:sz="8" w:space="0" w:color="auto"/>
              <w:right w:val="single" w:sz="8" w:space="0" w:color="auto"/>
            </w:tcBorders>
            <w:vAlign w:val="center"/>
          </w:tcPr>
          <w:p/>
        </w:tc>
        <w:tc>
          <w:tcPr>
            <w:tcW w:w="4769" w:type="dxa"/>
            <w:vMerge/>
            <w:tcBorders>
              <w:top w:val="nil"/>
              <w:left w:val="nil"/>
              <w:bottom w:val="single" w:sz="8" w:space="0" w:color="auto"/>
              <w:right w:val="single" w:sz="8" w:space="0" w:color="auto"/>
            </w:tcBorders>
            <w:vAlign w:val="center"/>
          </w:tcP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rFonts w:ascii="Times New Roman" w:eastAsia="宋体" w:cs="Times New Roman" w:hAnsi="Times New Roman"/>
                <w:sz w:val="30"/>
                <w:szCs w:val="30"/>
              </w:rPr>
            </w:pPr>
            <w:r>
              <w:rPr>
                <w:rFonts w:ascii="宋体" w:cs="宋体" w:hint="eastAsia"/>
                <w:kern w:val="0"/>
                <w:sz w:val="20"/>
                <w:szCs w:val="20"/>
              </w:rPr>
              <w:t>商业企业</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pPr>
            <w:r>
              <w:rPr>
                <w:rFonts w:ascii="宋体" w:cs="宋体" w:hint="eastAsia"/>
                <w:kern w:val="0"/>
                <w:sz w:val="20"/>
                <w:szCs w:val="20"/>
              </w:rPr>
              <w:t>科研机构</w:t>
            </w:r>
          </w:p>
        </w:tc>
        <w:tc>
          <w:tcPr>
            <w:tcW w:w="765"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pPr>
            <w:r>
              <w:rPr>
                <w:rFonts w:ascii="宋体" w:cs="宋体" w:hint="eastAsia"/>
                <w:kern w:val="0"/>
                <w:sz w:val="20"/>
                <w:szCs w:val="20"/>
              </w:rPr>
              <w:t>社会公益组织</w:t>
            </w:r>
          </w:p>
        </w:tc>
        <w:tc>
          <w:tcPr>
            <w:tcW w:w="765"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pPr>
            <w:r>
              <w:rPr>
                <w:rFonts w:ascii="宋体" w:cs="宋体" w:hint="eastAsia"/>
                <w:kern w:val="0"/>
                <w:sz w:val="20"/>
                <w:szCs w:val="20"/>
              </w:rPr>
              <w:t>法律服务机构</w:t>
            </w:r>
          </w:p>
        </w:tc>
        <w:tc>
          <w:tcPr>
            <w:tcW w:w="497"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pPr>
            <w:r>
              <w:rPr>
                <w:rFonts w:ascii="宋体" w:cs="宋体" w:hint="eastAsia"/>
                <w:kern w:val="0"/>
                <w:sz w:val="20"/>
                <w:szCs w:val="20"/>
              </w:rPr>
              <w:t>其他</w:t>
            </w:r>
          </w:p>
        </w:tc>
        <w:tc>
          <w:tcPr>
            <w:tcW w:w="682" w:type="dxa"/>
            <w:vMerge/>
            <w:tcBorders>
              <w:top w:val="single" w:sz="8" w:space="0" w:color="auto"/>
              <w:left w:val="nil"/>
              <w:bottom w:val="single" w:sz="8" w:space="0" w:color="auto"/>
              <w:right w:val="single" w:sz="8" w:space="0" w:color="auto"/>
            </w:tcBorders>
            <w:vAlign w:val="center"/>
          </w:tcPr>
          <w:p/>
        </w:tc>
      </w:tr>
      <w:tr>
        <w:tc>
          <w:tcPr>
            <w:tcW w:w="4302" w:type="dxa"/>
            <w:gridSpan w:val="3"/>
            <w:tcBorders>
              <w:top w:val="nil"/>
              <w:left w:val="single" w:sz="8" w:space="0" w:color="auto"/>
              <w:bottom w:val="single" w:sz="8" w:space="0" w:color="auto"/>
              <w:right w:val="single" w:sz="8" w:space="0" w:color="auto"/>
            </w:tcBorders>
            <w:shd w:val="clear" w:color="auto" w:fill="auto"/>
            <w:tcMar>
              <w:left w:w="108" w:type="dxa"/>
              <w:right w:w="108" w:type="dxa"/>
            </w:tcMar>
          </w:tcPr>
          <w:p>
            <w:pPr>
              <w:pStyle w:val="18"/>
              <w:widowControl/>
              <w:autoSpaceDN w:val="0"/>
              <w:spacing w:line="560" w:lineRule="exact"/>
              <w:jc w:val="left"/>
              <w:rPr>
                <w:sz w:val="24"/>
                <w:szCs w:val="24"/>
              </w:rPr>
            </w:pPr>
            <w:r>
              <w:rPr>
                <w:rFonts w:ascii="宋体" w:cs="宋体" w:hint="eastAsia"/>
                <w:kern w:val="0"/>
                <w:sz w:val="24"/>
                <w:szCs w:val="24"/>
              </w:rPr>
              <w:t>一、本年新收政府信息公开申请数量</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r>
      <w:tr>
        <w:tc>
          <w:tcPr>
            <w:tcW w:w="4302" w:type="dxa"/>
            <w:gridSpan w:val="3"/>
            <w:tcBorders>
              <w:top w:val="nil"/>
              <w:left w:val="single" w:sz="8" w:space="0" w:color="auto"/>
              <w:bottom w:val="single" w:sz="8" w:space="0" w:color="auto"/>
              <w:right w:val="single" w:sz="8" w:space="0" w:color="auto"/>
            </w:tcBorders>
            <w:shd w:val="clear" w:color="auto" w:fill="auto"/>
            <w:tcMar>
              <w:left w:w="108" w:type="dxa"/>
              <w:right w:w="108" w:type="dxa"/>
            </w:tcMar>
          </w:tcPr>
          <w:p>
            <w:pPr>
              <w:pStyle w:val="18"/>
              <w:widowControl/>
              <w:autoSpaceDN w:val="0"/>
              <w:spacing w:line="560" w:lineRule="exact"/>
              <w:jc w:val="left"/>
              <w:rPr>
                <w:sz w:val="24"/>
                <w:szCs w:val="24"/>
              </w:rPr>
            </w:pPr>
            <w:r>
              <w:rPr>
                <w:rFonts w:ascii="宋体" w:cs="宋体" w:hint="eastAsia"/>
                <w:kern w:val="0"/>
                <w:sz w:val="24"/>
                <w:szCs w:val="24"/>
              </w:rPr>
              <w:t>二、上年结转政府信息公开申请数量</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r>
      <w:tr>
        <w:tc>
          <w:tcPr>
            <w:tcW w:w="696" w:type="dxa"/>
            <w:vMerge w:val="restart"/>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4"/>
                <w:szCs w:val="24"/>
              </w:rPr>
            </w:pPr>
            <w:r>
              <w:rPr>
                <w:rFonts w:ascii="宋体" w:cs="宋体" w:hint="eastAsia"/>
                <w:kern w:val="0"/>
                <w:sz w:val="24"/>
                <w:szCs w:val="24"/>
              </w:rPr>
              <w:t>三、本年度办理结果</w:t>
            </w:r>
          </w:p>
        </w:tc>
        <w:tc>
          <w:tcPr>
            <w:tcW w:w="3606" w:type="dxa"/>
            <w:gridSpan w:val="2"/>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left"/>
              <w:rPr>
                <w:sz w:val="24"/>
                <w:szCs w:val="24"/>
              </w:rPr>
            </w:pPr>
            <w:r>
              <w:rPr>
                <w:rFonts w:ascii="楷体" w:eastAsia="楷体" w:cs="楷体" w:hint="eastAsia"/>
                <w:kern w:val="0"/>
                <w:sz w:val="24"/>
                <w:szCs w:val="24"/>
              </w:rPr>
              <w:t>（一）予以公开</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82"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r>
      <w:tr>
        <w:tc>
          <w:tcPr>
            <w:tcW w:w="4302" w:type="dxa"/>
            <w:vMerge/>
            <w:tcBorders>
              <w:top w:val="nil"/>
              <w:left w:val="single" w:sz="8" w:space="0" w:color="auto"/>
              <w:bottom w:val="single" w:sz="8" w:space="0" w:color="auto"/>
              <w:right w:val="single" w:sz="8" w:space="0" w:color="auto"/>
            </w:tcBorders>
            <w:vAlign w:val="center"/>
          </w:tcPr>
          <w:p/>
        </w:tc>
        <w:tc>
          <w:tcPr>
            <w:tcW w:w="3606" w:type="dxa"/>
            <w:gridSpan w:val="2"/>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left"/>
              <w:rPr>
                <w:sz w:val="24"/>
                <w:szCs w:val="24"/>
              </w:rPr>
            </w:pPr>
            <w:r>
              <w:rPr>
                <w:rFonts w:ascii="楷体" w:eastAsia="楷体" w:cs="楷体" w:hint="eastAsia"/>
                <w:kern w:val="0"/>
                <w:sz w:val="24"/>
                <w:szCs w:val="24"/>
              </w:rPr>
              <w:t>（二）部分公开（区分处理的，只计这一情形，不计其他情形）</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r>
      <w:tr>
        <w:tc>
          <w:tcPr>
            <w:tcW w:w="4302" w:type="dxa"/>
            <w:vMerge/>
            <w:tcBorders>
              <w:top w:val="nil"/>
              <w:left w:val="single" w:sz="8" w:space="0" w:color="auto"/>
              <w:bottom w:val="single" w:sz="8" w:space="0" w:color="auto"/>
              <w:right w:val="single" w:sz="8" w:space="0" w:color="auto"/>
            </w:tcBorders>
            <w:vAlign w:val="center"/>
          </w:tcPr>
          <w:p/>
        </w:tc>
        <w:tc>
          <w:tcPr>
            <w:tcW w:w="936" w:type="dxa"/>
            <w:vMerge w:val="restart"/>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rPr>
                <w:sz w:val="24"/>
                <w:szCs w:val="24"/>
              </w:rPr>
            </w:pPr>
            <w:r>
              <w:rPr>
                <w:rFonts w:ascii="楷体" w:eastAsia="楷体" w:cs="楷体" w:hint="eastAsia"/>
                <w:kern w:val="0"/>
                <w:sz w:val="24"/>
                <w:szCs w:val="24"/>
              </w:rPr>
              <w:t>（三）不予公开</w:t>
            </w:r>
          </w:p>
        </w:tc>
        <w:tc>
          <w:tcPr>
            <w:tcW w:w="267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82"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r>
      <w:tr>
        <w:tc>
          <w:tcPr>
            <w:tcW w:w="4302" w:type="dxa"/>
            <w:vMerge/>
            <w:tcBorders>
              <w:top w:val="nil"/>
              <w:left w:val="single" w:sz="8" w:space="0" w:color="auto"/>
              <w:bottom w:val="single" w:sz="8" w:space="0" w:color="auto"/>
              <w:right w:val="single" w:sz="8" w:space="0" w:color="auto"/>
            </w:tcBorders>
            <w:vAlign w:val="center"/>
          </w:tcPr>
          <w:p/>
        </w:tc>
        <w:tc>
          <w:tcPr>
            <w:tcW w:w="3606" w:type="dxa"/>
            <w:vMerge/>
            <w:tcBorders>
              <w:top w:val="nil"/>
              <w:left w:val="nil"/>
              <w:bottom w:val="single" w:sz="8" w:space="0" w:color="auto"/>
              <w:right w:val="single" w:sz="8" w:space="0" w:color="auto"/>
            </w:tcBorders>
            <w:vAlign w:val="center"/>
          </w:tcPr>
          <w:p/>
        </w:tc>
        <w:tc>
          <w:tcPr>
            <w:tcW w:w="267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5"/>
              <w:autoSpaceDN w:val="0"/>
              <w:spacing w:before="0" w:beforeAutospacing="0" w:after="0" w:afterAutospacing="0" w:line="560" w:lineRule="exact"/>
              <w:jc w:val="center"/>
              <w:rPr>
                <w:rFonts w:eastAsia="方正仿宋_GBK"/>
              </w:rPr>
            </w:pPr>
            <w:r>
              <w:rPr>
                <w:rFonts w:eastAsia="方正仿宋_GBK"/>
              </w:rPr>
              <w:t>0</w:t>
            </w:r>
          </w:p>
        </w:tc>
      </w:tr>
      <w:tr>
        <w:tc>
          <w:tcPr>
            <w:tcW w:w="4302" w:type="dxa"/>
            <w:vMerge/>
            <w:tcBorders>
              <w:top w:val="nil"/>
              <w:left w:val="single" w:sz="8" w:space="0" w:color="auto"/>
              <w:bottom w:val="single" w:sz="8" w:space="0" w:color="auto"/>
              <w:right w:val="single" w:sz="8" w:space="0" w:color="auto"/>
            </w:tcBorders>
            <w:vAlign w:val="center"/>
          </w:tcPr>
          <w:p/>
        </w:tc>
        <w:tc>
          <w:tcPr>
            <w:tcW w:w="3606" w:type="dxa"/>
            <w:vMerge/>
            <w:tcBorders>
              <w:top w:val="nil"/>
              <w:left w:val="nil"/>
              <w:bottom w:val="single" w:sz="8" w:space="0" w:color="auto"/>
              <w:right w:val="single" w:sz="8" w:space="0" w:color="auto"/>
            </w:tcBorders>
            <w:vAlign w:val="center"/>
          </w:tcPr>
          <w:p/>
        </w:tc>
        <w:tc>
          <w:tcPr>
            <w:tcW w:w="267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5"/>
              <w:autoSpaceDN w:val="0"/>
              <w:spacing w:before="0" w:beforeAutospacing="0" w:after="0" w:afterAutospacing="0" w:line="560" w:lineRule="exact"/>
              <w:jc w:val="center"/>
              <w:rPr>
                <w:rFonts w:eastAsia="方正仿宋_GBK"/>
              </w:rPr>
            </w:pPr>
            <w:r>
              <w:rPr>
                <w:rFonts w:eastAsia="方正仿宋_GBK"/>
              </w:rPr>
              <w:t>0</w:t>
            </w:r>
          </w:p>
        </w:tc>
      </w:tr>
      <w:tr>
        <w:tc>
          <w:tcPr>
            <w:tcW w:w="4302" w:type="dxa"/>
            <w:vMerge/>
            <w:tcBorders>
              <w:top w:val="nil"/>
              <w:left w:val="single" w:sz="8" w:space="0" w:color="auto"/>
              <w:bottom w:val="single" w:sz="8" w:space="0" w:color="auto"/>
              <w:right w:val="single" w:sz="8" w:space="0" w:color="auto"/>
            </w:tcBorders>
            <w:vAlign w:val="center"/>
          </w:tcPr>
          <w:p/>
        </w:tc>
        <w:tc>
          <w:tcPr>
            <w:tcW w:w="3606" w:type="dxa"/>
            <w:vMerge/>
            <w:tcBorders>
              <w:top w:val="nil"/>
              <w:left w:val="nil"/>
              <w:bottom w:val="single" w:sz="8" w:space="0" w:color="auto"/>
              <w:right w:val="single" w:sz="8" w:space="0" w:color="auto"/>
            </w:tcBorders>
            <w:vAlign w:val="center"/>
          </w:tcPr>
          <w:p/>
        </w:tc>
        <w:tc>
          <w:tcPr>
            <w:tcW w:w="267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5"/>
              <w:autoSpaceDN w:val="0"/>
              <w:spacing w:before="0" w:beforeAutospacing="0" w:after="0" w:afterAutospacing="0" w:line="560" w:lineRule="exact"/>
              <w:jc w:val="center"/>
              <w:rPr>
                <w:rFonts w:eastAsia="方正仿宋_GBK"/>
              </w:rPr>
            </w:pPr>
            <w:r>
              <w:rPr>
                <w:rFonts w:eastAsia="方正仿宋_GBK"/>
              </w:rPr>
              <w:t>0</w:t>
            </w:r>
          </w:p>
        </w:tc>
      </w:tr>
      <w:tr>
        <w:tc>
          <w:tcPr>
            <w:tcW w:w="4302" w:type="dxa"/>
            <w:vMerge/>
            <w:tcBorders>
              <w:top w:val="nil"/>
              <w:left w:val="single" w:sz="8" w:space="0" w:color="auto"/>
              <w:bottom w:val="single" w:sz="8" w:space="0" w:color="auto"/>
              <w:right w:val="single" w:sz="8" w:space="0" w:color="auto"/>
            </w:tcBorders>
            <w:vAlign w:val="center"/>
          </w:tcPr>
          <w:p/>
        </w:tc>
        <w:tc>
          <w:tcPr>
            <w:tcW w:w="3606" w:type="dxa"/>
            <w:vMerge/>
            <w:tcBorders>
              <w:top w:val="nil"/>
              <w:left w:val="nil"/>
              <w:bottom w:val="single" w:sz="8" w:space="0" w:color="auto"/>
              <w:right w:val="single" w:sz="8" w:space="0" w:color="auto"/>
            </w:tcBorders>
            <w:vAlign w:val="center"/>
          </w:tcPr>
          <w:p/>
        </w:tc>
        <w:tc>
          <w:tcPr>
            <w:tcW w:w="267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r>
      <w:tr>
        <w:tc>
          <w:tcPr>
            <w:tcW w:w="4302" w:type="dxa"/>
            <w:vMerge/>
            <w:tcBorders>
              <w:top w:val="nil"/>
              <w:left w:val="single" w:sz="8" w:space="0" w:color="auto"/>
              <w:bottom w:val="single" w:sz="8" w:space="0" w:color="auto"/>
              <w:right w:val="single" w:sz="8" w:space="0" w:color="auto"/>
            </w:tcBorders>
            <w:vAlign w:val="center"/>
          </w:tcPr>
          <w:p/>
        </w:tc>
        <w:tc>
          <w:tcPr>
            <w:tcW w:w="3606" w:type="dxa"/>
            <w:vMerge/>
            <w:tcBorders>
              <w:top w:val="nil"/>
              <w:left w:val="nil"/>
              <w:bottom w:val="single" w:sz="8" w:space="0" w:color="auto"/>
              <w:right w:val="single" w:sz="8" w:space="0" w:color="auto"/>
            </w:tcBorders>
            <w:vAlign w:val="center"/>
          </w:tcPr>
          <w:p/>
        </w:tc>
        <w:tc>
          <w:tcPr>
            <w:tcW w:w="267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5"/>
              <w:autoSpaceDN w:val="0"/>
              <w:spacing w:before="0" w:beforeAutospacing="0" w:after="0" w:afterAutospacing="0" w:line="560" w:lineRule="exact"/>
              <w:jc w:val="center"/>
              <w:rPr>
                <w:rFonts w:eastAsia="方正仿宋_GBK"/>
              </w:rPr>
            </w:pPr>
            <w:r>
              <w:rPr>
                <w:rFonts w:eastAsia="方正仿宋_GBK"/>
              </w:rPr>
              <w:t>0</w:t>
            </w:r>
          </w:p>
        </w:tc>
      </w:tr>
      <w:tr>
        <w:tc>
          <w:tcPr>
            <w:tcW w:w="4302" w:type="dxa"/>
            <w:vMerge/>
            <w:tcBorders>
              <w:top w:val="nil"/>
              <w:left w:val="single" w:sz="8" w:space="0" w:color="auto"/>
              <w:bottom w:val="single" w:sz="8" w:space="0" w:color="auto"/>
              <w:right w:val="single" w:sz="8" w:space="0" w:color="auto"/>
            </w:tcBorders>
            <w:vAlign w:val="center"/>
          </w:tcPr>
          <w:p/>
        </w:tc>
        <w:tc>
          <w:tcPr>
            <w:tcW w:w="3606" w:type="dxa"/>
            <w:vMerge/>
            <w:tcBorders>
              <w:top w:val="nil"/>
              <w:left w:val="nil"/>
              <w:bottom w:val="single" w:sz="8" w:space="0" w:color="auto"/>
              <w:right w:val="single" w:sz="8" w:space="0" w:color="auto"/>
            </w:tcBorders>
            <w:vAlign w:val="center"/>
          </w:tcPr>
          <w:p/>
        </w:tc>
        <w:tc>
          <w:tcPr>
            <w:tcW w:w="267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5"/>
              <w:autoSpaceDN w:val="0"/>
              <w:spacing w:before="0" w:beforeAutospacing="0" w:after="0" w:afterAutospacing="0" w:line="560" w:lineRule="exact"/>
              <w:jc w:val="center"/>
              <w:rPr>
                <w:rFonts w:eastAsia="方正仿宋_GBK"/>
              </w:rPr>
            </w:pPr>
            <w:r>
              <w:rPr>
                <w:rFonts w:eastAsia="方正仿宋_GBK"/>
              </w:rPr>
              <w:t>0</w:t>
            </w:r>
          </w:p>
        </w:tc>
      </w:tr>
      <w:tr>
        <w:tc>
          <w:tcPr>
            <w:tcW w:w="4302" w:type="dxa"/>
            <w:vMerge/>
            <w:tcBorders>
              <w:top w:val="nil"/>
              <w:left w:val="single" w:sz="8" w:space="0" w:color="auto"/>
              <w:bottom w:val="single" w:sz="8" w:space="0" w:color="auto"/>
              <w:right w:val="single" w:sz="8" w:space="0" w:color="auto"/>
            </w:tcBorders>
            <w:vAlign w:val="center"/>
          </w:tcPr>
          <w:p/>
        </w:tc>
        <w:tc>
          <w:tcPr>
            <w:tcW w:w="3606" w:type="dxa"/>
            <w:vMerge/>
            <w:tcBorders>
              <w:top w:val="nil"/>
              <w:left w:val="nil"/>
              <w:bottom w:val="single" w:sz="8" w:space="0" w:color="auto"/>
              <w:right w:val="single" w:sz="8" w:space="0" w:color="auto"/>
            </w:tcBorders>
            <w:vAlign w:val="center"/>
          </w:tcPr>
          <w:p/>
        </w:tc>
        <w:tc>
          <w:tcPr>
            <w:tcW w:w="267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5"/>
              <w:autoSpaceDN w:val="0"/>
              <w:spacing w:before="0" w:beforeAutospacing="0" w:after="0" w:afterAutospacing="0" w:line="560" w:lineRule="exact"/>
              <w:jc w:val="center"/>
              <w:rPr>
                <w:rFonts w:eastAsia="方正仿宋_GBK"/>
              </w:rPr>
            </w:pPr>
            <w:r>
              <w:rPr>
                <w:rFonts w:eastAsia="方正仿宋_GBK"/>
              </w:rPr>
              <w:t>0</w:t>
            </w:r>
          </w:p>
        </w:tc>
      </w:tr>
      <w:tr>
        <w:tc>
          <w:tcPr>
            <w:tcW w:w="4302" w:type="dxa"/>
            <w:vMerge/>
            <w:tcBorders>
              <w:top w:val="nil"/>
              <w:left w:val="single" w:sz="8" w:space="0" w:color="auto"/>
              <w:bottom w:val="single" w:sz="8" w:space="0" w:color="auto"/>
              <w:right w:val="single" w:sz="8" w:space="0" w:color="auto"/>
            </w:tcBorders>
            <w:vAlign w:val="center"/>
          </w:tcPr>
          <w:p/>
        </w:tc>
        <w:tc>
          <w:tcPr>
            <w:tcW w:w="936" w:type="dxa"/>
            <w:vMerge w:val="restart"/>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rPr>
                <w:sz w:val="24"/>
                <w:szCs w:val="24"/>
              </w:rPr>
            </w:pPr>
            <w:r>
              <w:rPr>
                <w:rFonts w:ascii="楷体" w:eastAsia="楷体" w:cs="楷体" w:hint="eastAsia"/>
                <w:kern w:val="0"/>
                <w:sz w:val="24"/>
                <w:szCs w:val="24"/>
              </w:rPr>
              <w:t>（四）无法提供</w:t>
            </w:r>
          </w:p>
        </w:tc>
        <w:tc>
          <w:tcPr>
            <w:tcW w:w="267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r>
      <w:tr>
        <w:tc>
          <w:tcPr>
            <w:tcW w:w="4302" w:type="dxa"/>
            <w:vMerge/>
            <w:tcBorders>
              <w:top w:val="nil"/>
              <w:left w:val="single" w:sz="8" w:space="0" w:color="auto"/>
              <w:bottom w:val="single" w:sz="8" w:space="0" w:color="auto"/>
              <w:right w:val="single" w:sz="8" w:space="0" w:color="auto"/>
            </w:tcBorders>
            <w:vAlign w:val="center"/>
          </w:tcPr>
          <w:p/>
        </w:tc>
        <w:tc>
          <w:tcPr>
            <w:tcW w:w="3606" w:type="dxa"/>
            <w:vMerge/>
            <w:tcBorders>
              <w:top w:val="nil"/>
              <w:left w:val="nil"/>
              <w:bottom w:val="single" w:sz="8" w:space="0" w:color="auto"/>
              <w:right w:val="single" w:sz="8" w:space="0" w:color="auto"/>
            </w:tcBorders>
            <w:vAlign w:val="center"/>
          </w:tcPr>
          <w:p/>
        </w:tc>
        <w:tc>
          <w:tcPr>
            <w:tcW w:w="267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5"/>
              <w:autoSpaceDN w:val="0"/>
              <w:spacing w:before="0" w:beforeAutospacing="0" w:after="0" w:afterAutospacing="0" w:line="560" w:lineRule="exact"/>
              <w:jc w:val="center"/>
              <w:rPr>
                <w:rFonts w:eastAsia="方正仿宋_GBK"/>
              </w:rPr>
            </w:pPr>
            <w:r>
              <w:rPr>
                <w:rFonts w:eastAsia="方正仿宋_GBK"/>
              </w:rPr>
              <w:t>0</w:t>
            </w:r>
          </w:p>
        </w:tc>
      </w:tr>
      <w:tr>
        <w:tc>
          <w:tcPr>
            <w:tcW w:w="4302" w:type="dxa"/>
            <w:vMerge/>
            <w:tcBorders>
              <w:top w:val="nil"/>
              <w:left w:val="single" w:sz="8" w:space="0" w:color="auto"/>
              <w:bottom w:val="single" w:sz="8" w:space="0" w:color="auto"/>
              <w:right w:val="single" w:sz="8" w:space="0" w:color="auto"/>
            </w:tcBorders>
            <w:vAlign w:val="center"/>
          </w:tcPr>
          <w:p/>
        </w:tc>
        <w:tc>
          <w:tcPr>
            <w:tcW w:w="3606" w:type="dxa"/>
            <w:vMerge/>
            <w:tcBorders>
              <w:top w:val="nil"/>
              <w:left w:val="nil"/>
              <w:bottom w:val="single" w:sz="8" w:space="0" w:color="auto"/>
              <w:right w:val="single" w:sz="8" w:space="0" w:color="auto"/>
            </w:tcBorders>
            <w:vAlign w:val="center"/>
          </w:tcPr>
          <w:p/>
        </w:tc>
        <w:tc>
          <w:tcPr>
            <w:tcW w:w="267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5"/>
              <w:autoSpaceDN w:val="0"/>
              <w:spacing w:before="0" w:beforeAutospacing="0" w:after="0" w:afterAutospacing="0" w:line="560" w:lineRule="exact"/>
              <w:jc w:val="center"/>
              <w:rPr>
                <w:rFonts w:eastAsia="方正仿宋_GBK"/>
              </w:rPr>
            </w:pPr>
            <w:r>
              <w:rPr>
                <w:rFonts w:eastAsia="方正仿宋_GBK"/>
              </w:rPr>
              <w:t>0</w:t>
            </w:r>
          </w:p>
        </w:tc>
      </w:tr>
      <w:tr>
        <w:tc>
          <w:tcPr>
            <w:tcW w:w="4302" w:type="dxa"/>
            <w:vMerge/>
            <w:tcBorders>
              <w:top w:val="nil"/>
              <w:left w:val="single" w:sz="8" w:space="0" w:color="auto"/>
              <w:bottom w:val="single" w:sz="8" w:space="0" w:color="auto"/>
              <w:right w:val="single" w:sz="8" w:space="0" w:color="auto"/>
            </w:tcBorders>
            <w:vAlign w:val="center"/>
          </w:tcPr>
          <w:p/>
        </w:tc>
        <w:tc>
          <w:tcPr>
            <w:tcW w:w="936" w:type="dxa"/>
            <w:vMerge w:val="restart"/>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rPr>
                <w:sz w:val="24"/>
                <w:szCs w:val="24"/>
              </w:rPr>
            </w:pPr>
            <w:r>
              <w:rPr>
                <w:rFonts w:ascii="楷体" w:eastAsia="楷体" w:cs="楷体" w:hint="eastAsia"/>
                <w:kern w:val="0"/>
                <w:sz w:val="24"/>
                <w:szCs w:val="24"/>
              </w:rPr>
              <w:t>（五）不予处理</w:t>
            </w:r>
          </w:p>
        </w:tc>
        <w:tc>
          <w:tcPr>
            <w:tcW w:w="267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5"/>
              <w:autoSpaceDN w:val="0"/>
              <w:spacing w:before="0" w:beforeAutospacing="0" w:after="0" w:afterAutospacing="0" w:line="560" w:lineRule="exact"/>
              <w:jc w:val="center"/>
              <w:rPr>
                <w:rFonts w:eastAsia="方正仿宋_GBK"/>
              </w:rPr>
            </w:pPr>
            <w:r>
              <w:rPr>
                <w:rFonts w:eastAsia="方正仿宋_GBK"/>
              </w:rPr>
              <w:t>0</w:t>
            </w:r>
          </w:p>
        </w:tc>
      </w:tr>
      <w:tr>
        <w:tc>
          <w:tcPr>
            <w:tcW w:w="4302" w:type="dxa"/>
            <w:vMerge/>
            <w:tcBorders>
              <w:top w:val="nil"/>
              <w:left w:val="single" w:sz="8" w:space="0" w:color="auto"/>
              <w:bottom w:val="single" w:sz="8" w:space="0" w:color="auto"/>
              <w:right w:val="single" w:sz="8" w:space="0" w:color="auto"/>
            </w:tcBorders>
            <w:vAlign w:val="center"/>
          </w:tcPr>
          <w:p/>
        </w:tc>
        <w:tc>
          <w:tcPr>
            <w:tcW w:w="3606" w:type="dxa"/>
            <w:vMerge/>
            <w:tcBorders>
              <w:top w:val="nil"/>
              <w:left w:val="nil"/>
              <w:bottom w:val="single" w:sz="8" w:space="0" w:color="auto"/>
              <w:right w:val="single" w:sz="8" w:space="0" w:color="auto"/>
            </w:tcBorders>
            <w:vAlign w:val="center"/>
          </w:tcPr>
          <w:p/>
        </w:tc>
        <w:tc>
          <w:tcPr>
            <w:tcW w:w="267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6"/>
              <w:autoSpaceDN w:val="0"/>
              <w:jc w:val="center"/>
              <w:rPr>
                <w:sz w:val="24"/>
                <w:szCs w:val="24"/>
              </w:rPr>
            </w:pPr>
            <w:r>
              <w:rPr>
                <w:sz w:val="24"/>
                <w:szCs w:val="24"/>
              </w:rPr>
              <w:t>0</w:t>
            </w:r>
          </w:p>
        </w:tc>
      </w:tr>
      <w:tr>
        <w:tc>
          <w:tcPr>
            <w:tcW w:w="4302" w:type="dxa"/>
            <w:vMerge/>
            <w:tcBorders>
              <w:top w:val="nil"/>
              <w:left w:val="single" w:sz="8" w:space="0" w:color="auto"/>
              <w:bottom w:val="single" w:sz="8" w:space="0" w:color="auto"/>
              <w:right w:val="single" w:sz="8" w:space="0" w:color="auto"/>
            </w:tcBorders>
            <w:vAlign w:val="center"/>
          </w:tcPr>
          <w:p/>
        </w:tc>
        <w:tc>
          <w:tcPr>
            <w:tcW w:w="3606" w:type="dxa"/>
            <w:vMerge/>
            <w:tcBorders>
              <w:top w:val="nil"/>
              <w:left w:val="nil"/>
              <w:bottom w:val="single" w:sz="8" w:space="0" w:color="auto"/>
              <w:right w:val="single" w:sz="8" w:space="0" w:color="auto"/>
            </w:tcBorders>
            <w:vAlign w:val="center"/>
          </w:tcPr>
          <w:p/>
        </w:tc>
        <w:tc>
          <w:tcPr>
            <w:tcW w:w="267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5"/>
              <w:autoSpaceDN w:val="0"/>
              <w:spacing w:before="0" w:beforeAutospacing="0" w:after="0" w:afterAutospacing="0" w:line="560" w:lineRule="exact"/>
              <w:jc w:val="center"/>
              <w:rPr>
                <w:rFonts w:eastAsia="方正仿宋_GBK"/>
              </w:rPr>
            </w:pPr>
            <w:r>
              <w:rPr>
                <w:rFonts w:eastAsia="方正仿宋_GBK"/>
              </w:rPr>
              <w:t>0</w:t>
            </w:r>
          </w:p>
        </w:tc>
      </w:tr>
      <w:tr>
        <w:trPr>
          <w:trHeight w:val="810"/>
        </w:trPr>
        <w:tc>
          <w:tcPr>
            <w:tcW w:w="4302" w:type="dxa"/>
            <w:vMerge/>
            <w:tcBorders>
              <w:top w:val="nil"/>
              <w:left w:val="single" w:sz="8" w:space="0" w:color="auto"/>
              <w:bottom w:val="single" w:sz="8" w:space="0" w:color="auto"/>
              <w:right w:val="single" w:sz="8" w:space="0" w:color="auto"/>
            </w:tcBorders>
            <w:vAlign w:val="center"/>
          </w:tcPr>
          <w:p/>
        </w:tc>
        <w:tc>
          <w:tcPr>
            <w:tcW w:w="3606" w:type="dxa"/>
            <w:vMerge/>
            <w:tcBorders>
              <w:top w:val="nil"/>
              <w:left w:val="nil"/>
              <w:bottom w:val="single" w:sz="8" w:space="0" w:color="auto"/>
              <w:right w:val="single" w:sz="8" w:space="0" w:color="auto"/>
            </w:tcBorders>
            <w:vAlign w:val="center"/>
          </w:tcPr>
          <w:p/>
        </w:tc>
        <w:tc>
          <w:tcPr>
            <w:tcW w:w="267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r>
      <w:tr>
        <w:tc>
          <w:tcPr>
            <w:tcW w:w="4302" w:type="dxa"/>
            <w:vMerge/>
            <w:tcBorders>
              <w:top w:val="nil"/>
              <w:left w:val="single" w:sz="8" w:space="0" w:color="auto"/>
              <w:bottom w:val="single" w:sz="8" w:space="0" w:color="auto"/>
              <w:right w:val="single" w:sz="8" w:space="0" w:color="auto"/>
            </w:tcBorders>
            <w:vAlign w:val="center"/>
          </w:tcPr>
          <w:p/>
        </w:tc>
        <w:tc>
          <w:tcPr>
            <w:tcW w:w="3606" w:type="dxa"/>
            <w:vMerge/>
            <w:tcBorders>
              <w:top w:val="nil"/>
              <w:left w:val="nil"/>
              <w:bottom w:val="single" w:sz="8" w:space="0" w:color="auto"/>
              <w:right w:val="single" w:sz="8" w:space="0" w:color="auto"/>
            </w:tcBorders>
            <w:vAlign w:val="center"/>
          </w:tcPr>
          <w:p/>
        </w:tc>
        <w:tc>
          <w:tcPr>
            <w:tcW w:w="267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5"/>
              <w:autoSpaceDN w:val="0"/>
              <w:spacing w:before="0" w:beforeAutospacing="0" w:after="0" w:afterAutospacing="0" w:line="560" w:lineRule="exact"/>
              <w:jc w:val="center"/>
              <w:rPr>
                <w:rFonts w:eastAsia="方正仿宋_GBK"/>
              </w:rPr>
            </w:pPr>
            <w:r>
              <w:rPr>
                <w:rFonts w:eastAsia="方正仿宋_GBK"/>
              </w:rPr>
              <w:t>0</w:t>
            </w:r>
          </w:p>
        </w:tc>
      </w:tr>
      <w:tr>
        <w:trPr>
          <w:trHeight w:val="567"/>
        </w:trPr>
        <w:tc>
          <w:tcPr>
            <w:tcW w:w="4302" w:type="dxa"/>
            <w:vMerge/>
            <w:tcBorders>
              <w:top w:val="nil"/>
              <w:left w:val="single" w:sz="8" w:space="0" w:color="auto"/>
              <w:bottom w:val="single" w:sz="8" w:space="0" w:color="auto"/>
              <w:right w:val="single" w:sz="8" w:space="0" w:color="auto"/>
            </w:tcBorders>
            <w:vAlign w:val="center"/>
          </w:tcPr>
          <w:p/>
        </w:tc>
        <w:tc>
          <w:tcPr>
            <w:tcW w:w="936" w:type="dxa"/>
            <w:vMerge w:val="restart"/>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rPr>
                <w:sz w:val="24"/>
                <w:szCs w:val="24"/>
              </w:rPr>
            </w:pPr>
            <w:r>
              <w:rPr>
                <w:rFonts w:ascii="楷体" w:eastAsia="楷体" w:cs="楷体" w:hint="eastAsia"/>
                <w:kern w:val="0"/>
                <w:sz w:val="24"/>
                <w:szCs w:val="24"/>
              </w:rPr>
              <w:t>（六）其他处理</w:t>
            </w:r>
          </w:p>
        </w:tc>
        <w:tc>
          <w:tcPr>
            <w:tcW w:w="2670"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5"/>
              <w:autoSpaceDN w:val="0"/>
              <w:spacing w:before="0" w:beforeAutospacing="0" w:after="0" w:afterAutospacing="0" w:line="560" w:lineRule="exact"/>
              <w:jc w:val="center"/>
              <w:rPr>
                <w:rFonts w:eastAsia="方正仿宋_GBK"/>
              </w:rPr>
            </w:pPr>
            <w:r>
              <w:rPr>
                <w:rFonts w:eastAsia="方正仿宋_GBK"/>
              </w:rPr>
              <w:t>0</w:t>
            </w:r>
          </w:p>
        </w:tc>
      </w:tr>
      <w:tr>
        <w:trPr>
          <w:trHeight w:val="567"/>
        </w:trPr>
        <w:tc>
          <w:tcPr>
            <w:tcW w:w="4302" w:type="dxa"/>
            <w:vMerge/>
            <w:tcBorders>
              <w:top w:val="nil"/>
              <w:left w:val="single" w:sz="8" w:space="0" w:color="auto"/>
              <w:bottom w:val="single" w:sz="8" w:space="0" w:color="auto"/>
              <w:right w:val="single" w:sz="8" w:space="0" w:color="auto"/>
            </w:tcBorders>
            <w:vAlign w:val="center"/>
          </w:tcPr>
          <w:p/>
        </w:tc>
        <w:tc>
          <w:tcPr>
            <w:tcW w:w="3606" w:type="dxa"/>
            <w:vMerge/>
            <w:tcBorders>
              <w:top w:val="nil"/>
              <w:left w:val="nil"/>
              <w:bottom w:val="single" w:sz="8" w:space="0" w:color="auto"/>
              <w:right w:val="single" w:sz="8" w:space="0" w:color="auto"/>
            </w:tcBorders>
            <w:vAlign w:val="center"/>
          </w:tcPr>
          <w:p/>
        </w:tc>
        <w:tc>
          <w:tcPr>
            <w:tcW w:w="2670" w:type="dxa"/>
            <w:tcBorders>
              <w:top w:val="nil"/>
              <w:left w:val="single" w:sz="8" w:space="0" w:color="auto"/>
              <w:bottom w:val="single" w:sz="8" w:space="0" w:color="auto"/>
              <w:right w:val="single" w:sz="8" w:space="0" w:color="auto"/>
            </w:tcBorders>
            <w:shd w:val="clear" w:color="auto" w:fill="auto"/>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35" w:type="dxa"/>
            <w:tcBorders>
              <w:top w:val="nil"/>
              <w:left w:val="nil"/>
              <w:bottom w:val="single" w:sz="8" w:space="0" w:color="auto"/>
              <w:right w:val="single" w:sz="8" w:space="0" w:color="auto"/>
            </w:tcBorders>
            <w:shd w:val="clear" w:color="auto" w:fill="auto"/>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cBorders>
            <w:shd w:val="clear" w:color="auto" w:fill="auto"/>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cBorders>
            <w:shd w:val="clear" w:color="auto" w:fill="auto"/>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cBorders>
            <w:shd w:val="clear" w:color="auto" w:fill="auto"/>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cBorders>
            <w:shd w:val="clear" w:color="auto" w:fill="auto"/>
            <w:vAlign w:val="center"/>
          </w:tcPr>
          <w:p>
            <w:pPr>
              <w:pStyle w:val="15"/>
              <w:autoSpaceDN w:val="0"/>
              <w:spacing w:before="0" w:beforeAutospacing="0" w:after="0" w:afterAutospacing="0" w:line="560" w:lineRule="exact"/>
              <w:jc w:val="center"/>
              <w:rPr>
                <w:rFonts w:eastAsia="方正仿宋_GBK"/>
              </w:rPr>
            </w:pPr>
            <w:r>
              <w:rPr>
                <w:rFonts w:eastAsia="方正仿宋_GBK"/>
              </w:rPr>
              <w:t>0</w:t>
            </w:r>
          </w:p>
        </w:tc>
      </w:tr>
      <w:tr>
        <w:trPr>
          <w:trHeight w:val="567"/>
        </w:trPr>
        <w:tc>
          <w:tcPr>
            <w:tcW w:w="4302" w:type="dxa"/>
            <w:vMerge/>
            <w:tcBorders>
              <w:top w:val="nil"/>
              <w:left w:val="single" w:sz="8" w:space="0" w:color="auto"/>
              <w:bottom w:val="single" w:sz="8" w:space="0" w:color="auto"/>
              <w:right w:val="single" w:sz="8" w:space="0" w:color="auto"/>
            </w:tcBorders>
            <w:vAlign w:val="center"/>
          </w:tcPr>
          <w:p/>
        </w:tc>
        <w:tc>
          <w:tcPr>
            <w:tcW w:w="3606" w:type="dxa"/>
            <w:vMerge/>
            <w:tcBorders>
              <w:top w:val="nil"/>
              <w:left w:val="nil"/>
              <w:bottom w:val="single" w:sz="8" w:space="0" w:color="auto"/>
              <w:right w:val="single" w:sz="8" w:space="0" w:color="auto"/>
            </w:tcBorders>
            <w:vAlign w:val="center"/>
          </w:tcPr>
          <w:p/>
        </w:tc>
        <w:tc>
          <w:tcPr>
            <w:tcW w:w="2670" w:type="dxa"/>
            <w:tcBorders>
              <w:top w:val="nil"/>
              <w:left w:val="single" w:sz="8" w:space="0" w:color="auto"/>
              <w:bottom w:val="single" w:sz="8" w:space="0" w:color="auto"/>
              <w:right w:val="single" w:sz="8" w:space="0" w:color="auto"/>
            </w:tcBorders>
            <w:shd w:val="clear" w:color="auto" w:fill="auto"/>
          </w:tcPr>
          <w:p>
            <w:pPr>
              <w:pStyle w:val="18"/>
              <w:widowControl/>
              <w:autoSpaceDN w:val="0"/>
              <w:spacing w:line="560" w:lineRule="exact"/>
              <w:rPr>
                <w:rFonts w:ascii="楷体" w:eastAsia="楷体" w:cs="楷体"/>
                <w:kern w:val="0"/>
                <w:sz w:val="24"/>
                <w:szCs w:val="24"/>
              </w:rPr>
            </w:pPr>
            <w:r>
              <w:rPr>
                <w:rFonts w:ascii="楷体" w:eastAsia="楷体" w:cs="楷体" w:hint="eastAsia"/>
                <w:kern w:val="0"/>
                <w:sz w:val="24"/>
                <w:szCs w:val="24"/>
              </w:rPr>
              <w:t>3.咨询事项，指引咨询渠道</w:t>
            </w:r>
          </w:p>
        </w:tc>
        <w:tc>
          <w:tcPr>
            <w:tcW w:w="635" w:type="dxa"/>
            <w:tcBorders>
              <w:top w:val="nil"/>
              <w:left w:val="nil"/>
              <w:bottom w:val="single" w:sz="8" w:space="0" w:color="auto"/>
              <w:right w:val="single" w:sz="8" w:space="0" w:color="auto"/>
            </w:tcBorders>
            <w:shd w:val="clear" w:color="auto" w:fill="auto"/>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cBorders>
            <w:shd w:val="clear" w:color="auto" w:fill="auto"/>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cBorders>
            <w:shd w:val="clear" w:color="auto" w:fill="auto"/>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cBorders>
            <w:shd w:val="clear" w:color="auto" w:fill="auto"/>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cBorders>
            <w:shd w:val="clear" w:color="auto" w:fill="auto"/>
            <w:vAlign w:val="center"/>
          </w:tcPr>
          <w:p>
            <w:pPr>
              <w:pStyle w:val="18"/>
              <w:autoSpaceDN w:val="0"/>
              <w:spacing w:line="560" w:lineRule="exact"/>
              <w:jc w:val="center"/>
              <w:rPr>
                <w:rFonts w:eastAsia="方正仿宋_GBK"/>
                <w:sz w:val="24"/>
                <w:szCs w:val="24"/>
              </w:rPr>
            </w:pPr>
            <w:r>
              <w:rPr>
                <w:rFonts w:eastAsia="方正仿宋_GBK"/>
                <w:sz w:val="24"/>
                <w:szCs w:val="24"/>
              </w:rPr>
              <w:t>0</w:t>
            </w:r>
          </w:p>
        </w:tc>
      </w:tr>
      <w:tr>
        <w:trPr>
          <w:trHeight w:val="567"/>
        </w:trPr>
        <w:tc>
          <w:tcPr>
            <w:tcW w:w="4302" w:type="dxa"/>
            <w:vMerge/>
            <w:tcBorders>
              <w:top w:val="nil"/>
              <w:left w:val="single" w:sz="8" w:space="0" w:color="auto"/>
              <w:bottom w:val="single" w:sz="8" w:space="0" w:color="auto"/>
              <w:right w:val="single" w:sz="8" w:space="0" w:color="auto"/>
            </w:tcBorders>
            <w:vAlign w:val="center"/>
          </w:tcPr>
          <w:p/>
        </w:tc>
        <w:tc>
          <w:tcPr>
            <w:tcW w:w="3606" w:type="dxa"/>
            <w:vMerge/>
            <w:tcBorders>
              <w:top w:val="nil"/>
              <w:left w:val="nil"/>
              <w:bottom w:val="single" w:sz="8" w:space="0" w:color="auto"/>
              <w:right w:val="single" w:sz="8" w:space="0" w:color="auto"/>
            </w:tcBorders>
            <w:vAlign w:val="center"/>
          </w:tcPr>
          <w:p/>
        </w:tc>
        <w:tc>
          <w:tcPr>
            <w:tcW w:w="2670" w:type="dxa"/>
            <w:tcBorders>
              <w:top w:val="nil"/>
              <w:left w:val="single" w:sz="8" w:space="0" w:color="auto"/>
              <w:bottom w:val="single" w:sz="8" w:space="0" w:color="auto"/>
              <w:right w:val="single" w:sz="8" w:space="0" w:color="auto"/>
            </w:tcBorders>
            <w:shd w:val="clear" w:color="auto" w:fill="auto"/>
          </w:tcPr>
          <w:p>
            <w:pPr>
              <w:pStyle w:val="18"/>
              <w:widowControl/>
              <w:autoSpaceDN w:val="0"/>
              <w:spacing w:line="560" w:lineRule="exact"/>
              <w:rPr>
                <w:rFonts w:ascii="楷体" w:eastAsia="楷体" w:cs="楷体"/>
                <w:kern w:val="0"/>
                <w:sz w:val="24"/>
                <w:szCs w:val="24"/>
              </w:rPr>
            </w:pPr>
            <w:r>
              <w:rPr>
                <w:rFonts w:ascii="楷体" w:eastAsia="楷体" w:cs="楷体" w:hint="eastAsia"/>
                <w:kern w:val="0"/>
                <w:sz w:val="24"/>
                <w:szCs w:val="24"/>
              </w:rPr>
              <w:t>4.申请人撤销申请</w:t>
            </w:r>
          </w:p>
        </w:tc>
        <w:tc>
          <w:tcPr>
            <w:tcW w:w="635" w:type="dxa"/>
            <w:tcBorders>
              <w:top w:val="nil"/>
              <w:left w:val="nil"/>
              <w:bottom w:val="single" w:sz="8" w:space="0" w:color="auto"/>
              <w:right w:val="single" w:sz="8" w:space="0" w:color="auto"/>
            </w:tcBorders>
            <w:shd w:val="clear" w:color="auto" w:fill="auto"/>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cBorders>
            <w:shd w:val="clear" w:color="auto" w:fill="auto"/>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cBorders>
            <w:shd w:val="clear" w:color="auto" w:fill="auto"/>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cBorders>
            <w:shd w:val="clear" w:color="auto" w:fill="auto"/>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cBorders>
            <w:shd w:val="clear" w:color="auto" w:fill="auto"/>
            <w:vAlign w:val="center"/>
          </w:tcPr>
          <w:p>
            <w:pPr>
              <w:pStyle w:val="18"/>
              <w:autoSpaceDN w:val="0"/>
              <w:spacing w:line="560" w:lineRule="exact"/>
              <w:jc w:val="center"/>
              <w:rPr>
                <w:rFonts w:eastAsia="方正仿宋_GBK"/>
                <w:sz w:val="24"/>
                <w:szCs w:val="24"/>
              </w:rPr>
            </w:pPr>
            <w:r>
              <w:rPr>
                <w:rFonts w:eastAsia="方正仿宋_GBK"/>
                <w:sz w:val="24"/>
                <w:szCs w:val="24"/>
              </w:rPr>
              <w:t>0</w:t>
            </w:r>
          </w:p>
        </w:tc>
      </w:tr>
      <w:tr>
        <w:tc>
          <w:tcPr>
            <w:tcW w:w="4302" w:type="dxa"/>
            <w:vMerge/>
            <w:tcBorders>
              <w:top w:val="nil"/>
              <w:left w:val="single" w:sz="8" w:space="0" w:color="auto"/>
              <w:bottom w:val="single" w:sz="8" w:space="0" w:color="auto"/>
              <w:right w:val="single" w:sz="8" w:space="0" w:color="auto"/>
            </w:tcBorders>
            <w:vAlign w:val="center"/>
          </w:tcPr>
          <w:p/>
        </w:tc>
        <w:tc>
          <w:tcPr>
            <w:tcW w:w="3606" w:type="dxa"/>
            <w:gridSpan w:val="2"/>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rPr>
                <w:sz w:val="24"/>
                <w:szCs w:val="24"/>
              </w:rPr>
            </w:pPr>
            <w:r>
              <w:rPr>
                <w:rFonts w:ascii="楷体" w:eastAsia="楷体" w:cs="楷体" w:hint="eastAsia"/>
                <w:kern w:val="0"/>
                <w:sz w:val="24"/>
                <w:szCs w:val="24"/>
              </w:rPr>
              <w:t>（七）总计</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r>
      <w:tr>
        <w:tc>
          <w:tcPr>
            <w:tcW w:w="4302" w:type="dxa"/>
            <w:gridSpan w:val="3"/>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left"/>
            </w:pPr>
            <w:r>
              <w:rPr>
                <w:rFonts w:ascii="宋体" w:cs="宋体" w:hint="eastAsia"/>
                <w:kern w:val="0"/>
                <w:sz w:val="24"/>
                <w:szCs w:val="24"/>
              </w:rPr>
              <w:t>四、结转下年度继续办理</w:t>
            </w:r>
          </w:p>
        </w:tc>
        <w:tc>
          <w:tcPr>
            <w:tcW w:w="63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autoSpaceDN w:val="0"/>
              <w:spacing w:line="560" w:lineRule="exact"/>
              <w:jc w:val="center"/>
              <w:rPr>
                <w:rFonts w:eastAsia="方正仿宋_GBK"/>
                <w:sz w:val="24"/>
                <w:szCs w:val="24"/>
              </w:rPr>
            </w:pPr>
            <w:r>
              <w:rPr>
                <w:rFonts w:eastAsia="方正仿宋_GBK"/>
                <w:sz w:val="24"/>
                <w:szCs w:val="24"/>
              </w:rPr>
              <w:t>0</w:t>
            </w:r>
          </w:p>
        </w:tc>
      </w:tr>
    </w:tbl>
    <w:p>
      <w:pPr>
        <w:pStyle w:val="15"/>
        <w:widowControl/>
        <w:shd w:val="clear" w:color="auto" w:fill="FFFFFF"/>
        <w:autoSpaceDN w:val="0"/>
        <w:spacing w:before="0" w:beforeAutospacing="0" w:after="0" w:afterAutospacing="0" w:line="560" w:lineRule="exact"/>
        <w:ind w:firstLineChars="200" w:firstLine="640"/>
        <w:jc w:val="both"/>
        <w:rPr>
          <w:rFonts w:ascii="宋体" w:cs="宋体" w:hint="eastAsia"/>
        </w:rPr>
      </w:pPr>
      <w:r>
        <w:rPr>
          <w:rFonts w:ascii="方正黑体_GBK" w:eastAsia="方正黑体_GBK" w:cs="楷体_GB2312" w:hint="eastAsia"/>
          <w:bCs/>
          <w:sz w:val="32"/>
          <w:szCs w:val="32"/>
          <w:shd w:val="clear" w:color="auto" w:fill="FFFFFF"/>
        </w:rPr>
        <w:t>四、政府信息公开行政复议、行政诉讼情况</w:t>
      </w:r>
    </w:p>
    <w:tbl>
      <w:tblPr>
        <w:jc w:val="center"/>
        <w:tblW w:w="9071" w:type="dxa"/>
        <w:tblBorders>
          <w:top w:val="none" w:sz="0" w:space="0" w:color="auto"/>
          <w:left w:val="none" w:sz="0" w:space="0" w:color="auto"/>
          <w:bottom w:val="none" w:sz="0" w:space="0" w:color="auto"/>
          <w:right w:val="none" w:sz="0" w:space="0" w:color="auto"/>
        </w:tblBorders>
        <w:tblLayout w:type="fixed"/>
        <w:tblCellMar>
          <w:top w:w="0" w:type="dxa"/>
          <w:left w:w="0" w:type="dxa"/>
          <w:bottom w:w="0" w:type="dxa"/>
          <w:right w:w="0" w:type="dxa"/>
        </w:tblCellMar>
      </w:tblPr>
      <w:tblGrid>
        <w:gridCol w:w="604"/>
        <w:gridCol w:w="604"/>
        <w:gridCol w:w="604"/>
        <w:gridCol w:w="604"/>
        <w:gridCol w:w="658"/>
        <w:gridCol w:w="550"/>
        <w:gridCol w:w="605"/>
        <w:gridCol w:w="605"/>
        <w:gridCol w:w="605"/>
        <w:gridCol w:w="605"/>
        <w:gridCol w:w="605"/>
        <w:gridCol w:w="605"/>
        <w:gridCol w:w="605"/>
        <w:gridCol w:w="606"/>
        <w:gridCol w:w="606"/>
      </w:tblGrid>
      <w:tr>
        <w:tc>
          <w:tcPr>
            <w:tcW w:w="3074" w:type="dxa"/>
            <w:gridSpan w:val="5"/>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4"/>
                <w:szCs w:val="24"/>
              </w:rPr>
            </w:pPr>
            <w:r>
              <w:rPr>
                <w:rFonts w:ascii="宋体" w:cs="宋体" w:hint="eastAsia"/>
                <w:kern w:val="0"/>
                <w:sz w:val="24"/>
                <w:szCs w:val="24"/>
              </w:rPr>
              <w:t>行政复议</w:t>
            </w:r>
          </w:p>
        </w:tc>
        <w:tc>
          <w:tcPr>
            <w:tcW w:w="5997" w:type="dxa"/>
            <w:gridSpan w:val="10"/>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4"/>
                <w:szCs w:val="24"/>
              </w:rPr>
            </w:pPr>
            <w:r>
              <w:rPr>
                <w:rFonts w:ascii="宋体" w:cs="宋体" w:hint="eastAsia"/>
                <w:kern w:val="0"/>
                <w:sz w:val="24"/>
                <w:szCs w:val="24"/>
              </w:rPr>
              <w:t>行政诉讼</w:t>
            </w:r>
          </w:p>
        </w:tc>
      </w:tr>
      <w:tr>
        <w:tc>
          <w:tcPr>
            <w:tcW w:w="604" w:type="dxa"/>
            <w:vMerge w:val="restart"/>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4"/>
                <w:szCs w:val="24"/>
              </w:rPr>
            </w:pPr>
            <w:r>
              <w:rPr>
                <w:rFonts w:ascii="宋体" w:cs="宋体" w:hint="eastAsia"/>
                <w:kern w:val="0"/>
                <w:sz w:val="24"/>
                <w:szCs w:val="24"/>
              </w:rPr>
              <w:t>结果维持</w:t>
            </w:r>
          </w:p>
        </w:tc>
        <w:tc>
          <w:tcPr>
            <w:tcW w:w="604" w:type="dxa"/>
            <w:vMerge w:val="restart"/>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4"/>
                <w:szCs w:val="24"/>
              </w:rPr>
            </w:pPr>
            <w:r>
              <w:rPr>
                <w:rFonts w:ascii="宋体" w:cs="宋体" w:hint="eastAsia"/>
                <w:kern w:val="0"/>
                <w:sz w:val="24"/>
                <w:szCs w:val="24"/>
              </w:rPr>
              <w:t>结果纠正</w:t>
            </w:r>
          </w:p>
        </w:tc>
        <w:tc>
          <w:tcPr>
            <w:tcW w:w="604" w:type="dxa"/>
            <w:vMerge w:val="restart"/>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4"/>
                <w:szCs w:val="24"/>
              </w:rPr>
            </w:pPr>
            <w:r>
              <w:rPr>
                <w:rFonts w:ascii="宋体" w:cs="宋体" w:hint="eastAsia"/>
                <w:kern w:val="0"/>
                <w:sz w:val="24"/>
                <w:szCs w:val="24"/>
              </w:rPr>
              <w:t>其他结果</w:t>
            </w:r>
          </w:p>
        </w:tc>
        <w:tc>
          <w:tcPr>
            <w:tcW w:w="604" w:type="dxa"/>
            <w:vMerge w:val="restart"/>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4"/>
                <w:szCs w:val="24"/>
              </w:rPr>
            </w:pPr>
            <w:r>
              <w:rPr>
                <w:rFonts w:ascii="宋体" w:cs="宋体" w:hint="eastAsia"/>
                <w:kern w:val="0"/>
                <w:sz w:val="24"/>
                <w:szCs w:val="24"/>
              </w:rPr>
              <w:t>尚未审结</w:t>
            </w:r>
          </w:p>
        </w:tc>
        <w:tc>
          <w:tcPr>
            <w:tcW w:w="658" w:type="dxa"/>
            <w:vMerge w:val="restart"/>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4"/>
                <w:szCs w:val="24"/>
              </w:rPr>
            </w:pPr>
            <w:r>
              <w:rPr>
                <w:rFonts w:ascii="宋体" w:cs="宋体" w:hint="eastAsia"/>
                <w:kern w:val="0"/>
                <w:sz w:val="24"/>
                <w:szCs w:val="24"/>
              </w:rPr>
              <w:t>总计</w:t>
            </w:r>
          </w:p>
        </w:tc>
        <w:tc>
          <w:tcPr>
            <w:tcW w:w="2970" w:type="dxa"/>
            <w:gridSpan w:val="5"/>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4"/>
                <w:szCs w:val="24"/>
              </w:rPr>
            </w:pPr>
            <w:r>
              <w:rPr>
                <w:rFonts w:ascii="宋体" w:cs="宋体" w:hint="eastAsia"/>
                <w:kern w:val="0"/>
                <w:sz w:val="24"/>
                <w:szCs w:val="24"/>
              </w:rPr>
              <w:t>未经复议直接起诉</w:t>
            </w:r>
          </w:p>
        </w:tc>
        <w:tc>
          <w:tcPr>
            <w:tcW w:w="3027" w:type="dxa"/>
            <w:gridSpan w:val="5"/>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4"/>
                <w:szCs w:val="24"/>
              </w:rPr>
            </w:pPr>
            <w:r>
              <w:rPr>
                <w:rFonts w:ascii="宋体" w:cs="宋体" w:hint="eastAsia"/>
                <w:kern w:val="0"/>
                <w:sz w:val="24"/>
                <w:szCs w:val="24"/>
              </w:rPr>
              <w:t>复议后起诉</w:t>
            </w:r>
          </w:p>
        </w:tc>
      </w:tr>
      <w:tr>
        <w:tc>
          <w:tcPr>
            <w:tcW w:w="604" w:type="dxa"/>
            <w:vMerge/>
            <w:tcBorders>
              <w:top w:val="nil"/>
              <w:left w:val="single" w:sz="8" w:space="0" w:color="auto"/>
              <w:bottom w:val="single" w:sz="8" w:space="0" w:color="auto"/>
              <w:right w:val="single" w:sz="8" w:space="0" w:color="auto"/>
            </w:tcBorders>
            <w:vAlign w:val="center"/>
          </w:tcPr>
          <w:p/>
        </w:tc>
        <w:tc>
          <w:tcPr>
            <w:tcW w:w="604" w:type="dxa"/>
            <w:vMerge/>
            <w:tcBorders>
              <w:top w:val="nil"/>
              <w:left w:val="nil"/>
              <w:bottom w:val="single" w:sz="8" w:space="0" w:color="auto"/>
              <w:right w:val="single" w:sz="8" w:space="0" w:color="auto"/>
            </w:tcBorders>
            <w:vAlign w:val="center"/>
          </w:tcPr>
          <w:p/>
        </w:tc>
        <w:tc>
          <w:tcPr>
            <w:tcW w:w="604" w:type="dxa"/>
            <w:vMerge/>
            <w:tcBorders>
              <w:top w:val="single" w:sz="8" w:space="0" w:color="auto"/>
              <w:left w:val="nil"/>
              <w:bottom w:val="single" w:sz="8" w:space="0" w:color="auto"/>
              <w:right w:val="single" w:sz="8" w:space="0" w:color="auto"/>
            </w:tcBorders>
            <w:vAlign w:val="center"/>
          </w:tcPr>
          <w:p/>
        </w:tc>
        <w:tc>
          <w:tcPr>
            <w:tcW w:w="604" w:type="dxa"/>
            <w:vMerge/>
            <w:tcBorders>
              <w:top w:val="single" w:sz="8" w:space="0" w:color="auto"/>
              <w:left w:val="nil"/>
              <w:bottom w:val="single" w:sz="8" w:space="0" w:color="auto"/>
              <w:right w:val="single" w:sz="8" w:space="0" w:color="auto"/>
            </w:tcBorders>
            <w:vAlign w:val="center"/>
          </w:tcPr>
          <w:p/>
        </w:tc>
        <w:tc>
          <w:tcPr>
            <w:tcW w:w="658" w:type="dxa"/>
            <w:vMerge/>
            <w:tcBorders>
              <w:top w:val="single" w:sz="8" w:space="0" w:color="auto"/>
              <w:left w:val="nil"/>
              <w:bottom w:val="single" w:sz="8" w:space="0" w:color="auto"/>
              <w:right w:val="single" w:sz="8" w:space="0" w:color="auto"/>
            </w:tcBorders>
            <w:vAlign w:val="center"/>
          </w:tcPr>
          <w:p/>
        </w:tc>
        <w:tc>
          <w:tcPr>
            <w:tcW w:w="5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4"/>
                <w:szCs w:val="24"/>
              </w:rPr>
            </w:pPr>
            <w:r>
              <w:rPr>
                <w:rFonts w:ascii="宋体" w:cs="宋体" w:hint="eastAsia"/>
                <w:kern w:val="0"/>
                <w:sz w:val="24"/>
                <w:szCs w:val="24"/>
              </w:rPr>
              <w:t>结果维持</w:t>
            </w:r>
          </w:p>
        </w:tc>
        <w:tc>
          <w:tcPr>
            <w:tcW w:w="60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4"/>
                <w:szCs w:val="24"/>
              </w:rPr>
            </w:pPr>
            <w:r>
              <w:rPr>
                <w:rFonts w:ascii="宋体" w:cs="宋体" w:hint="eastAsia"/>
                <w:kern w:val="0"/>
                <w:sz w:val="24"/>
                <w:szCs w:val="24"/>
              </w:rPr>
              <w:t>结果纠正</w:t>
            </w:r>
          </w:p>
        </w:tc>
        <w:tc>
          <w:tcPr>
            <w:tcW w:w="605"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4"/>
                <w:szCs w:val="24"/>
              </w:rPr>
            </w:pPr>
            <w:r>
              <w:rPr>
                <w:rFonts w:ascii="宋体" w:cs="宋体" w:hint="eastAsia"/>
                <w:kern w:val="0"/>
                <w:sz w:val="24"/>
                <w:szCs w:val="24"/>
              </w:rPr>
              <w:t>其他结果</w:t>
            </w:r>
          </w:p>
        </w:tc>
        <w:tc>
          <w:tcPr>
            <w:tcW w:w="605"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4"/>
                <w:szCs w:val="24"/>
              </w:rPr>
            </w:pPr>
            <w:r>
              <w:rPr>
                <w:rFonts w:ascii="宋体" w:cs="宋体" w:hint="eastAsia"/>
                <w:kern w:val="0"/>
                <w:sz w:val="24"/>
                <w:szCs w:val="24"/>
              </w:rPr>
              <w:t>尚未审结</w:t>
            </w:r>
          </w:p>
        </w:tc>
        <w:tc>
          <w:tcPr>
            <w:tcW w:w="605"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4"/>
                <w:szCs w:val="24"/>
              </w:rPr>
            </w:pPr>
            <w:r>
              <w:rPr>
                <w:rFonts w:ascii="宋体" w:cs="宋体" w:hint="eastAsia"/>
                <w:kern w:val="0"/>
                <w:sz w:val="24"/>
                <w:szCs w:val="24"/>
              </w:rPr>
              <w:t>总计</w:t>
            </w:r>
          </w:p>
        </w:tc>
        <w:tc>
          <w:tcPr>
            <w:tcW w:w="605"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4"/>
                <w:szCs w:val="24"/>
              </w:rPr>
            </w:pPr>
            <w:r>
              <w:rPr>
                <w:rFonts w:ascii="宋体" w:cs="宋体" w:hint="eastAsia"/>
                <w:kern w:val="0"/>
                <w:sz w:val="24"/>
                <w:szCs w:val="24"/>
              </w:rPr>
              <w:t>结果维持</w:t>
            </w:r>
          </w:p>
        </w:tc>
        <w:tc>
          <w:tcPr>
            <w:tcW w:w="605"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4"/>
                <w:szCs w:val="24"/>
              </w:rPr>
            </w:pPr>
            <w:r>
              <w:rPr>
                <w:rFonts w:ascii="宋体" w:cs="宋体" w:hint="eastAsia"/>
                <w:kern w:val="0"/>
                <w:sz w:val="24"/>
                <w:szCs w:val="24"/>
              </w:rPr>
              <w:t>结果纠正</w:t>
            </w:r>
          </w:p>
        </w:tc>
        <w:tc>
          <w:tcPr>
            <w:tcW w:w="605"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4"/>
                <w:szCs w:val="24"/>
              </w:rPr>
            </w:pPr>
            <w:r>
              <w:rPr>
                <w:rFonts w:ascii="宋体" w:cs="宋体" w:hint="eastAsia"/>
                <w:kern w:val="0"/>
                <w:sz w:val="24"/>
                <w:szCs w:val="24"/>
              </w:rPr>
              <w:t>其他结果</w:t>
            </w:r>
          </w:p>
        </w:tc>
        <w:tc>
          <w:tcPr>
            <w:tcW w:w="606"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4"/>
                <w:szCs w:val="24"/>
              </w:rPr>
            </w:pPr>
            <w:r>
              <w:rPr>
                <w:rFonts w:ascii="宋体" w:cs="宋体" w:hint="eastAsia"/>
                <w:kern w:val="0"/>
                <w:sz w:val="24"/>
                <w:szCs w:val="24"/>
              </w:rPr>
              <w:t>尚未审结</w:t>
            </w:r>
          </w:p>
        </w:tc>
        <w:tc>
          <w:tcPr>
            <w:tcW w:w="606"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4"/>
                <w:szCs w:val="24"/>
              </w:rPr>
            </w:pPr>
            <w:r>
              <w:rPr>
                <w:rFonts w:ascii="宋体" w:cs="宋体" w:hint="eastAsia"/>
                <w:kern w:val="0"/>
                <w:sz w:val="24"/>
                <w:szCs w:val="24"/>
              </w:rPr>
              <w:t>总计</w:t>
            </w:r>
          </w:p>
        </w:tc>
      </w:tr>
      <w:tr>
        <w:trPr>
          <w:trHeight w:val="862"/>
        </w:trPr>
        <w:tc>
          <w:tcPr>
            <w:tcW w:w="604"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8"/>
                <w:szCs w:val="28"/>
              </w:rPr>
            </w:pPr>
            <w:r>
              <w:rPr>
                <w:sz w:val="28"/>
                <w:szCs w:val="28"/>
              </w:rPr>
              <w:t>0</w:t>
            </w:r>
          </w:p>
        </w:tc>
        <w:tc>
          <w:tcPr>
            <w:tcW w:w="604"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8"/>
                <w:szCs w:val="28"/>
              </w:rPr>
            </w:pPr>
            <w:r>
              <w:rPr>
                <w:sz w:val="28"/>
                <w:szCs w:val="28"/>
              </w:rPr>
              <w:t>0</w:t>
            </w:r>
          </w:p>
        </w:tc>
        <w:tc>
          <w:tcPr>
            <w:tcW w:w="604"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8"/>
                <w:szCs w:val="28"/>
              </w:rPr>
            </w:pPr>
            <w:r>
              <w:rPr>
                <w:sz w:val="28"/>
                <w:szCs w:val="28"/>
              </w:rPr>
              <w:t>0</w:t>
            </w:r>
          </w:p>
        </w:tc>
        <w:tc>
          <w:tcPr>
            <w:tcW w:w="604"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8"/>
                <w:szCs w:val="28"/>
              </w:rPr>
            </w:pPr>
            <w:r>
              <w:rPr>
                <w:sz w:val="28"/>
                <w:szCs w:val="28"/>
              </w:rPr>
              <w:t>0</w:t>
            </w:r>
          </w:p>
        </w:tc>
        <w:tc>
          <w:tcPr>
            <w:tcW w:w="658"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8"/>
                <w:szCs w:val="28"/>
              </w:rPr>
            </w:pPr>
            <w:r>
              <w:rPr>
                <w:sz w:val="28"/>
                <w:szCs w:val="28"/>
              </w:rPr>
              <w:t>0</w:t>
            </w:r>
          </w:p>
        </w:tc>
        <w:tc>
          <w:tcPr>
            <w:tcW w:w="5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8"/>
                <w:szCs w:val="28"/>
              </w:rPr>
            </w:pPr>
            <w:r>
              <w:rPr>
                <w:sz w:val="28"/>
                <w:szCs w:val="28"/>
              </w:rPr>
              <w:t>0</w:t>
            </w:r>
          </w:p>
        </w:tc>
        <w:tc>
          <w:tcPr>
            <w:tcW w:w="60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8"/>
                <w:szCs w:val="28"/>
              </w:rPr>
            </w:pPr>
            <w:r>
              <w:rPr>
                <w:sz w:val="28"/>
                <w:szCs w:val="28"/>
              </w:rPr>
              <w:t>0</w:t>
            </w:r>
          </w:p>
        </w:tc>
        <w:tc>
          <w:tcPr>
            <w:tcW w:w="60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8"/>
                <w:szCs w:val="28"/>
              </w:rPr>
            </w:pPr>
            <w:r>
              <w:rPr>
                <w:sz w:val="28"/>
                <w:szCs w:val="28"/>
              </w:rPr>
              <w:t>0</w:t>
            </w:r>
          </w:p>
        </w:tc>
        <w:tc>
          <w:tcPr>
            <w:tcW w:w="60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8"/>
                <w:szCs w:val="28"/>
              </w:rPr>
            </w:pPr>
            <w:r>
              <w:rPr>
                <w:sz w:val="28"/>
                <w:szCs w:val="28"/>
              </w:rPr>
              <w:t>0</w:t>
            </w:r>
          </w:p>
        </w:tc>
        <w:tc>
          <w:tcPr>
            <w:tcW w:w="60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8"/>
                <w:szCs w:val="28"/>
              </w:rPr>
            </w:pPr>
            <w:r>
              <w:rPr>
                <w:sz w:val="28"/>
                <w:szCs w:val="28"/>
              </w:rPr>
              <w:t>0</w:t>
            </w:r>
          </w:p>
        </w:tc>
        <w:tc>
          <w:tcPr>
            <w:tcW w:w="60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8"/>
                <w:szCs w:val="28"/>
              </w:rPr>
            </w:pPr>
            <w:r>
              <w:rPr>
                <w:sz w:val="28"/>
                <w:szCs w:val="28"/>
              </w:rPr>
              <w:t>0</w:t>
            </w:r>
          </w:p>
        </w:tc>
        <w:tc>
          <w:tcPr>
            <w:tcW w:w="60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8"/>
                <w:szCs w:val="28"/>
              </w:rPr>
            </w:pPr>
            <w:r>
              <w:rPr>
                <w:sz w:val="28"/>
                <w:szCs w:val="28"/>
              </w:rPr>
              <w:t>0</w:t>
            </w:r>
          </w:p>
        </w:tc>
        <w:tc>
          <w:tcPr>
            <w:tcW w:w="60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8"/>
                <w:szCs w:val="28"/>
              </w:rPr>
            </w:pPr>
            <w:r>
              <w:rPr>
                <w:sz w:val="28"/>
                <w:szCs w:val="28"/>
              </w:rPr>
              <w:t>0</w:t>
            </w:r>
          </w:p>
        </w:tc>
        <w:tc>
          <w:tcPr>
            <w:tcW w:w="606"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sz w:val="28"/>
                <w:szCs w:val="28"/>
              </w:rPr>
            </w:pPr>
            <w:r>
              <w:rPr>
                <w:sz w:val="28"/>
                <w:szCs w:val="28"/>
              </w:rPr>
              <w:t>0</w:t>
            </w:r>
          </w:p>
        </w:tc>
        <w:tc>
          <w:tcPr>
            <w:tcW w:w="606"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autoSpaceDN w:val="0"/>
              <w:spacing w:line="560" w:lineRule="exact"/>
              <w:jc w:val="center"/>
              <w:rPr>
                <w:kern w:val="0"/>
                <w:sz w:val="28"/>
                <w:szCs w:val="28"/>
              </w:rPr>
            </w:pPr>
            <w:r>
              <w:rPr>
                <w:sz w:val="28"/>
                <w:szCs w:val="28"/>
              </w:rPr>
              <w:t>0</w:t>
            </w:r>
          </w:p>
        </w:tc>
      </w:tr>
    </w:tbl>
    <w:p>
      <w:pPr>
        <w:pStyle w:val="15"/>
        <w:widowControl/>
        <w:shd w:val="clear" w:color="auto" w:fill="FFFFFF"/>
        <w:autoSpaceDN w:val="0"/>
        <w:spacing w:before="0" w:beforeAutospacing="0" w:after="0" w:afterAutospacing="0" w:line="560" w:lineRule="exact"/>
        <w:ind w:firstLineChars="200" w:firstLine="640"/>
        <w:jc w:val="both"/>
        <w:rPr>
          <w:rFonts w:ascii="方正黑体_GBK" w:eastAsia="方正黑体_GBK" w:cs="楷体_GB2312" w:hint="eastAsia"/>
          <w:bCs/>
          <w:sz w:val="32"/>
          <w:szCs w:val="32"/>
          <w:shd w:val="clear" w:color="auto" w:fill="FFFFFF"/>
        </w:rPr>
      </w:pPr>
      <w:r>
        <w:rPr>
          <w:rFonts w:ascii="方正黑体_GBK" w:eastAsia="方正黑体_GBK" w:cs="楷体_GB2312" w:hint="eastAsia"/>
          <w:bCs/>
          <w:sz w:val="32"/>
          <w:szCs w:val="32"/>
          <w:shd w:val="clear" w:color="auto" w:fill="FFFFFF"/>
        </w:rPr>
        <w:t>五、存在的主要问题和改进情况</w:t>
      </w:r>
    </w:p>
    <w:p>
      <w:pPr>
        <w:spacing w:line="560" w:lineRule="exact"/>
        <w:ind w:firstLineChars="200" w:firstLine="640"/>
        <w:rPr>
          <w:rFonts w:ascii="方正楷体_GBK" w:eastAsia="方正楷体_GBK" w:hint="eastAsia"/>
          <w:b/>
          <w:sz w:val="32"/>
        </w:rPr>
      </w:pPr>
      <w:r>
        <w:rPr>
          <w:rFonts w:ascii="方正楷体_GBK" w:eastAsia="方正楷体_GBK" w:hint="eastAsia"/>
          <w:b/>
          <w:sz w:val="32"/>
        </w:rPr>
        <w:t>（一）202</w:t>
      </w:r>
      <w:r>
        <w:rPr>
          <w:rFonts w:ascii="方正楷体_GBK" w:eastAsia="方正楷体_GBK"/>
          <w:b/>
          <w:sz w:val="32"/>
        </w:rPr>
        <w:t>4</w:t>
      </w:r>
      <w:r>
        <w:rPr>
          <w:rFonts w:ascii="方正楷体_GBK" w:eastAsia="方正楷体_GBK" w:hint="eastAsia"/>
          <w:b/>
          <w:sz w:val="32"/>
        </w:rPr>
        <w:t>年年报中所提问题整改情况。</w:t>
      </w:r>
    </w:p>
    <w:p>
      <w:pPr>
        <w:spacing w:line="560" w:lineRule="exact"/>
        <w:ind w:firstLineChars="200" w:firstLine="640"/>
        <w:rPr>
          <w:rFonts w:ascii="Times New Roman" w:eastAsia="方正仿宋_GBK" w:hAnsi="Times New Roman"/>
          <w:sz w:val="32"/>
        </w:rPr>
      </w:pPr>
      <w:r>
        <w:rPr>
          <w:rFonts w:ascii="Times New Roman" w:eastAsia="方正仿宋_GBK" w:hAnsi="Times New Roman" w:hint="eastAsia"/>
          <w:sz w:val="32"/>
        </w:rPr>
        <w:t>花都海关202</w:t>
      </w:r>
      <w:r>
        <w:rPr>
          <w:rFonts w:ascii="Times New Roman" w:eastAsia="方正仿宋_GBK" w:hAnsi="Times New Roman"/>
          <w:sz w:val="32"/>
        </w:rPr>
        <w:t>4</w:t>
      </w:r>
      <w:r>
        <w:rPr>
          <w:rFonts w:ascii="Times New Roman" w:eastAsia="方正仿宋_GBK" w:hAnsi="Times New Roman" w:hint="eastAsia"/>
          <w:sz w:val="32"/>
        </w:rPr>
        <w:t>年年报中提出以下问题：依申请公开办理细节</w:t>
      </w:r>
      <w:r>
        <w:rPr>
          <w:rFonts w:ascii="Times New Roman" w:eastAsia="方正仿宋_GBK" w:hAnsi="Times New Roman"/>
          <w:sz w:val="32"/>
        </w:rPr>
        <w:t>熟练度</w:t>
      </w:r>
      <w:r>
        <w:rPr>
          <w:rFonts w:ascii="Times New Roman" w:eastAsia="方正仿宋_GBK" w:hAnsi="Times New Roman" w:hint="eastAsia"/>
          <w:sz w:val="32"/>
        </w:rPr>
        <w:t>不足，在审查、确认申请信息内容、明确答复内容等方面需要继续学习提高</w:t>
      </w:r>
      <w:r>
        <w:rPr>
          <w:rFonts w:ascii="Times New Roman" w:eastAsia="方正仿宋_GBK" w:hAnsi="Times New Roman"/>
          <w:sz w:val="32"/>
        </w:rPr>
        <w:t>。</w:t>
      </w:r>
    </w:p>
    <w:p>
      <w:pPr>
        <w:spacing w:line="560" w:lineRule="exact"/>
        <w:ind w:firstLineChars="200" w:firstLine="640"/>
        <w:rPr>
          <w:rFonts w:ascii="Times New Roman" w:eastAsia="方正仿宋_GBK" w:hAnsi="Times New Roman"/>
          <w:sz w:val="32"/>
          <w:shd w:val="solid" w:color="D8D8D8" w:fill="FFFFFF"/>
        </w:rPr>
      </w:pPr>
      <w:r>
        <w:rPr>
          <w:rFonts w:ascii="Times New Roman" w:eastAsia="方正仿宋_GBK" w:hAnsi="Times New Roman" w:hint="eastAsia"/>
          <w:sz w:val="32"/>
        </w:rPr>
        <w:t>上述问题在202</w:t>
      </w:r>
      <w:r>
        <w:rPr>
          <w:rFonts w:ascii="Times New Roman" w:eastAsia="方正仿宋_GBK" w:hAnsi="Times New Roman"/>
          <w:sz w:val="32"/>
        </w:rPr>
        <w:t>5</w:t>
      </w:r>
      <w:r>
        <w:rPr>
          <w:rFonts w:ascii="Times New Roman" w:eastAsia="方正仿宋_GBK" w:hAnsi="Times New Roman" w:hint="eastAsia"/>
          <w:sz w:val="32"/>
        </w:rPr>
        <w:t>年已采取措施完成整改：</w:t>
      </w:r>
      <w:r>
        <w:rPr>
          <w:rFonts w:ascii="Times New Roman" w:eastAsia="方正仿宋_GBK" w:cs="Times New Roman" w:hAnsi="Times New Roman"/>
          <w:sz w:val="32"/>
          <w:lang w:val="en-US" w:eastAsia="zh-CN"/>
        </w:rPr>
        <w:t>积极开展</w:t>
      </w:r>
      <w:r>
        <w:rPr>
          <w:rFonts w:ascii="Times New Roman" w:eastAsia="方正仿宋_GBK" w:cs="Times New Roman" w:hAnsi="Times New Roman" w:hint="eastAsia"/>
          <w:sz w:val="32"/>
          <w:lang w:val="en-US" w:eastAsia="zh-CN"/>
        </w:rPr>
        <w:t>政务公开</w:t>
      </w:r>
      <w:r>
        <w:rPr>
          <w:rFonts w:ascii="Times New Roman" w:eastAsia="方正仿宋_GBK" w:cs="Times New Roman" w:hAnsi="Times New Roman"/>
          <w:sz w:val="32"/>
          <w:lang w:val="en-US" w:eastAsia="zh-CN"/>
        </w:rPr>
        <w:t>工作内部培训，</w:t>
      </w:r>
      <w:r>
        <w:rPr>
          <w:rFonts w:ascii="Times New Roman" w:eastAsia="方正仿宋_GBK" w:cs="Times New Roman" w:hAnsi="Times New Roman" w:hint="eastAsia"/>
          <w:sz w:val="32"/>
        </w:rPr>
        <w:t>提高工作人员对政务公开重要性、规范性的认识，</w:t>
      </w:r>
      <w:r>
        <w:rPr>
          <w:rFonts w:ascii="Times New Roman" w:eastAsia="方正仿宋_GBK" w:cs="Times New Roman" w:hAnsi="Times New Roman"/>
          <w:sz w:val="32"/>
          <w:lang w:val="en-US" w:eastAsia="zh-CN"/>
        </w:rPr>
        <w:t>研读《中华人民共和国</w:t>
      </w:r>
      <w:r>
        <w:rPr>
          <w:rFonts w:ascii="Times New Roman" w:eastAsia="方正仿宋_GBK" w:cs="Times New Roman" w:hAnsi="Times New Roman" w:hint="eastAsia"/>
          <w:sz w:val="32"/>
          <w:lang w:val="en-US" w:eastAsia="zh-CN"/>
        </w:rPr>
        <w:t>政府信息公开</w:t>
      </w:r>
      <w:r>
        <w:rPr>
          <w:rFonts w:ascii="Times New Roman" w:eastAsia="方正仿宋_GBK" w:cs="Times New Roman" w:hAnsi="Times New Roman"/>
          <w:sz w:val="32"/>
          <w:lang w:val="en-US" w:eastAsia="zh-CN"/>
        </w:rPr>
        <w:t>条例》</w:t>
      </w:r>
      <w:r>
        <w:rPr>
          <w:rFonts w:ascii="Times New Roman" w:eastAsia="方正仿宋_GBK" w:cs="Times New Roman" w:hAnsi="Times New Roman" w:hint="eastAsia"/>
          <w:sz w:val="32"/>
          <w:lang w:val="en-US" w:eastAsia="zh-CN"/>
        </w:rPr>
        <w:t>，</w:t>
      </w:r>
      <w:r>
        <w:rPr>
          <w:rFonts w:ascii="Times New Roman" w:eastAsia="方正仿宋_GBK" w:cs="Times New Roman" w:hAnsi="Times New Roman"/>
          <w:sz w:val="32"/>
          <w:lang w:val="en-US" w:eastAsia="zh-CN"/>
        </w:rPr>
        <w:t>重点学习</w:t>
      </w:r>
      <w:r>
        <w:rPr>
          <w:rFonts w:ascii="Times New Roman" w:eastAsia="方正仿宋_GBK" w:cs="Times New Roman" w:hAnsi="Times New Roman" w:hint="eastAsia"/>
          <w:sz w:val="32"/>
          <w:lang w:val="en-US" w:eastAsia="zh-CN"/>
        </w:rPr>
        <w:t>依申请公开</w:t>
      </w:r>
      <w:r>
        <w:rPr>
          <w:rFonts w:ascii="Times New Roman" w:eastAsia="方正仿宋_GBK" w:cs="Times New Roman" w:hAnsi="Times New Roman"/>
          <w:sz w:val="32"/>
          <w:lang w:val="en-US" w:eastAsia="zh-CN"/>
        </w:rPr>
        <w:t>业务受理流程、申请信息内容确认、答复内容及</w:t>
      </w:r>
      <w:r>
        <w:rPr>
          <w:rFonts w:ascii="Times New Roman" w:eastAsia="方正仿宋_GBK" w:cs="Times New Roman" w:hAnsi="Times New Roman" w:hint="eastAsia"/>
          <w:sz w:val="32"/>
          <w:lang w:val="en-US" w:eastAsia="zh-CN"/>
        </w:rPr>
        <w:t>时间节点要求</w:t>
      </w:r>
      <w:r>
        <w:rPr>
          <w:rFonts w:ascii="Times New Roman" w:eastAsia="方正仿宋_GBK" w:cs="Times New Roman" w:hAnsi="Times New Roman"/>
          <w:sz w:val="32"/>
          <w:lang w:val="en-US" w:eastAsia="zh-CN"/>
        </w:rPr>
        <w:t>等</w:t>
      </w:r>
      <w:r>
        <w:rPr>
          <w:rFonts w:ascii="Times New Roman" w:eastAsia="方正仿宋_GBK" w:cs="Times New Roman" w:hAnsi="Times New Roman" w:hint="eastAsia"/>
          <w:sz w:val="32"/>
          <w:lang w:val="en-US" w:eastAsia="zh-CN"/>
        </w:rPr>
        <w:t>。</w:t>
      </w:r>
      <w:r>
        <w:rPr>
          <w:rFonts w:ascii="Times New Roman" w:eastAsia="方正仿宋_GBK" w:cs="Times New Roman" w:hAnsi="Times New Roman"/>
          <w:sz w:val="32"/>
          <w:lang w:val="en-US" w:eastAsia="zh-CN"/>
        </w:rPr>
        <w:t>组织开展依申请公开业务受理模拟测试，推动</w:t>
      </w:r>
      <w:r>
        <w:rPr>
          <w:rFonts w:ascii="Times New Roman" w:eastAsia="方正仿宋_GBK" w:hAnsi="Times New Roman"/>
          <w:sz w:val="32"/>
        </w:rPr>
        <w:t>依申请公开工作理论与实践深度融合，</w:t>
      </w:r>
      <w:r>
        <w:rPr>
          <w:rFonts w:ascii="Times New Roman" w:eastAsia="方正仿宋_GBK" w:cs="Times New Roman" w:hAnsi="Times New Roman"/>
          <w:sz w:val="32"/>
          <w:lang w:val="en-US" w:eastAsia="zh-CN"/>
        </w:rPr>
        <w:t>通过实操锻炼进一步明确办理细节、积累办理经验，</w:t>
      </w:r>
      <w:r>
        <w:rPr>
          <w:rFonts w:ascii="Times New Roman" w:eastAsia="方正仿宋_GBK" w:cs="Times New Roman" w:hAnsi="Times New Roman" w:hint="eastAsia"/>
          <w:sz w:val="32"/>
        </w:rPr>
        <w:t>提升</w:t>
      </w:r>
      <w:r>
        <w:rPr>
          <w:rFonts w:ascii="Times New Roman" w:eastAsia="方正仿宋_GBK" w:hAnsi="Times New Roman"/>
          <w:sz w:val="32"/>
        </w:rPr>
        <w:t>依申请公开业务办理</w:t>
      </w:r>
      <w:r>
        <w:rPr>
          <w:rFonts w:ascii="Times New Roman" w:eastAsia="方正仿宋_GBK" w:cs="Times New Roman" w:hAnsi="Times New Roman" w:hint="eastAsia"/>
          <w:sz w:val="32"/>
        </w:rPr>
        <w:t>水平和质量。</w:t>
      </w:r>
    </w:p>
    <w:p>
      <w:pPr>
        <w:spacing w:line="560" w:lineRule="exact"/>
        <w:ind w:firstLineChars="200" w:firstLine="640"/>
        <w:rPr>
          <w:rFonts w:ascii="方正楷体_GBK" w:eastAsia="方正楷体_GBK" w:hint="eastAsia"/>
          <w:b/>
          <w:sz w:val="32"/>
        </w:rPr>
      </w:pPr>
      <w:r>
        <w:rPr>
          <w:rFonts w:ascii="方正楷体_GBK" w:eastAsia="方正楷体_GBK" w:hint="eastAsia"/>
          <w:b/>
          <w:sz w:val="32"/>
        </w:rPr>
        <w:t>（二）目前存在问题。</w:t>
      </w:r>
    </w:p>
    <w:p>
      <w:pPr>
        <w:spacing w:line="560" w:lineRule="exact"/>
        <w:ind w:firstLineChars="200" w:firstLine="640"/>
        <w:rPr>
          <w:rFonts w:ascii="Times New Roman" w:eastAsia="方正仿宋_GBK" w:hAnsi="Times New Roman" w:hint="eastAsia"/>
          <w:sz w:val="32"/>
        </w:rPr>
      </w:pPr>
      <w:r>
        <w:rPr>
          <w:rFonts w:ascii="Times New Roman" w:eastAsia="方正仿宋_GBK" w:hAnsi="Times New Roman"/>
          <w:sz w:val="32"/>
        </w:rPr>
        <w:t>目前花都海</w:t>
      </w:r>
      <w:r>
        <w:rPr>
          <w:rFonts w:ascii="Times New Roman" w:eastAsia="方正仿宋_GBK" w:hAnsi="Times New Roman" w:hint="eastAsia"/>
          <w:sz w:val="32"/>
        </w:rPr>
        <w:t>关</w:t>
      </w:r>
      <w:r>
        <w:rPr>
          <w:rFonts w:ascii="Times New Roman" w:eastAsia="方正仿宋_GBK" w:hAnsi="Times New Roman"/>
          <w:sz w:val="32"/>
        </w:rPr>
        <w:t>政务公开工作为指定专人办理，青年干部处置政务公开业务的办理经验不足，需加强学习培训，政务公开人才梯队培养建设有待进一步提升。</w:t>
      </w:r>
    </w:p>
    <w:p>
      <w:pPr>
        <w:pStyle w:val="15"/>
        <w:widowControl/>
        <w:shd w:val="clear" w:color="auto" w:fill="FFFFFF"/>
        <w:autoSpaceDN w:val="0"/>
        <w:spacing w:before="0" w:beforeAutospacing="0" w:after="0" w:afterAutospacing="0" w:line="560" w:lineRule="exact"/>
        <w:ind w:firstLineChars="200" w:firstLine="640"/>
        <w:jc w:val="both"/>
        <w:rPr>
          <w:rFonts w:ascii="方正黑体_GBK" w:eastAsia="方正黑体_GBK" w:cs="楷体_GB2312" w:hint="eastAsia"/>
          <w:bCs/>
          <w:sz w:val="32"/>
          <w:szCs w:val="32"/>
          <w:shd w:val="clear" w:color="auto" w:fill="FFFFFF"/>
        </w:rPr>
      </w:pPr>
      <w:r>
        <w:rPr>
          <w:rFonts w:ascii="方正黑体_GBK" w:eastAsia="方正黑体_GBK" w:cs="楷体_GB2312" w:hint="eastAsia"/>
          <w:bCs/>
          <w:sz w:val="32"/>
          <w:szCs w:val="32"/>
          <w:shd w:val="clear" w:color="auto" w:fill="FFFFFF"/>
        </w:rPr>
        <w:t>六、其他需要报告的事项</w:t>
      </w:r>
    </w:p>
    <w:p>
      <w:pPr>
        <w:spacing w:line="560" w:lineRule="exact"/>
        <w:ind w:firstLineChars="200" w:firstLine="640"/>
        <w:rPr>
          <w:rFonts w:ascii="方正楷体_GBK" w:eastAsia="方正楷体_GBK" w:hint="eastAsia"/>
          <w:b/>
          <w:sz w:val="32"/>
        </w:rPr>
      </w:pPr>
      <w:r>
        <w:rPr>
          <w:rFonts w:ascii="方正楷体_GBK" w:eastAsia="方正楷体_GBK" w:hint="eastAsia"/>
          <w:b/>
          <w:sz w:val="32"/>
        </w:rPr>
        <w:t>（一）政府信息公开信息处理费收取情况。</w:t>
      </w:r>
    </w:p>
    <w:p>
      <w:pPr>
        <w:spacing w:line="560" w:lineRule="exact"/>
        <w:ind w:firstLineChars="200" w:firstLine="640"/>
        <w:rPr>
          <w:rFonts w:ascii="Times New Roman" w:eastAsia="方正仿宋_GBK" w:hAnsi="Times New Roman"/>
          <w:sz w:val="32"/>
        </w:rPr>
      </w:pPr>
      <w:r>
        <w:rPr>
          <w:rFonts w:ascii="Times New Roman" w:eastAsia="方正仿宋_GBK" w:hAnsi="Times New Roman" w:hint="eastAsia"/>
          <w:sz w:val="32"/>
        </w:rPr>
        <w:t>花都海关严格按照《国务院办公厅关于印发〈政府信息公开信息处理费管理办法〉的通知》，规范政府信息公开信息处理费收取工作，202</w:t>
      </w:r>
      <w:r>
        <w:rPr>
          <w:rFonts w:ascii="Times New Roman" w:eastAsia="方正仿宋_GBK" w:hAnsi="Times New Roman"/>
          <w:sz w:val="32"/>
        </w:rPr>
        <w:t>5</w:t>
      </w:r>
      <w:r>
        <w:rPr>
          <w:rFonts w:ascii="Times New Roman" w:eastAsia="方正仿宋_GBK" w:hAnsi="Times New Roman" w:hint="eastAsia"/>
          <w:sz w:val="32"/>
        </w:rPr>
        <w:t>年未收取政府信息公开信息处理费。</w:t>
      </w:r>
    </w:p>
    <w:p>
      <w:pPr>
        <w:spacing w:line="560" w:lineRule="exact"/>
        <w:ind w:firstLineChars="200" w:firstLine="640"/>
        <w:rPr>
          <w:rFonts w:ascii="Times New Roman" w:eastAsia="方正仿宋_GBK" w:hAnsi="Times New Roman" w:hint="eastAsia"/>
          <w:sz w:val="32"/>
        </w:rPr>
      </w:pPr>
      <w:r>
        <w:rPr>
          <w:rFonts w:ascii="方正楷体_GBK" w:eastAsia="方正楷体_GBK" w:hint="eastAsia"/>
          <w:b/>
          <w:sz w:val="32"/>
        </w:rPr>
        <w:t>（二）获评荣誉情况。　</w:t>
      </w:r>
      <w:r>
        <w:rPr>
          <w:rFonts w:ascii="Times New Roman" w:eastAsia="方正仿宋_GBK" w:hAnsi="Times New Roman" w:hint="eastAsia"/>
          <w:sz w:val="32"/>
        </w:rPr>
        <w:t xml:space="preserve">      </w:t>
      </w:r>
    </w:p>
    <w:p>
      <w:pPr>
        <w:spacing w:line="560" w:lineRule="exact"/>
        <w:ind w:firstLineChars="200" w:firstLine="640"/>
        <w:rPr>
          <w:rFonts w:ascii="Times New Roman" w:eastAsia="方正仿宋_GBK" w:hAnsi="Times New Roman" w:hint="eastAsia"/>
          <w:sz w:val="32"/>
        </w:rPr>
      </w:pPr>
      <w:r>
        <w:rPr>
          <w:rFonts w:ascii="Times New Roman" w:eastAsia="方正仿宋_GBK" w:hAnsi="Times New Roman" w:hint="eastAsia"/>
          <w:sz w:val="32"/>
        </w:rPr>
        <w:t>202</w:t>
      </w:r>
      <w:r>
        <w:rPr>
          <w:rFonts w:ascii="Times New Roman" w:eastAsia="方正仿宋_GBK" w:hAnsi="Times New Roman"/>
          <w:sz w:val="32"/>
        </w:rPr>
        <w:t>5</w:t>
      </w:r>
      <w:r>
        <w:rPr>
          <w:rFonts w:ascii="Times New Roman" w:eastAsia="方正仿宋_GBK" w:hAnsi="Times New Roman" w:hint="eastAsia"/>
          <w:sz w:val="32"/>
        </w:rPr>
        <w:t>年，花都海关获评</w:t>
      </w:r>
      <w:r>
        <w:rPr>
          <w:rFonts w:ascii="Times New Roman" w:eastAsia="方正仿宋_GBK" w:hAnsi="Times New Roman"/>
          <w:sz w:val="32"/>
        </w:rPr>
        <w:t>第七届</w:t>
      </w:r>
      <w:r>
        <w:rPr>
          <w:rFonts w:ascii="Times New Roman" w:eastAsia="方正仿宋_GBK" w:hAnsi="Times New Roman" w:hint="eastAsia"/>
          <w:sz w:val="32"/>
        </w:rPr>
        <w:t>“全国文明单位”荣誉称号。</w:t>
      </w:r>
    </w:p>
    <w:sectPr>
      <w:pgSz w:w="11906" w:h="16838"/>
      <w:pgMar w:top="1440" w:right="1154" w:bottom="1440" w:left="1154"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variable"/>
    <w:sig w:usb0="00000001" w:usb1="080E0000" w:usb2="00000010" w:usb3="00000000" w:csb0="00040000" w:csb1="00000000"/>
  </w:font>
  <w:font w:name="方正黑体_GBK">
    <w:panose1 w:val="03000509000000000000"/>
    <w:charset w:val="86"/>
    <w:family w:val="script"/>
    <w:pitch w:val="variable"/>
    <w:sig w:usb0="00000001" w:usb1="080E0000" w:usb2="00000010" w:usb3="00000000" w:csb0="00040000" w:csb1="00000000"/>
  </w:font>
  <w:font w:name="方正楷体_GBK">
    <w:panose1 w:val="03000509000000000000"/>
    <w:charset w:val="86"/>
    <w:family w:val="script"/>
    <w:pitch w:val="variable"/>
    <w:sig w:usb0="00000001" w:usb1="080E0000" w:usb2="00000010" w:usb3="00000000" w:csb0="00040000" w:csb1="00000000"/>
  </w:font>
  <w:font w:name="Arial">
    <w:panose1 w:val="020B0604020202020204"/>
    <w:charset w:val="00"/>
    <w:family w:val="auto"/>
    <w:pitch w:val="variable"/>
    <w:sig w:usb0="00007A87" w:usb1="80000000" w:usb2="00000008" w:usb3="00000000" w:csb0="400001FF" w:csb1="FFFF0000"/>
  </w:font>
  <w:font w:name="楷体_GB2312">
    <w:altName w:val="楷体"/>
    <w:panose1 w:val="00000000000000000000"/>
    <w:charset w:val="86"/>
    <w:family w:val="roman"/>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variable"/>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9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character" w:default="1" w:styleId="10">
    <w:name w:val="Default Paragraph Font"/>
  </w:style>
  <w:style w:type="paragraph" w:styleId="15">
    <w:name w:val="Normal (Web)"/>
    <w:basedOn w:val="0"/>
    <w:pPr>
      <w:spacing w:before="100" w:beforeAutospacing="1" w:after="100" w:afterAutospacing="1"/>
      <w:jc w:val="left"/>
    </w:pPr>
    <w:rPr>
      <w:rFonts w:ascii="Calibri" w:eastAsia="宋体" w:cs="Times New Roman" w:hAnsi="Calibri"/>
      <w:kern w:val="0"/>
      <w:sz w:val="24"/>
      <w:szCs w:val="24"/>
    </w:rPr>
  </w:style>
  <w:style w:type="paragraph" w:customStyle="1" w:styleId="16">
    <w:name w:val="样式 50 三号"/>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styleId="17">
    <w:name w:val="footer"/>
    <w:basedOn w:val="0"/>
    <w:pPr>
      <w:tabs>
        <w:tab w:val="center" w:pos="4153"/>
        <w:tab w:val="right" w:pos="8306"/>
      </w:tabs>
      <w:snapToGrid w:val="0"/>
      <w:jc w:val="left"/>
    </w:pPr>
    <w:rPr>
      <w:rFonts w:ascii="Times New Roman" w:eastAsia="方正仿宋_GBK" w:cs="Times New Roman" w:hAnsi="Times New Roman"/>
      <w:sz w:val="18"/>
      <w:szCs w:val="18"/>
    </w:rPr>
  </w:style>
  <w:style w:type="paragraph" w:customStyle="1" w:styleId="18">
    <w:name w:val="样式 小三"/>
    <w:pPr>
      <w:widowControl w:val="0"/>
      <w:jc w:val="both"/>
    </w:pPr>
    <w:rPr>
      <w:rFonts w:ascii="Times New Roman" w:eastAsia="宋体" w:cs="Times New Roman" w:hAnsi="Times New Roman"/>
      <w:kern w:val="2"/>
      <w:sz w:val="30"/>
      <w:szCs w:val="30"/>
      <w:lang w:val="en-US" w:eastAsia="zh-CN" w:bidi="ar-SA"/>
    </w:rPr>
  </w:style>
  <w:style w:type="paragraph" w:customStyle="1" w:styleId="19">
    <w:name w:val="样式 5 小三"/>
    <w:pPr>
      <w:widowControl w:val="0"/>
      <w:jc w:val="both"/>
    </w:pPr>
    <w:rPr>
      <w:rFonts w:ascii="Times New Roman" w:eastAsia="宋体" w:cs="Times New Roman" w:hAnsi="Times New Roman"/>
      <w:kern w:val="2"/>
      <w:sz w:val="30"/>
      <w:szCs w:val="30"/>
      <w:lang w:val="en-US" w:eastAsia="zh-CN" w:bidi="ar-SA"/>
    </w:rPr>
  </w:style>
  <w:style w:type="paragraph" w:customStyle="1" w:styleId="20">
    <w:name w:val="样式 8 小三"/>
    <w:pPr>
      <w:widowControl w:val="0"/>
      <w:jc w:val="both"/>
    </w:pPr>
    <w:rPr>
      <w:rFonts w:ascii="Times New Roman" w:eastAsia="宋体" w:cs="Times New Roman" w:hAnsi="Times New Roman"/>
      <w:kern w:val="2"/>
      <w:sz w:val="30"/>
      <w:szCs w:val="30"/>
      <w:lang w:val="en-US" w:eastAsia="zh-CN" w:bidi="ar-SA"/>
    </w:rPr>
  </w:style>
  <w:style w:type="paragraph" w:customStyle="1" w:styleId="21">
    <w:name w:val="样式 12 小三"/>
    <w:pPr>
      <w:widowControl w:val="0"/>
      <w:jc w:val="both"/>
    </w:pPr>
    <w:rPr>
      <w:rFonts w:ascii="Times New Roman" w:eastAsia="宋体" w:cs="Times New Roman" w:hAnsi="Times New Roman"/>
      <w:kern w:val="2"/>
      <w:sz w:val="30"/>
      <w:szCs w:val="30"/>
      <w:lang w:val="en-US" w:eastAsia="zh-CN" w:bidi="ar-SA"/>
    </w:rPr>
  </w:style>
  <w:style w:type="paragraph" w:customStyle="1" w:styleId="22">
    <w:name w:val="样式 16 小三"/>
    <w:pPr>
      <w:widowControl w:val="0"/>
      <w:jc w:val="both"/>
    </w:pPr>
    <w:rPr>
      <w:rFonts w:ascii="Times New Roman" w:eastAsia="宋体" w:cs="Times New Roman" w:hAnsi="Times New Roman"/>
      <w:kern w:val="2"/>
      <w:sz w:val="30"/>
      <w:szCs w:val="30"/>
      <w:lang w:val="en-US" w:eastAsia="zh-CN" w:bidi="ar-SA"/>
    </w:rPr>
  </w:style>
  <w:style w:type="paragraph" w:customStyle="1" w:styleId="23">
    <w:name w:val="样式 17 小三"/>
    <w:pPr>
      <w:widowControl w:val="0"/>
      <w:jc w:val="both"/>
    </w:pPr>
    <w:rPr>
      <w:rFonts w:ascii="Times New Roman" w:eastAsia="宋体" w:cs="Times New Roman" w:hAnsi="Times New Roman"/>
      <w:kern w:val="2"/>
      <w:sz w:val="30"/>
      <w:szCs w:val="30"/>
      <w:lang w:val="en-US" w:eastAsia="zh-CN" w:bidi="ar-SA"/>
    </w:rPr>
  </w:style>
  <w:style w:type="paragraph" w:customStyle="1" w:styleId="24">
    <w:name w:val="样式 10 磅"/>
    <w:pPr>
      <w:widowControl w:val="0"/>
      <w:jc w:val="both"/>
    </w:pPr>
    <w:rPr>
      <w:rFonts w:ascii="Calibri" w:eastAsia="宋体" w:cs="Arial" w:hAnsi="Calibri"/>
      <w:kern w:val="2"/>
      <w:sz w:val="21"/>
      <w:szCs w:val="22"/>
      <w:lang w:val="en-US" w:eastAsia="zh-CN" w:bidi="ar-SA"/>
    </w:rPr>
  </w:style>
  <w:style w:type="paragraph" w:customStyle="1" w:styleId="25">
    <w:name w:val="样式 1 10 磅"/>
    <w:pPr>
      <w:widowControl w:val="0"/>
      <w:jc w:val="both"/>
    </w:pPr>
    <w:rPr>
      <w:rFonts w:ascii="Calibri" w:eastAsia="宋体" w:cs="Arial" w:hAnsi="Calibri"/>
      <w:kern w:val="2"/>
      <w:sz w:val="21"/>
      <w:szCs w:val="22"/>
      <w:lang w:val="en-US" w:eastAsia="zh-CN" w:bidi="ar-SA"/>
    </w:rPr>
  </w:style>
  <w:style w:type="paragraph" w:customStyle="1" w:styleId="26">
    <w:name w:val="样式 2 10 磅"/>
    <w:pPr>
      <w:widowControl w:val="0"/>
      <w:jc w:val="both"/>
    </w:pPr>
    <w:rPr>
      <w:rFonts w:ascii="Calibri" w:eastAsia="宋体" w:cs="Arial" w:hAnsi="Calibri"/>
      <w:kern w:val="2"/>
      <w:sz w:val="21"/>
      <w:szCs w:val="22"/>
      <w:lang w:val="en-US" w:eastAsia="zh-CN" w:bidi="ar-SA"/>
    </w:rPr>
  </w:style>
  <w:style w:type="paragraph" w:customStyle="1" w:styleId="27">
    <w:name w:val="样式 3 10 磅"/>
    <w:pPr>
      <w:widowControl w:val="0"/>
      <w:jc w:val="both"/>
    </w:pPr>
    <w:rPr>
      <w:rFonts w:ascii="Calibri" w:eastAsia="宋体" w:cs="Arial" w:hAnsi="Calibri"/>
      <w:kern w:val="2"/>
      <w:sz w:val="21"/>
      <w:szCs w:val="22"/>
      <w:lang w:val="en-US" w:eastAsia="zh-CN" w:bidi="ar-SA"/>
    </w:rPr>
  </w:style>
  <w:style w:type="paragraph" w:customStyle="1" w:styleId="28">
    <w:name w:val="样式 4 10 磅"/>
    <w:pPr>
      <w:widowControl w:val="0"/>
      <w:jc w:val="both"/>
    </w:pPr>
    <w:rPr>
      <w:rFonts w:ascii="Calibri" w:eastAsia="宋体" w:cs="Arial" w:hAnsi="Calibri"/>
      <w:kern w:val="2"/>
      <w:sz w:val="21"/>
      <w:szCs w:val="22"/>
      <w:lang w:val="en-US" w:eastAsia="zh-CN" w:bidi="ar-SA"/>
    </w:rPr>
  </w:style>
  <w:style w:type="paragraph" w:customStyle="1" w:styleId="29">
    <w:name w:val="样式 5 10 磅"/>
    <w:pPr>
      <w:widowControl w:val="0"/>
      <w:jc w:val="both"/>
    </w:pPr>
    <w:rPr>
      <w:rFonts w:ascii="Calibri" w:eastAsia="宋体" w:cs="Arial" w:hAnsi="Calibri"/>
      <w:kern w:val="2"/>
      <w:sz w:val="21"/>
      <w:szCs w:val="22"/>
      <w:lang w:val="en-US" w:eastAsia="zh-CN" w:bidi="ar-SA"/>
    </w:rPr>
  </w:style>
  <w:style w:type="paragraph" w:customStyle="1" w:styleId="30">
    <w:name w:val="样式 三号"/>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方正仿宋_GBK" w:cs="Times New Roman" w:hAnsi="Times New Roman"/>
      <w:b w:val="0"/>
      <w:i w:val="0"/>
      <w:caps w:val="0"/>
      <w:smallCaps w:val="0"/>
      <w:strike w:val="0"/>
      <w:dstrike w:val="0"/>
      <w:snapToGrid/>
      <w:vanish w:val="0"/>
      <w:color w:val="auto"/>
      <w:spacing w:val="0"/>
      <w:w w:val="100"/>
      <w:kern w:val="2"/>
      <w:position w:val="0"/>
      <w:sz w:val="32"/>
      <w:szCs w:val="22"/>
      <w:u w:val="none" w:color="auto"/>
      <w:shd w:val="clear" w:color="auto" w:fill="auto"/>
      <w:vertAlign w:val="baseline"/>
      <w:em w:val="none"/>
      <w:lang w:val="en-US" w:eastAsia="zh-CN" w:bidi="ar-SA"/>
    </w:rPr>
  </w:style>
  <w:style w:type="paragraph" w:customStyle="1" w:styleId="31">
    <w:name w:val="样式 1 三号"/>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方正仿宋_GBK" w:cs="Times New Roman" w:hAnsi="Times New Roman"/>
      <w:b w:val="0"/>
      <w:i w:val="0"/>
      <w:caps w:val="0"/>
      <w:smallCaps w:val="0"/>
      <w:strike w:val="0"/>
      <w:dstrike w:val="0"/>
      <w:snapToGrid/>
      <w:vanish w:val="0"/>
      <w:color w:val="auto"/>
      <w:spacing w:val="0"/>
      <w:w w:val="100"/>
      <w:kern w:val="2"/>
      <w:position w:val="0"/>
      <w:sz w:val="32"/>
      <w:szCs w:val="22"/>
      <w:u w:val="none" w:color="auto"/>
      <w:shd w:val="clear" w:color="auto" w:fill="auto"/>
      <w:vertAlign w:val="baseline"/>
      <w:em w:val="none"/>
      <w:lang w:val="en-US" w:eastAsia="zh-CN" w:bidi="ar-SA"/>
    </w:rPr>
  </w:style>
  <w:style w:type="paragraph" w:customStyle="1" w:styleId="32">
    <w:name w:val="样式 6 10 磅"/>
    <w:pPr>
      <w:widowControl w:val="0"/>
      <w:jc w:val="both"/>
    </w:pPr>
    <w:rPr>
      <w:rFonts w:ascii="Calibri" w:eastAsia="宋体" w:cs="Arial" w:hAnsi="Calibri"/>
      <w:kern w:val="2"/>
      <w:sz w:val="21"/>
      <w:szCs w:val="22"/>
      <w:lang w:val="en-US" w:eastAsia="zh-CN" w:bidi="ar-SA"/>
    </w:rPr>
  </w:style>
  <w:style w:type="paragraph" w:customStyle="1" w:styleId="33">
    <w:name w:val="样式 7 10 磅"/>
    <w:pPr>
      <w:widowControl w:val="0"/>
      <w:jc w:val="both"/>
    </w:pPr>
    <w:rPr>
      <w:rFonts w:ascii="Calibri" w:eastAsia="宋体" w:cs="Arial" w:hAnsi="Calibri"/>
      <w:kern w:val="2"/>
      <w:sz w:val="21"/>
      <w:szCs w:val="22"/>
      <w:lang w:val="en-US" w:eastAsia="zh-CN" w:bidi="ar-SA"/>
    </w:rPr>
  </w:style>
  <w:style w:type="paragraph" w:customStyle="1" w:styleId="34">
    <w:name w:val="样式 8 10 磅"/>
    <w:pPr>
      <w:widowControl w:val="0"/>
      <w:jc w:val="both"/>
    </w:pPr>
    <w:rPr>
      <w:rFonts w:ascii="Calibri" w:eastAsia="宋体" w:cs="Arial" w:hAnsi="Calibri"/>
      <w:kern w:val="2"/>
      <w:sz w:val="21"/>
      <w:szCs w:val="22"/>
      <w:lang w:val="en-US" w:eastAsia="zh-CN" w:bidi="ar-SA"/>
    </w:rPr>
  </w:style>
  <w:style w:type="paragraph" w:customStyle="1" w:styleId="35">
    <w:name w:val="样式 9 10 磅"/>
    <w:pPr>
      <w:widowControl w:val="0"/>
      <w:jc w:val="both"/>
    </w:pPr>
    <w:rPr>
      <w:rFonts w:ascii="Calibri" w:eastAsia="宋体" w:cs="Arial" w:hAnsi="Calibri"/>
      <w:kern w:val="2"/>
      <w:sz w:val="21"/>
      <w:szCs w:val="22"/>
      <w:lang w:val="en-US" w:eastAsia="zh-CN" w:bidi="ar-SA"/>
    </w:rPr>
  </w:style>
  <w:style w:type="paragraph" w:customStyle="1" w:styleId="36">
    <w:name w:val="样式 10 10 磅"/>
    <w:pPr>
      <w:widowControl w:val="0"/>
      <w:jc w:val="both"/>
    </w:pPr>
    <w:rPr>
      <w:rFonts w:ascii="Calibri" w:eastAsia="宋体" w:cs="Arial" w:hAnsi="Calibri"/>
      <w:kern w:val="2"/>
      <w:sz w:val="21"/>
      <w:szCs w:val="22"/>
      <w:lang w:val="en-US" w:eastAsia="zh-CN" w:bidi="ar-SA"/>
    </w:rPr>
  </w:style>
  <w:style w:type="paragraph" w:customStyle="1" w:styleId="37">
    <w:name w:val="样式 11 10 磅"/>
    <w:pPr>
      <w:widowControl w:val="0"/>
      <w:jc w:val="both"/>
    </w:pPr>
    <w:rPr>
      <w:rFonts w:ascii="Calibri" w:eastAsia="宋体" w:cs="Arial" w:hAnsi="Calibri"/>
      <w:kern w:val="2"/>
      <w:sz w:val="21"/>
      <w:szCs w:val="22"/>
      <w:lang w:val="en-US" w:eastAsia="zh-CN" w:bidi="ar-SA"/>
    </w:rPr>
  </w:style>
  <w:style w:type="paragraph" w:customStyle="1" w:styleId="38">
    <w:name w:val="样式 12 10 磅"/>
    <w:pPr>
      <w:widowControl w:val="0"/>
      <w:jc w:val="both"/>
    </w:pPr>
    <w:rPr>
      <w:rFonts w:ascii="Calibri" w:eastAsia="宋体" w:cs="Arial" w:hAnsi="Calibri"/>
      <w:kern w:val="2"/>
      <w:sz w:val="21"/>
      <w:szCs w:val="22"/>
      <w:lang w:val="en-US" w:eastAsia="zh-CN" w:bidi="ar-SA"/>
    </w:rPr>
  </w:style>
  <w:style w:type="paragraph" w:customStyle="1" w:styleId="39">
    <w:name w:val="样式 13 10 磅"/>
    <w:pPr>
      <w:widowControl w:val="0"/>
      <w:jc w:val="both"/>
    </w:pPr>
    <w:rPr>
      <w:rFonts w:ascii="Calibri" w:eastAsia="宋体" w:cs="Arial" w:hAnsi="Calibri"/>
      <w:kern w:val="2"/>
      <w:sz w:val="21"/>
      <w:szCs w:val="22"/>
      <w:lang w:val="en-US" w:eastAsia="zh-CN" w:bidi="ar-SA"/>
    </w:rPr>
  </w:style>
  <w:style w:type="paragraph" w:customStyle="1" w:styleId="40">
    <w:name w:val="样式 2 三号"/>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方正仿宋_GBK" w:cs="Times New Roman" w:hAnsi="Times New Roman"/>
      <w:b w:val="0"/>
      <w:i w:val="0"/>
      <w:caps w:val="0"/>
      <w:smallCaps w:val="0"/>
      <w:strike w:val="0"/>
      <w:dstrike w:val="0"/>
      <w:snapToGrid/>
      <w:vanish w:val="0"/>
      <w:color w:val="auto"/>
      <w:spacing w:val="0"/>
      <w:w w:val="100"/>
      <w:kern w:val="2"/>
      <w:position w:val="0"/>
      <w:sz w:val="32"/>
      <w:szCs w:val="32"/>
      <w:u w:val="none" w:color="auto"/>
      <w:shd w:val="clear" w:color="auto" w:fill="auto"/>
      <w:vertAlign w:val="baseline"/>
      <w:em w:val="none"/>
      <w:lang w:val="en-US" w:eastAsia="zh-CN" w:bidi="ar-SA"/>
    </w:rPr>
  </w:style>
  <w:style w:type="paragraph" w:customStyle="1" w:styleId="41">
    <w:name w:val="样式 3 三号"/>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方正仿宋_GBK" w:cs="Times New Roman" w:hAnsi="Times New Roman"/>
      <w:b w:val="0"/>
      <w:i w:val="0"/>
      <w:caps w:val="0"/>
      <w:smallCaps w:val="0"/>
      <w:strike w:val="0"/>
      <w:dstrike w:val="0"/>
      <w:snapToGrid/>
      <w:vanish w:val="0"/>
      <w:color w:val="auto"/>
      <w:spacing w:val="0"/>
      <w:w w:val="100"/>
      <w:kern w:val="2"/>
      <w:position w:val="0"/>
      <w:sz w:val="32"/>
      <w:szCs w:val="22"/>
      <w:u w:val="none" w:color="auto"/>
      <w:shd w:val="clear" w:color="auto" w:fill="auto"/>
      <w:vertAlign w:val="baseline"/>
      <w:em w:val="none"/>
      <w:lang w:val="en-US" w:eastAsia="zh-CN" w:bidi="ar-SA"/>
    </w:rPr>
  </w:style>
  <w:style w:type="paragraph" w:customStyle="1" w:styleId="42">
    <w:name w:val="样式 15 三号"/>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560" w:lineRule="exact"/>
      <w:ind w:left="0" w:right="0" w:firstLine="0"/>
      <w:contextualSpacing w:val="0"/>
      <w:jc w:val="both"/>
      <w:textAlignment w:val="auto"/>
      <w:outlineLvl w:val="9"/>
    </w:pPr>
    <w:rPr>
      <w:rFonts w:ascii="Times New Roman" w:eastAsia="方正仿宋_GBK" w:cs="Times New Roman" w:hAnsi="Times New Roman"/>
      <w:b w:val="0"/>
      <w:i w:val="0"/>
      <w:caps w:val="0"/>
      <w:smallCaps w:val="0"/>
      <w:strike w:val="0"/>
      <w:dstrike w:val="0"/>
      <w:snapToGrid/>
      <w:vanish w:val="0"/>
      <w:color w:val="auto"/>
      <w:spacing w:val="-4"/>
      <w:w w:val="100"/>
      <w:kern w:val="2"/>
      <w:position w:val="0"/>
      <w:sz w:val="32"/>
      <w:szCs w:val="20"/>
      <w:u w:val="none" w:color="auto"/>
      <w:shd w:val="clear" w:color="auto" w:fill="auto"/>
      <w:vertAlign w:val="baseline"/>
      <w:em w:val="none"/>
      <w:lang w:val="en-US" w:eastAsia="zh-CN" w:bidi="ar-SA"/>
    </w:rPr>
  </w:style>
  <w:style w:type="paragraph" w:customStyle="1" w:styleId="43">
    <w:name w:val="样式 4 三号"/>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方正仿宋_GBK" w:cs="Times New Roman" w:hAnsi="Times New Roman"/>
      <w:b w:val="0"/>
      <w:i w:val="0"/>
      <w:caps w:val="0"/>
      <w:smallCaps w:val="0"/>
      <w:strike w:val="0"/>
      <w:dstrike w:val="0"/>
      <w:snapToGrid/>
      <w:vanish w:val="0"/>
      <w:color w:val="auto"/>
      <w:spacing w:val="0"/>
      <w:w w:val="100"/>
      <w:kern w:val="2"/>
      <w:position w:val="0"/>
      <w:sz w:val="32"/>
      <w:szCs w:val="22"/>
      <w:u w:val="none" w:color="auto"/>
      <w:shd w:val="clear" w:color="auto" w:fill="auto"/>
      <w:vertAlign w:val="baseline"/>
      <w:em w:val="none"/>
      <w:lang w:val="en-US" w:eastAsia="zh-CN" w:bidi="ar-SA"/>
    </w:rPr>
  </w:style>
  <w:style w:type="paragraph" w:customStyle="1" w:styleId="44">
    <w:name w:val="样式 5 三号"/>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560" w:lineRule="exact"/>
      <w:ind w:left="0" w:right="0" w:firstLine="0"/>
      <w:contextualSpacing w:val="0"/>
      <w:jc w:val="both"/>
      <w:textAlignment w:val="auto"/>
      <w:outlineLvl w:val="9"/>
    </w:pPr>
    <w:rPr>
      <w:rFonts w:ascii="Times New Roman" w:eastAsia="方正仿宋_GBK" w:cs="Times New Roman" w:hAnsi="Times New Roman"/>
      <w:b w:val="0"/>
      <w:i w:val="0"/>
      <w:caps w:val="0"/>
      <w:smallCaps w:val="0"/>
      <w:strike w:val="0"/>
      <w:dstrike w:val="0"/>
      <w:snapToGrid/>
      <w:vanish w:val="0"/>
      <w:color w:val="auto"/>
      <w:spacing w:val="-4"/>
      <w:w w:val="100"/>
      <w:kern w:val="2"/>
      <w:position w:val="0"/>
      <w:sz w:val="32"/>
      <w:szCs w:val="20"/>
      <w:u w:val="none" w:color="auto"/>
      <w:shd w:val="clear" w:color="auto" w:fill="auto"/>
      <w:vertAlign w:val="baseline"/>
      <w:em w:val="none"/>
      <w:lang w:val="en-US" w:eastAsia="zh-CN" w:bidi="ar-SA"/>
    </w:rPr>
  </w:style>
  <w:style w:type="paragraph" w:customStyle="1" w:styleId="45">
    <w:name w:val="样式 6 三号"/>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560" w:lineRule="exact"/>
      <w:ind w:left="0" w:right="0" w:firstLine="0"/>
      <w:contextualSpacing w:val="0"/>
      <w:jc w:val="both"/>
      <w:textAlignment w:val="auto"/>
      <w:outlineLvl w:val="9"/>
    </w:pPr>
    <w:rPr>
      <w:rFonts w:ascii="Times New Roman" w:eastAsia="方正仿宋_GBK" w:cs="Times New Roman" w:hAnsi="Times New Roman"/>
      <w:b w:val="0"/>
      <w:i w:val="0"/>
      <w:caps w:val="0"/>
      <w:smallCaps w:val="0"/>
      <w:strike w:val="0"/>
      <w:dstrike w:val="0"/>
      <w:snapToGrid/>
      <w:vanish w:val="0"/>
      <w:color w:val="auto"/>
      <w:spacing w:val="-4"/>
      <w:w w:val="100"/>
      <w:kern w:val="2"/>
      <w:position w:val="0"/>
      <w:sz w:val="32"/>
      <w:szCs w:val="20"/>
      <w:u w:val="none" w:color="auto"/>
      <w:shd w:val="clear" w:color="auto" w:fill="auto"/>
      <w:vertAlign w:val="baseline"/>
      <w:em w:val="none"/>
      <w:lang w:val="en-US" w:eastAsia="zh-CN" w:bidi="ar-SA"/>
    </w:rPr>
  </w:style>
  <w:style w:type="paragraph" w:customStyle="1" w:styleId="46">
    <w:name w:val="样式 14 10 磅"/>
    <w:pPr>
      <w:widowControl w:val="0"/>
      <w:jc w:val="both"/>
    </w:pPr>
    <w:rPr>
      <w:rFonts w:ascii="Calibri" w:eastAsia="宋体" w:cs="Arial" w:hAnsi="Calibri"/>
      <w:kern w:val="2"/>
      <w:sz w:val="21"/>
      <w:szCs w:val="22"/>
      <w:lang w:val="en-US" w:eastAsia="zh-CN" w:bidi="ar-SA"/>
    </w:rPr>
  </w:style>
  <w:style w:type="paragraph" w:customStyle="1" w:styleId="47">
    <w:name w:val="样式 7 三号"/>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560" w:lineRule="exact"/>
      <w:ind w:left="0" w:right="0" w:firstLine="0"/>
      <w:contextualSpacing w:val="0"/>
      <w:jc w:val="both"/>
      <w:textAlignment w:val="auto"/>
      <w:outlineLvl w:val="9"/>
    </w:pPr>
    <w:rPr>
      <w:rFonts w:ascii="Times New Roman" w:eastAsia="方正仿宋_GBK" w:cs="Times New Roman" w:hAnsi="Times New Roman"/>
      <w:b w:val="0"/>
      <w:i w:val="0"/>
      <w:caps w:val="0"/>
      <w:smallCaps w:val="0"/>
      <w:strike w:val="0"/>
      <w:dstrike w:val="0"/>
      <w:snapToGrid/>
      <w:vanish w:val="0"/>
      <w:color w:val="auto"/>
      <w:spacing w:val="-4"/>
      <w:w w:val="100"/>
      <w:kern w:val="2"/>
      <w:position w:val="0"/>
      <w:sz w:val="32"/>
      <w:szCs w:val="20"/>
      <w:u w:val="none" w:color="auto"/>
      <w:shd w:val="clear" w:color="auto" w:fill="auto"/>
      <w:vertAlign w:val="baseline"/>
      <w:em w:val="none"/>
      <w:lang w:val="en-US" w:eastAsia="zh-CN" w:bidi="ar-SA"/>
    </w:rPr>
  </w:style>
  <w:style w:type="paragraph" w:customStyle="1" w:styleId="48">
    <w:name w:val="样式 8 三号"/>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560" w:lineRule="exact"/>
      <w:ind w:left="0" w:right="0" w:firstLine="0"/>
      <w:contextualSpacing w:val="0"/>
      <w:jc w:val="both"/>
      <w:textAlignment w:val="auto"/>
      <w:outlineLvl w:val="9"/>
    </w:pPr>
    <w:rPr>
      <w:rFonts w:ascii="Times New Roman" w:eastAsia="方正仿宋_GBK" w:cs="Times New Roman" w:hAnsi="Times New Roman"/>
      <w:b w:val="0"/>
      <w:i w:val="0"/>
      <w:caps w:val="0"/>
      <w:smallCaps w:val="0"/>
      <w:strike w:val="0"/>
      <w:dstrike w:val="0"/>
      <w:snapToGrid/>
      <w:vanish w:val="0"/>
      <w:color w:val="auto"/>
      <w:spacing w:val="-4"/>
      <w:w w:val="100"/>
      <w:kern w:val="2"/>
      <w:position w:val="0"/>
      <w:sz w:val="32"/>
      <w:szCs w:val="20"/>
      <w:u w:val="none" w:color="auto"/>
      <w:shd w:val="clear" w:color="auto" w:fill="auto"/>
      <w:vertAlign w:val="baseline"/>
      <w:em w:val="none"/>
      <w:lang w:val="en-US" w:eastAsia="zh-CN" w:bidi="ar-SA"/>
    </w:rPr>
  </w:style>
  <w:style w:type="paragraph" w:customStyle="1" w:styleId="49">
    <w:name w:val="样式 15 10 磅"/>
    <w:pPr>
      <w:widowControl w:val="0"/>
      <w:jc w:val="both"/>
    </w:pPr>
    <w:rPr>
      <w:rFonts w:ascii="Calibri" w:eastAsia="宋体" w:cs="Arial" w:hAnsi="Calibri"/>
      <w:kern w:val="2"/>
      <w:sz w:val="21"/>
      <w:szCs w:val="22"/>
      <w:lang w:val="en-US" w:eastAsia="zh-CN" w:bidi="ar-SA"/>
    </w:rPr>
  </w:style>
  <w:style w:type="paragraph" w:customStyle="1" w:styleId="50">
    <w:name w:val="样式 16 10 磅"/>
    <w:pPr>
      <w:widowControl w:val="0"/>
      <w:jc w:val="both"/>
    </w:pPr>
    <w:rPr>
      <w:rFonts w:ascii="Calibri" w:eastAsia="宋体" w:cs="Arial" w:hAnsi="Calibri"/>
      <w:kern w:val="2"/>
      <w:sz w:val="21"/>
      <w:szCs w:val="22"/>
      <w:lang w:val="en-US" w:eastAsia="zh-CN" w:bidi="ar-SA"/>
    </w:rPr>
  </w:style>
  <w:style w:type="paragraph" w:customStyle="1" w:styleId="51">
    <w:name w:val="样式 17 10 磅"/>
    <w:pPr>
      <w:widowControl w:val="0"/>
      <w:jc w:val="both"/>
    </w:pPr>
    <w:rPr>
      <w:rFonts w:ascii="Calibri" w:eastAsia="宋体" w:cs="Arial" w:hAnsi="Calibri"/>
      <w:kern w:val="2"/>
      <w:sz w:val="21"/>
      <w:szCs w:val="22"/>
      <w:lang w:val="en-US" w:eastAsia="zh-CN" w:bidi="ar-SA"/>
    </w:rPr>
  </w:style>
  <w:style w:type="paragraph" w:customStyle="1" w:styleId="52">
    <w:name w:val="样式 18 10 磅"/>
    <w:pPr>
      <w:widowControl w:val="0"/>
      <w:jc w:val="both"/>
    </w:pPr>
    <w:rPr>
      <w:rFonts w:ascii="Calibri" w:eastAsia="宋体" w:cs="Arial" w:hAnsi="Calibri"/>
      <w:kern w:val="2"/>
      <w:sz w:val="21"/>
      <w:szCs w:val="22"/>
      <w:lang w:val="en-US" w:eastAsia="zh-CN" w:bidi="ar-SA"/>
    </w:rPr>
  </w:style>
  <w:style w:type="paragraph" w:customStyle="1" w:styleId="53">
    <w:name w:val="样式 19 10 磅"/>
    <w:pPr>
      <w:widowControl w:val="0"/>
      <w:jc w:val="both"/>
    </w:pPr>
    <w:rPr>
      <w:rFonts w:ascii="Calibri" w:eastAsia="宋体" w:cs="Arial" w:hAnsi="Calibri"/>
      <w:kern w:val="2"/>
      <w:sz w:val="21"/>
      <w:szCs w:val="22"/>
      <w:lang w:val="en-US" w:eastAsia="zh-CN" w:bidi="ar-SA"/>
    </w:rPr>
  </w:style>
  <w:style w:type="paragraph" w:customStyle="1" w:styleId="54">
    <w:name w:val="样式 20 10 磅"/>
    <w:pPr>
      <w:widowControl w:val="0"/>
      <w:jc w:val="both"/>
    </w:pPr>
    <w:rPr>
      <w:rFonts w:ascii="Calibri" w:eastAsia="宋体" w:cs="Arial" w:hAnsi="Calibri"/>
      <w:kern w:val="2"/>
      <w:sz w:val="21"/>
      <w:szCs w:val="22"/>
      <w:lang w:val="en-US" w:eastAsia="zh-CN" w:bidi="ar-SA"/>
    </w:rPr>
  </w:style>
  <w:style w:type="paragraph" w:customStyle="1" w:styleId="55">
    <w:name w:val="样式 21 10 磅"/>
    <w:pPr>
      <w:widowControl w:val="0"/>
      <w:jc w:val="both"/>
    </w:pPr>
    <w:rPr>
      <w:rFonts w:ascii="Calibri" w:eastAsia="宋体" w:cs="Arial" w:hAnsi="Calibri"/>
      <w:kern w:val="2"/>
      <w:sz w:val="21"/>
      <w:szCs w:val="22"/>
      <w:lang w:val="en-US" w:eastAsia="zh-CN" w:bidi="ar-SA"/>
    </w:rPr>
  </w:style>
  <w:style w:type="paragraph" w:customStyle="1" w:styleId="56">
    <w:name w:val="样式 22 10 磅"/>
    <w:pPr>
      <w:widowControl w:val="0"/>
      <w:jc w:val="both"/>
    </w:pPr>
    <w:rPr>
      <w:rFonts w:ascii="Calibri" w:eastAsia="宋体" w:cs="Arial" w:hAnsi="Calibri"/>
      <w:kern w:val="2"/>
      <w:sz w:val="21"/>
      <w:szCs w:val="22"/>
      <w:lang w:val="en-US" w:eastAsia="zh-CN" w:bidi="ar-SA"/>
    </w:rPr>
  </w:style>
  <w:style w:type="paragraph" w:customStyle="1" w:styleId="57">
    <w:name w:val="样式 23 10 磅"/>
    <w:pPr>
      <w:widowControl w:val="0"/>
      <w:jc w:val="both"/>
    </w:pPr>
    <w:rPr>
      <w:rFonts w:ascii="Calibri" w:eastAsia="宋体" w:cs="Arial" w:hAnsi="Calibri"/>
      <w:kern w:val="2"/>
      <w:sz w:val="21"/>
      <w:szCs w:val="22"/>
      <w:lang w:val="en-US" w:eastAsia="zh-CN" w:bidi="ar-SA"/>
    </w:rPr>
  </w:style>
  <w:style w:type="paragraph" w:customStyle="1" w:styleId="58">
    <w:name w:val="样式 24 10 磅"/>
    <w:pPr>
      <w:widowControl w:val="0"/>
      <w:jc w:val="both"/>
    </w:pPr>
    <w:rPr>
      <w:rFonts w:ascii="Calibri" w:eastAsia="宋体" w:cs="Arial" w:hAnsi="Calibri"/>
      <w:kern w:val="2"/>
      <w:sz w:val="21"/>
      <w:szCs w:val="22"/>
      <w:lang w:val="en-US" w:eastAsia="zh-CN" w:bidi="ar-SA"/>
    </w:rPr>
  </w:style>
  <w:style w:type="paragraph" w:customStyle="1" w:styleId="59">
    <w:name w:val="样式 25 10 磅"/>
    <w:pPr>
      <w:widowControl w:val="0"/>
      <w:jc w:val="both"/>
    </w:pPr>
    <w:rPr>
      <w:rFonts w:ascii="Calibri" w:eastAsia="宋体" w:cs="Arial" w:hAnsi="Calibri"/>
      <w:kern w:val="2"/>
      <w:sz w:val="21"/>
      <w:szCs w:val="22"/>
      <w:lang w:val="en-US" w:eastAsia="zh-CN" w:bidi="ar-SA"/>
    </w:rPr>
  </w:style>
  <w:style w:type="paragraph" w:customStyle="1" w:styleId="60">
    <w:name w:val="样式 26 10 磅"/>
    <w:pPr>
      <w:widowControl w:val="0"/>
      <w:jc w:val="both"/>
    </w:pPr>
    <w:rPr>
      <w:rFonts w:ascii="Calibri" w:eastAsia="宋体" w:cs="Arial" w:hAnsi="Calibri"/>
      <w:kern w:val="2"/>
      <w:sz w:val="21"/>
      <w:szCs w:val="22"/>
      <w:lang w:val="en-US" w:eastAsia="zh-CN" w:bidi="ar-SA"/>
    </w:rPr>
  </w:style>
  <w:style w:type="paragraph" w:customStyle="1" w:styleId="61">
    <w:name w:val="样式 27 10 磅"/>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Calibri" w:eastAsia="宋体" w:cs="Times New Roman" w:hAnsi="Calibri"/>
      <w:b w:val="0"/>
      <w:i w:val="0"/>
      <w:caps w:val="0"/>
      <w:smallCaps w:val="0"/>
      <w:strike w:val="0"/>
      <w:dstrike w:val="0"/>
      <w:snapToGrid/>
      <w:vanish w:val="0"/>
      <w:color w:val="auto"/>
      <w:spacing w:val="0"/>
      <w:w w:val="100"/>
      <w:kern w:val="2"/>
      <w:position w:val="0"/>
      <w:sz w:val="21"/>
      <w:szCs w:val="22"/>
      <w:u w:val="none" w:color="auto"/>
      <w:shd w:val="clear" w:color="auto" w:fill="auto"/>
      <w:vertAlign w:val="baseline"/>
      <w:em w:val="none"/>
      <w:lang w:val="en-US" w:eastAsia="zh-CN" w:bidi="ar-SA"/>
    </w:rPr>
  </w:style>
  <w:style w:type="paragraph" w:customStyle="1" w:styleId="62">
    <w:name w:val="样式 28 10 磅"/>
    <w:pPr>
      <w:widowControl w:val="0"/>
      <w:jc w:val="both"/>
    </w:pPr>
    <w:rPr>
      <w:rFonts w:ascii="Calibri" w:eastAsia="宋体" w:cs="Arial" w:hAnsi="Calibri"/>
      <w:kern w:val="2"/>
      <w:sz w:val="21"/>
      <w:szCs w:val="22"/>
      <w:lang w:val="en-US" w:eastAsia="zh-CN" w:bidi="ar-SA"/>
    </w:rPr>
  </w:style>
  <w:style w:type="paragraph" w:customStyle="1" w:styleId="63">
    <w:name w:val="样式 29 10 磅"/>
    <w:pPr>
      <w:widowControl w:val="0"/>
      <w:jc w:val="both"/>
    </w:pPr>
    <w:rPr>
      <w:rFonts w:ascii="Calibri" w:eastAsia="宋体" w:cs="Arial" w:hAnsi="Calibri"/>
      <w:kern w:val="2"/>
      <w:sz w:val="21"/>
      <w:szCs w:val="22"/>
      <w:lang w:val="en-US" w:eastAsia="zh-CN" w:bidi="ar-SA"/>
    </w:rPr>
  </w:style>
  <w:style w:type="paragraph" w:customStyle="1" w:styleId="64">
    <w:name w:val="样式 30 10 磅"/>
    <w:pPr>
      <w:widowControl w:val="0"/>
      <w:jc w:val="both"/>
    </w:pPr>
    <w:rPr>
      <w:rFonts w:ascii="Calibri" w:eastAsia="宋体" w:cs="Arial" w:hAnsi="Calibri"/>
      <w:kern w:val="2"/>
      <w:sz w:val="21"/>
      <w:szCs w:val="22"/>
      <w:lang w:val="en-US" w:eastAsia="zh-CN" w:bidi="ar-SA"/>
    </w:rPr>
  </w:style>
  <w:style w:type="paragraph" w:customStyle="1" w:styleId="65">
    <w:name w:val="样式 31 10 磅"/>
    <w:pPr>
      <w:widowControl w:val="0"/>
      <w:jc w:val="both"/>
    </w:pPr>
    <w:rPr>
      <w:rFonts w:ascii="Calibri" w:eastAsia="宋体" w:cs="Arial" w:hAnsi="Calibri"/>
      <w:kern w:val="2"/>
      <w:sz w:val="21"/>
      <w:szCs w:val="22"/>
      <w:lang w:val="en-US" w:eastAsia="zh-CN" w:bidi="ar-SA"/>
    </w:rPr>
  </w:style>
  <w:style w:type="paragraph" w:customStyle="1" w:styleId="66">
    <w:name w:val="样式 32 10 磅"/>
    <w:pPr>
      <w:widowControl w:val="0"/>
      <w:jc w:val="both"/>
    </w:pPr>
    <w:rPr>
      <w:rFonts w:ascii="Calibri" w:eastAsia="宋体" w:cs="Arial" w:hAnsi="Calibri"/>
      <w:kern w:val="2"/>
      <w:sz w:val="21"/>
      <w:szCs w:val="22"/>
      <w:lang w:val="en-US" w:eastAsia="zh-CN" w:bidi="ar-SA"/>
    </w:rPr>
  </w:style>
  <w:style w:type="paragraph" w:customStyle="1" w:styleId="67">
    <w:name w:val="样式 33 10 磅"/>
    <w:pPr>
      <w:widowControl w:val="0"/>
      <w:jc w:val="both"/>
    </w:pPr>
    <w:rPr>
      <w:rFonts w:ascii="Calibri" w:eastAsia="宋体" w:cs="Arial" w:hAnsi="Calibri"/>
      <w:kern w:val="2"/>
      <w:sz w:val="21"/>
      <w:szCs w:val="22"/>
      <w:lang w:val="en-US" w:eastAsia="zh-CN" w:bidi="ar-SA"/>
    </w:rPr>
  </w:style>
  <w:style w:type="paragraph" w:customStyle="1" w:styleId="68">
    <w:name w:val="样式 34 10 磅"/>
    <w:pPr>
      <w:widowControl w:val="0"/>
      <w:jc w:val="both"/>
    </w:pPr>
    <w:rPr>
      <w:rFonts w:ascii="Calibri" w:eastAsia="宋体" w:cs="Arial" w:hAnsi="Calibri"/>
      <w:kern w:val="2"/>
      <w:sz w:val="21"/>
      <w:szCs w:val="22"/>
      <w:lang w:val="en-US" w:eastAsia="zh-CN" w:bidi="ar-SA"/>
    </w:rPr>
  </w:style>
  <w:style w:type="paragraph" w:customStyle="1" w:styleId="69">
    <w:name w:val="样式 35 10 磅"/>
    <w:pPr>
      <w:widowControl w:val="0"/>
      <w:jc w:val="both"/>
    </w:pPr>
    <w:rPr>
      <w:rFonts w:ascii="Calibri" w:eastAsia="宋体" w:cs="Arial" w:hAnsi="Calibri"/>
      <w:kern w:val="2"/>
      <w:sz w:val="21"/>
      <w:szCs w:val="22"/>
      <w:lang w:val="en-US" w:eastAsia="zh-CN" w:bidi="ar-SA"/>
    </w:rPr>
  </w:style>
  <w:style w:type="paragraph" w:customStyle="1" w:styleId="70">
    <w:name w:val="样式 36 10 磅"/>
    <w:pPr>
      <w:widowControl w:val="0"/>
      <w:jc w:val="both"/>
    </w:pPr>
    <w:rPr>
      <w:rFonts w:ascii="Calibri" w:eastAsia="宋体" w:cs="Arial" w:hAnsi="Calibri"/>
      <w:kern w:val="2"/>
      <w:sz w:val="21"/>
      <w:szCs w:val="22"/>
      <w:lang w:val="en-US" w:eastAsia="zh-CN" w:bidi="ar-SA"/>
    </w:rPr>
  </w:style>
  <w:style w:type="paragraph" w:customStyle="1" w:styleId="71">
    <w:name w:val="样式 37 10 磅"/>
    <w:pPr>
      <w:widowControl w:val="0"/>
      <w:jc w:val="both"/>
    </w:pPr>
    <w:rPr>
      <w:rFonts w:ascii="Calibri" w:eastAsia="宋体" w:cs="Arial" w:hAnsi="Calibri"/>
      <w:kern w:val="2"/>
      <w:sz w:val="21"/>
      <w:szCs w:val="22"/>
      <w:lang w:val="en-US" w:eastAsia="zh-CN" w:bidi="ar-SA"/>
    </w:rPr>
  </w:style>
  <w:style w:type="paragraph" w:customStyle="1" w:styleId="72">
    <w:name w:val="样式 38 10 磅"/>
    <w:pPr>
      <w:widowControl w:val="0"/>
      <w:jc w:val="both"/>
    </w:pPr>
    <w:rPr>
      <w:rFonts w:ascii="Calibri" w:eastAsia="宋体" w:cs="Arial" w:hAnsi="Calibri"/>
      <w:kern w:val="2"/>
      <w:sz w:val="21"/>
      <w:szCs w:val="22"/>
      <w:lang w:val="en-US" w:eastAsia="zh-CN" w:bidi="ar-SA"/>
    </w:rPr>
  </w:style>
  <w:style w:type="paragraph" w:customStyle="1" w:styleId="73">
    <w:name w:val="样式 39 10 磅"/>
    <w:pPr>
      <w:widowControl w:val="0"/>
      <w:jc w:val="both"/>
    </w:pPr>
    <w:rPr>
      <w:rFonts w:ascii="Calibri" w:eastAsia="宋体" w:cs="Arial" w:hAnsi="Calibri"/>
      <w:kern w:val="2"/>
      <w:sz w:val="21"/>
      <w:szCs w:val="22"/>
      <w:lang w:val="en-US" w:eastAsia="zh-CN" w:bidi="ar-SA"/>
    </w:rPr>
  </w:style>
  <w:style w:type="paragraph" w:customStyle="1" w:styleId="74">
    <w:name w:val="样式 40 10 磅"/>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Calibri" w:eastAsia="宋体" w:cs="Times New Roman" w:hAnsi="Calibri"/>
      <w:b w:val="0"/>
      <w:i w:val="0"/>
      <w:caps w:val="0"/>
      <w:smallCaps w:val="0"/>
      <w:strike w:val="0"/>
      <w:dstrike w:val="0"/>
      <w:snapToGrid/>
      <w:vanish w:val="0"/>
      <w:color w:val="auto"/>
      <w:spacing w:val="0"/>
      <w:w w:val="100"/>
      <w:kern w:val="2"/>
      <w:position w:val="0"/>
      <w:sz w:val="21"/>
      <w:szCs w:val="22"/>
      <w:u w:val="none" w:color="auto"/>
      <w:shd w:val="clear" w:color="auto" w:fill="auto"/>
      <w:vertAlign w:val="baseline"/>
      <w:em w:val="none"/>
      <w:lang w:val="en-US" w:eastAsia="zh-CN" w:bidi="ar-SA"/>
    </w:rPr>
  </w:style>
  <w:style w:type="paragraph" w:customStyle="1" w:styleId="75">
    <w:name w:val="样式 41 10 磅"/>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Calibri" w:eastAsia="宋体" w:cs="Times New Roman" w:hAnsi="Calibri"/>
      <w:b w:val="0"/>
      <w:i w:val="0"/>
      <w:caps w:val="0"/>
      <w:smallCaps w:val="0"/>
      <w:strike w:val="0"/>
      <w:dstrike w:val="0"/>
      <w:snapToGrid/>
      <w:vanish w:val="0"/>
      <w:color w:val="auto"/>
      <w:spacing w:val="0"/>
      <w:w w:val="100"/>
      <w:kern w:val="2"/>
      <w:position w:val="0"/>
      <w:sz w:val="21"/>
      <w:szCs w:val="22"/>
      <w:u w:val="none" w:color="auto"/>
      <w:shd w:val="clear" w:color="auto" w:fill="auto"/>
      <w:vertAlign w:val="baseline"/>
      <w:em w:val="none"/>
      <w:lang w:val="en-US" w:eastAsia="zh-CN" w:bidi="ar-SA"/>
    </w:rPr>
  </w:style>
  <w:style w:type="paragraph" w:customStyle="1" w:styleId="76">
    <w:name w:val="样式 42 10 磅"/>
    <w:pPr>
      <w:widowControl w:val="0"/>
      <w:jc w:val="both"/>
    </w:pPr>
    <w:rPr>
      <w:rFonts w:ascii="Calibri" w:eastAsia="宋体" w:cs="Arial" w:hAnsi="Calibri"/>
      <w:kern w:val="2"/>
      <w:sz w:val="21"/>
      <w:szCs w:val="22"/>
      <w:lang w:val="en-US" w:eastAsia="zh-CN" w:bidi="ar-SA"/>
    </w:rPr>
  </w:style>
  <w:style w:type="paragraph" w:customStyle="1" w:styleId="77">
    <w:name w:val="样式 43 10 磅"/>
    <w:pPr>
      <w:widowControl w:val="0"/>
      <w:jc w:val="both"/>
    </w:pPr>
    <w:rPr>
      <w:rFonts w:ascii="Calibri" w:eastAsia="宋体" w:cs="Arial" w:hAnsi="Calibri"/>
      <w:kern w:val="2"/>
      <w:sz w:val="21"/>
      <w:szCs w:val="22"/>
      <w:lang w:val="en-US" w:eastAsia="zh-CN" w:bidi="ar-SA"/>
    </w:rPr>
  </w:style>
  <w:style w:type="paragraph" w:customStyle="1" w:styleId="78">
    <w:name w:val="样式 44 10 磅"/>
    <w:pPr>
      <w:widowControl w:val="0"/>
      <w:jc w:val="both"/>
    </w:pPr>
    <w:rPr>
      <w:rFonts w:ascii="Calibri" w:eastAsia="宋体" w:cs="Arial" w:hAnsi="Calibri"/>
      <w:kern w:val="2"/>
      <w:sz w:val="21"/>
      <w:szCs w:val="22"/>
      <w:lang w:val="en-US" w:eastAsia="zh-CN" w:bidi="ar-SA"/>
    </w:rPr>
  </w:style>
  <w:style w:type="paragraph" w:customStyle="1" w:styleId="79">
    <w:name w:val="样式 45 10 磅"/>
    <w:pPr>
      <w:widowControl w:val="0"/>
      <w:jc w:val="both"/>
    </w:pPr>
    <w:rPr>
      <w:rFonts w:ascii="Calibri" w:eastAsia="宋体" w:cs="Arial" w:hAnsi="Calibri"/>
      <w:kern w:val="2"/>
      <w:sz w:val="21"/>
      <w:szCs w:val="22"/>
      <w:lang w:val="en-US" w:eastAsia="zh-CN" w:bidi="ar-SA"/>
    </w:rPr>
  </w:style>
  <w:style w:type="paragraph" w:customStyle="1" w:styleId="80">
    <w:name w:val="样式 46 10 磅"/>
    <w:pPr>
      <w:widowControl w:val="0"/>
      <w:jc w:val="both"/>
    </w:pPr>
    <w:rPr>
      <w:rFonts w:ascii="Calibri" w:eastAsia="宋体" w:cs="Arial" w:hAnsi="Calibri"/>
      <w:kern w:val="2"/>
      <w:sz w:val="21"/>
      <w:szCs w:val="22"/>
      <w:lang w:val="en-US" w:eastAsia="zh-CN" w:bidi="ar-SA"/>
    </w:rPr>
  </w:style>
  <w:style w:type="paragraph" w:customStyle="1" w:styleId="81">
    <w:name w:val="样式 47 10 磅"/>
    <w:pPr>
      <w:widowControl w:val="0"/>
      <w:jc w:val="both"/>
    </w:pPr>
    <w:rPr>
      <w:rFonts w:ascii="Calibri" w:eastAsia="宋体" w:cs="Arial" w:hAnsi="Calibri"/>
      <w:kern w:val="2"/>
      <w:sz w:val="21"/>
      <w:szCs w:val="22"/>
      <w:lang w:val="en-US" w:eastAsia="zh-CN" w:bidi="ar-SA"/>
    </w:rPr>
  </w:style>
  <w:style w:type="paragraph" w:customStyle="1" w:styleId="82">
    <w:name w:val="样式 48 10 磅"/>
    <w:pPr>
      <w:widowControl w:val="0"/>
      <w:jc w:val="both"/>
    </w:pPr>
    <w:rPr>
      <w:rFonts w:ascii="Calibri" w:eastAsia="宋体" w:cs="Arial" w:hAnsi="Calibri"/>
      <w:kern w:val="2"/>
      <w:sz w:val="21"/>
      <w:szCs w:val="22"/>
      <w:lang w:val="en-US" w:eastAsia="zh-CN" w:bidi="ar-SA"/>
    </w:rPr>
  </w:style>
  <w:style w:type="paragraph" w:customStyle="1" w:styleId="83">
    <w:name w:val="样式 49 10 磅"/>
    <w:pPr>
      <w:widowControl w:val="0"/>
      <w:jc w:val="both"/>
    </w:pPr>
    <w:rPr>
      <w:rFonts w:ascii="Calibri" w:eastAsia="宋体" w:cs="Arial" w:hAnsi="Calibri"/>
      <w:kern w:val="2"/>
      <w:sz w:val="21"/>
      <w:szCs w:val="22"/>
      <w:lang w:val="en-US" w:eastAsia="zh-CN" w:bidi="ar-SA"/>
    </w:rPr>
  </w:style>
  <w:style w:type="paragraph" w:customStyle="1" w:styleId="84">
    <w:name w:val="样式 50 10 磅"/>
    <w:pPr>
      <w:widowControl w:val="0"/>
      <w:jc w:val="both"/>
    </w:pPr>
    <w:rPr>
      <w:rFonts w:ascii="Calibri" w:eastAsia="宋体" w:cs="Arial" w:hAnsi="Calibri"/>
      <w:kern w:val="2"/>
      <w:sz w:val="21"/>
      <w:szCs w:val="22"/>
      <w:lang w:val="en-US" w:eastAsia="zh-CN" w:bidi="ar-SA"/>
    </w:rPr>
  </w:style>
  <w:style w:type="paragraph" w:styleId="85">
    <w:name w:val="annotation text"/>
    <w:basedOn w:val="0"/>
    <w:pPr>
      <w:jc w:val="left"/>
    </w:pPr>
  </w:style>
  <w:style w:type="paragraph" w:styleId="86">
    <w:name w:val="annotation subject"/>
    <w:basedOn w:val="85"/>
    <w:next w:val="85"/>
    <w:rPr>
      <w:b/>
    </w:rPr>
  </w:style>
  <w:style w:type="paragraph" w:customStyle="1" w:styleId="87">
    <w:name w:val="样式 51 10 磅"/>
    <w:pPr>
      <w:widowControl w:val="0"/>
      <w:jc w:val="both"/>
    </w:pPr>
    <w:rPr>
      <w:rFonts w:ascii="Calibri" w:eastAsia="宋体" w:cs="Arial" w:hAnsi="Calibri"/>
      <w:kern w:val="2"/>
      <w:sz w:val="21"/>
      <w:szCs w:val="22"/>
      <w:lang w:val="en-US" w:eastAsia="zh-CN" w:bidi="ar-SA"/>
    </w:rPr>
  </w:style>
  <w:style w:type="paragraph" w:customStyle="1" w:styleId="88">
    <w:name w:val="样式 52 10 磅"/>
    <w:pPr>
      <w:widowControl w:val="0"/>
      <w:jc w:val="both"/>
    </w:pPr>
    <w:rPr>
      <w:rFonts w:ascii="Calibri" w:eastAsia="宋体" w:cs="Arial" w:hAnsi="Calibri"/>
      <w:kern w:val="2"/>
      <w:sz w:val="21"/>
      <w:szCs w:val="22"/>
      <w:lang w:val="en-US" w:eastAsia="zh-CN" w:bidi="ar-SA"/>
    </w:rPr>
  </w:style>
  <w:style w:type="paragraph" w:customStyle="1" w:styleId="89">
    <w:name w:val="样式 53 10 磅"/>
    <w:pPr>
      <w:widowControl w:val="0"/>
      <w:jc w:val="both"/>
    </w:pPr>
    <w:rPr>
      <w:rFonts w:ascii="Calibri" w:eastAsia="宋体" w:cs="Arial" w:hAnsi="Calibri"/>
      <w:kern w:val="2"/>
      <w:sz w:val="21"/>
      <w:szCs w:val="22"/>
      <w:lang w:val="en-US" w:eastAsia="zh-CN" w:bidi="ar-SA"/>
    </w:rPr>
  </w:style>
  <w:style w:type="paragraph" w:customStyle="1" w:styleId="90">
    <w:name w:val="样式 小五"/>
    <w:pPr>
      <w:widowControl w:val="0"/>
      <w:tabs>
        <w:tab w:val="center" w:pos="4153"/>
        <w:tab w:val="right" w:pos="8306"/>
      </w:tabs>
      <w:snapToGrid w:val="0"/>
      <w:jc w:val="left"/>
    </w:pPr>
    <w:rPr>
      <w:rFonts w:ascii="Times New Roman" w:eastAsia="方正仿宋_GBK" w:cs="Times New Roman" w:hAnsi="Times New Roman"/>
      <w:kern w:val="2"/>
      <w:sz w:val="18"/>
      <w:szCs w:val="18"/>
      <w:lang w:val="en-US" w:eastAsia="zh-CN" w:bidi="ar-SA"/>
    </w:rPr>
  </w:style>
  <w:style w:type="paragraph" w:customStyle="1" w:styleId="91">
    <w:name w:val="样式 4 小四"/>
    <w:next w:val="76"/>
    <w:pPr>
      <w:widowControl w:val="0"/>
      <w:spacing w:before="100" w:beforeAutospacing="1" w:after="100" w:afterAutospacing="1"/>
    </w:pPr>
    <w:rPr>
      <w:rFonts w:ascii="Times New Roman" w:eastAsia="宋体" w:cs="Times New Roman" w:hAnsi="Times New Roman"/>
      <w:sz w:val="24"/>
      <w:szCs w:val="24"/>
      <w:lang w:val="en-US" w:eastAsia="zh-CN" w:bidi="ar-SA"/>
    </w:rPr>
  </w:style>
  <w:style w:type="paragraph" w:customStyle="1" w:styleId="92">
    <w:name w:val="样式 54 10 磅"/>
    <w:pPr>
      <w:widowControl w:val="0"/>
      <w:jc w:val="both"/>
    </w:pPr>
    <w:rPr>
      <w:rFonts w:ascii="Calibri" w:eastAsia="宋体" w:cs="Arial" w:hAnsi="Calibri"/>
      <w:kern w:val="2"/>
      <w:sz w:val="21"/>
      <w:szCs w:val="22"/>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658</TotalTime>
  <Application>Yozo_Office</Application>
  <Pages>7</Pages>
  <Words>2742</Words>
  <Characters>2834</Characters>
  <Lines>438</Lines>
  <Paragraphs>316</Paragraphs>
  <CharactersWithSpaces>2854</CharactersWithSpaces>
  <Company>Microsoft</Company>
</Properties>
</file>

<file path=docProps/core.xml><?xml version="1.0" encoding="utf-8"?>
<cp:coreProperties xmlns:cp="http://schemas.openxmlformats.org/package/2006/metadata/core-properties" xmlns:dc="http://purl.org/dc/elements/1.1/" xmlns:dcterms="http://purl.org/dc/terms/" xmlns:xsi="http://www.w3.org/2001/XMLSchema-instance">
  <dc:creator>白磊</dc:creator>
  <cp:lastModifiedBy>Microsoft</cp:lastModifiedBy>
  <cp:revision>3</cp:revision>
  <dcterms:created xsi:type="dcterms:W3CDTF">2025-01-13T05:42:00Z</dcterms:created>
  <dcterms:modified xsi:type="dcterms:W3CDTF">2026-01-26T08:56:03Z</dcterms:modified>
</cp:coreProperties>
</file>