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方正黑体_GBK" w:eastAsia="方正黑体_GBK"/>
          <w:sz w:val="32"/>
          <w:szCs w:val="32"/>
        </w:rPr>
      </w:pPr>
    </w:p>
    <w:p>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广州海关关区基层政务公开标准化规范化</w:t>
      </w:r>
    </w:p>
    <w:p>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工作实施方</w:t>
      </w:r>
      <w:bookmarkStart w:id="0" w:name="_GoBack"/>
      <w:bookmarkEnd w:id="0"/>
      <w:r>
        <w:rPr>
          <w:rFonts w:ascii="Times New Roman" w:eastAsia="方正小标宋_GBK" w:hAnsi="Times New Roman"/>
          <w:sz w:val="44"/>
          <w:szCs w:val="44"/>
        </w:rPr>
        <w:t>案（征求意见稿）</w:t>
      </w:r>
    </w:p>
    <w:p>
      <w:pPr>
        <w:spacing w:line="560" w:lineRule="exact"/>
        <w:ind w:firstLineChars="200" w:firstLine="640"/>
        <w:rPr>
          <w:rFonts w:ascii="Times New Roman" w:eastAsia="方正仿宋_GBK" w:hAnsi="Times New Roman"/>
          <w:sz w:val="32"/>
          <w:szCs w:val="32"/>
        </w:rPr>
      </w:pPr>
    </w:p>
    <w:p>
      <w:pPr>
        <w:adjustRightInd w:val="0"/>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为深入贯彻落实《中华人民共和国政府信息公开条例》（以下简称《条例》）、《国务院办公厅关于全面推进基层政务公开标准化规范化工作的指导意见》（国办发〔2019〕54号）、《国务院关于加快推进政务服务标准化规范化便利化的指导意见》（国发〔2022〕5号）、《海关总署办公厅关于全面推进海关领域基层政务公开标准化规范化工作的通知》（署办发〔2021〕23号），现结合关区实际，按照</w:t>
      </w:r>
      <w:r>
        <w:rPr>
          <w:rFonts w:ascii="Times New Roman" w:eastAsia="方正仿宋_GBK" w:hAnsi="Times New Roman" w:hint="eastAsia"/>
          <w:sz w:val="32"/>
          <w:szCs w:val="32"/>
        </w:rPr>
        <w:t>“</w:t>
      </w:r>
      <w:r>
        <w:rPr>
          <w:rFonts w:ascii="Times New Roman" w:eastAsia="方正仿宋_GBK" w:hAnsi="Times New Roman"/>
          <w:sz w:val="32"/>
          <w:szCs w:val="32"/>
        </w:rPr>
        <w:t>先试点、后推开</w:t>
      </w:r>
      <w:r>
        <w:rPr>
          <w:rFonts w:ascii="Times New Roman" w:eastAsia="方正仿宋_GBK" w:hAnsi="Times New Roman" w:hint="eastAsia"/>
          <w:sz w:val="32"/>
          <w:szCs w:val="32"/>
        </w:rPr>
        <w:t>”</w:t>
      </w:r>
      <w:r>
        <w:rPr>
          <w:rFonts w:ascii="Times New Roman" w:eastAsia="方正仿宋_GBK" w:hAnsi="Times New Roman"/>
          <w:sz w:val="32"/>
          <w:szCs w:val="32"/>
        </w:rPr>
        <w:t>的工作思路，全面推进广州海关基层政务公开标准化规范化建设工作，制定工作方案如下：</w:t>
      </w:r>
    </w:p>
    <w:p>
      <w:pPr>
        <w:adjustRightIn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一、指导思想</w:t>
      </w:r>
    </w:p>
    <w:p>
      <w:pPr>
        <w:pStyle w:val="19"/>
        <w:shd w:val="clear" w:color="auto" w:fill="FFFFFF"/>
        <w:adjustRightInd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以习近平新时代中国特色社会主义思想为指导，全面贯彻党的十九大和十九届历次全会精神，深入落实党中央、国务院有关决策部署，切实依照海关总署相关规定要求，严格执行《条例》和有关法律法规，坚持以人民为中心的发展思想，准确把握新时代海关政务公开工作的职责定位和面临的新形势新要求，着力加强基层海关政务公开标准化规范化建设，全面推进决策公开、执行公开、管理公开、服务公开、结果公开，确保工作成果惠及于民，切实为企业公众办实事、解难题。</w:t>
      </w:r>
    </w:p>
    <w:p>
      <w:pPr>
        <w:adjustRightInd w:val="0"/>
        <w:spacing w:line="560" w:lineRule="exact"/>
        <w:ind w:firstLineChars="200" w:firstLine="640"/>
        <w:rPr>
          <w:rFonts w:ascii="Times New Roman" w:eastAsia="方正楷体_GBK" w:hAnsi="Times New Roman"/>
          <w:b/>
          <w:sz w:val="32"/>
          <w:szCs w:val="32"/>
        </w:rPr>
      </w:pPr>
      <w:r>
        <w:rPr>
          <w:rFonts w:ascii="Times New Roman" w:eastAsia="方正黑体_GBK" w:hAnsi="Times New Roman"/>
          <w:sz w:val="32"/>
          <w:szCs w:val="32"/>
        </w:rPr>
        <w:t>二、目标要求</w:t>
      </w:r>
    </w:p>
    <w:p>
      <w:pPr>
        <w:adjustRightInd w:val="0"/>
        <w:spacing w:line="56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（一）坚持依法依规、条块有序。</w:t>
      </w:r>
    </w:p>
    <w:p>
      <w:pPr>
        <w:adjustRightInd w:val="0"/>
        <w:spacing w:line="560" w:lineRule="exact"/>
        <w:ind w:firstLineChars="200" w:firstLine="640"/>
        <w:rPr>
          <w:rFonts w:ascii="Times New Roman" w:eastAsia="方正楷体_GBK" w:hAnsi="Times New Roman"/>
          <w:b/>
          <w:sz w:val="32"/>
          <w:szCs w:val="32"/>
        </w:rPr>
      </w:pPr>
      <w:r>
        <w:rPr>
          <w:rFonts w:ascii="Times New Roman" w:eastAsia="方正仿宋_GBK" w:hAnsi="Times New Roman"/>
          <w:sz w:val="32"/>
          <w:szCs w:val="32"/>
        </w:rPr>
        <w:t>在依法合规的工作原则下，加快推动广州海关、隶属海关以及所属具有公共服务职能的企事业单位信息公开工作，切实履行政务公开法定职责。所属企事业单位应当遵循本领域国务院主管部门制定的有关公共企事业单位信息公开规定，对于教育、卫生健康等本领域尚无信息公开规定或规定中未涉及公开事项，可参照本方案执行。</w:t>
      </w:r>
    </w:p>
    <w:p>
      <w:pPr>
        <w:adjustRightInd w:val="0"/>
        <w:spacing w:line="56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（二）力求利企便民、与时俱进。</w:t>
      </w:r>
    </w:p>
    <w:p>
      <w:pPr>
        <w:adjustRightIn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坚持以人民为中心的新时代政务公开工作理念，各项工作部署均要着眼于群众实际需求、落脚于群众是否满意，增强基层政务公开的针对性、实效性，真正让企业与群众看得到、用得上。立足基层和口岸现场实际探索创新，推行</w:t>
      </w:r>
      <w:r>
        <w:rPr>
          <w:rFonts w:ascii="Times New Roman" w:eastAsia="方正仿宋_GBK" w:hAnsi="Times New Roman" w:hint="eastAsia"/>
          <w:sz w:val="32"/>
          <w:szCs w:val="32"/>
        </w:rPr>
        <w:t>“</w:t>
      </w:r>
      <w:r>
        <w:rPr>
          <w:rFonts w:ascii="Times New Roman" w:eastAsia="方正仿宋_GBK" w:hAnsi="Times New Roman"/>
          <w:sz w:val="32"/>
          <w:szCs w:val="32"/>
        </w:rPr>
        <w:t>互联网+政务服务</w:t>
      </w:r>
      <w:r>
        <w:rPr>
          <w:rFonts w:ascii="Times New Roman" w:eastAsia="方正仿宋_GBK" w:hAnsi="Times New Roman" w:hint="eastAsia"/>
          <w:sz w:val="32"/>
          <w:szCs w:val="32"/>
        </w:rPr>
        <w:t>”</w:t>
      </w:r>
      <w:r>
        <w:rPr>
          <w:rFonts w:ascii="Times New Roman" w:eastAsia="方正仿宋_GBK" w:hAnsi="Times New Roman"/>
          <w:sz w:val="32"/>
          <w:szCs w:val="32"/>
        </w:rPr>
        <w:t>，梳理整合现有硬件设施资源，挖掘软件服务能力，扩大海关政务服务发声能力，提升关区政务服务水平。</w:t>
      </w:r>
    </w:p>
    <w:p>
      <w:pPr>
        <w:adjustRightInd w:val="0"/>
        <w:spacing w:line="560" w:lineRule="exact"/>
        <w:ind w:firstLineChars="147" w:firstLine="470"/>
        <w:rPr>
          <w:rFonts w:ascii="Times New Roman" w:eastAsia="方正楷体_GBK" w:hAnsi="Times New Roman"/>
          <w:sz w:val="32"/>
          <w:szCs w:val="32"/>
        </w:rPr>
      </w:pPr>
      <w:r>
        <w:rPr>
          <w:rFonts w:ascii="Times New Roman" w:eastAsia="方正楷体_GBK" w:hAnsi="Times New Roman"/>
          <w:sz w:val="32"/>
          <w:szCs w:val="32"/>
        </w:rPr>
        <w:t>（三）重视岗位责任、品牌培树。</w:t>
      </w:r>
    </w:p>
    <w:p>
      <w:pPr>
        <w:adjustRightIn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要充分认识全面推进海关领域基层政务公开标准化、规范化的作用意义，坚持以最高标准、最严要求开展海关政务公开标准化规范化建设，将政务公开意识融入各项中心工作之中。压紧压实岗位责任，明确三级组织领导责任、明确隶属海关办公室是政务公开工作负责机构、明确政务公开经办专岗，扎实推进各项工作任务在关区落地生根见实效。正确看待社会上各类第三方评估结果，原则上不得以机关名义领取民间奖励，不选择性参加评估结果对本关有利的发布会、论坛等民间活动。</w:t>
      </w:r>
    </w:p>
    <w:p>
      <w:pPr>
        <w:adjustRightIn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三、工作任务</w:t>
      </w:r>
      <w:r>
        <w:rPr>
          <w:rFonts w:ascii="Times New Roman" w:eastAsia="方正黑体_GBK" w:hAnsi="Times New Roman" w:hint="eastAsia"/>
          <w:sz w:val="32"/>
          <w:szCs w:val="32"/>
        </w:rPr>
        <w:t>“</w:t>
      </w:r>
      <w:r>
        <w:rPr>
          <w:rFonts w:ascii="Times New Roman" w:eastAsia="方正黑体_GBK" w:hAnsi="Times New Roman"/>
          <w:sz w:val="32"/>
          <w:szCs w:val="32"/>
        </w:rPr>
        <w:t>三通</w:t>
      </w:r>
      <w:r>
        <w:rPr>
          <w:rFonts w:ascii="Times New Roman" w:eastAsia="方正黑体_GBK" w:hAnsi="Times New Roman" w:hint="eastAsia"/>
          <w:sz w:val="32"/>
          <w:szCs w:val="32"/>
        </w:rPr>
        <w:t>”</w:t>
      </w:r>
      <w:r>
        <w:rPr>
          <w:rFonts w:ascii="Times New Roman" w:eastAsia="方正黑体_GBK" w:hAnsi="Times New Roman"/>
          <w:sz w:val="32"/>
          <w:szCs w:val="32"/>
        </w:rPr>
        <w:t>路线图</w:t>
      </w:r>
    </w:p>
    <w:p>
      <w:pPr>
        <w:adjustRightIn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各部门单位要以企业公众需求为导向，尊重政务公开互动规律，共同走好关区</w:t>
      </w:r>
      <w:r>
        <w:rPr>
          <w:rFonts w:ascii="Times New Roman" w:eastAsia="方正仿宋_GBK" w:hAnsi="Times New Roman" w:hint="eastAsia"/>
          <w:sz w:val="32"/>
          <w:szCs w:val="32"/>
        </w:rPr>
        <w:t>“标准‘通表’——主动‘通晓’——互动‘通畅’”的“三通”路线图</w:t>
      </w:r>
      <w:r>
        <w:rPr>
          <w:rFonts w:ascii="Times New Roman" w:eastAsia="方正仿宋_GBK" w:hAnsi="Times New Roman"/>
          <w:sz w:val="32"/>
          <w:szCs w:val="32"/>
        </w:rPr>
        <w:t>，逐步形成广州海关基层政务公开标准化规范化体系。</w:t>
      </w:r>
    </w:p>
    <w:p>
      <w:pPr>
        <w:spacing w:line="560" w:lineRule="exact"/>
        <w:ind w:firstLine="643"/>
        <w:rPr>
          <w:rFonts w:ascii="Times New Roman" w:eastAsia="方正楷体_GBK" w:hAnsi="Times New Roman"/>
          <w:sz w:val="32"/>
          <w:szCs w:val="32"/>
        </w:rPr>
      </w:pPr>
      <w:r>
        <w:rPr>
          <w:rFonts w:ascii="Times New Roman" w:eastAsia="方正楷体_GBK" w:hAnsi="Times New Roman"/>
          <w:sz w:val="32"/>
          <w:szCs w:val="32"/>
        </w:rPr>
        <w:t>（一）形成标准</w:t>
      </w:r>
      <w:r>
        <w:rPr>
          <w:rFonts w:ascii="Times New Roman" w:eastAsia="方正楷体_GBK" w:hAnsi="Times New Roman" w:hint="eastAsia"/>
          <w:sz w:val="32"/>
          <w:szCs w:val="32"/>
        </w:rPr>
        <w:t>“</w:t>
      </w:r>
      <w:r>
        <w:rPr>
          <w:rFonts w:ascii="Times New Roman" w:eastAsia="方正楷体_GBK" w:hAnsi="Times New Roman"/>
          <w:sz w:val="32"/>
          <w:szCs w:val="32"/>
        </w:rPr>
        <w:t>通表</w:t>
      </w:r>
      <w:r>
        <w:rPr>
          <w:rFonts w:ascii="Times New Roman" w:eastAsia="方正楷体_GBK" w:hAnsi="Times New Roman" w:hint="eastAsia"/>
          <w:sz w:val="32"/>
          <w:szCs w:val="32"/>
        </w:rPr>
        <w:t>”</w:t>
      </w:r>
      <w:r>
        <w:rPr>
          <w:rFonts w:ascii="Times New Roman" w:eastAsia="方正楷体_GBK" w:hAnsi="Times New Roman"/>
          <w:sz w:val="32"/>
          <w:szCs w:val="32"/>
        </w:rPr>
        <w:t>：梳理政务公开工作范畴，满足指引条目清晰、更新及时的要求。</w:t>
      </w:r>
    </w:p>
    <w:p>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责任部门：各隶属海关。</w:t>
      </w:r>
    </w:p>
    <w:p>
      <w:pPr>
        <w:spacing w:line="560" w:lineRule="exact"/>
        <w:ind w:firstLineChars="196" w:firstLine="627"/>
        <w:rPr>
          <w:rFonts w:ascii="Times New Roman" w:eastAsia="方正仿宋_GBK" w:hAnsi="Times New Roman"/>
          <w:b/>
          <w:sz w:val="32"/>
          <w:szCs w:val="32"/>
        </w:rPr>
      </w:pPr>
      <w:r>
        <w:rPr>
          <w:rFonts w:ascii="Times New Roman" w:eastAsia="方正仿宋_GBK" w:hAnsi="Times New Roman"/>
          <w:b/>
          <w:sz w:val="32"/>
          <w:szCs w:val="32"/>
        </w:rPr>
        <w:t>1.编制标准</w:t>
      </w:r>
      <w:r>
        <w:rPr>
          <w:rFonts w:ascii="Times New Roman" w:eastAsia="方正仿宋_GBK" w:hAnsi="Times New Roman" w:hint="eastAsia"/>
          <w:b/>
          <w:sz w:val="32"/>
          <w:szCs w:val="32"/>
        </w:rPr>
        <w:t>“</w:t>
      </w:r>
      <w:r>
        <w:rPr>
          <w:rFonts w:ascii="Times New Roman" w:eastAsia="方正仿宋_GBK" w:hAnsi="Times New Roman"/>
          <w:b/>
          <w:sz w:val="32"/>
          <w:szCs w:val="32"/>
        </w:rPr>
        <w:t>目录</w:t>
      </w:r>
      <w:r>
        <w:rPr>
          <w:rFonts w:ascii="Times New Roman" w:eastAsia="方正仿宋_GBK" w:hAnsi="Times New Roman" w:hint="eastAsia"/>
          <w:b/>
          <w:sz w:val="32"/>
          <w:szCs w:val="32"/>
        </w:rPr>
        <w:t>”</w:t>
      </w:r>
      <w:r>
        <w:rPr>
          <w:rFonts w:ascii="Times New Roman" w:eastAsia="方正仿宋_GBK" w:hAnsi="Times New Roman"/>
          <w:b/>
          <w:sz w:val="32"/>
          <w:szCs w:val="32"/>
        </w:rPr>
        <w:t>。</w:t>
      </w:r>
    </w:p>
    <w:p>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各隶属海关应当对照《海关领域基层政务公开标准目录》《广州海关关区基层政务公开标准事项目录》，结合自身实际和相对人需求进一步梳理、补充、细化各项要素，编制《xx海关政务公开标准事项目录》并对标执行，主动公开本关区涉及公众利益、需要公众广泛知晓、需要公众参与决策等海关政务公开情况，并结合发展趋势动态更新目录内容。</w:t>
      </w:r>
    </w:p>
    <w:p>
      <w:pPr>
        <w:spacing w:line="560" w:lineRule="exact"/>
        <w:ind w:firstLineChars="195" w:firstLine="624"/>
        <w:rPr>
          <w:rFonts w:ascii="Times New Roman" w:eastAsia="方正仿宋_GBK" w:hAnsi="Times New Roman"/>
          <w:b/>
          <w:sz w:val="32"/>
          <w:szCs w:val="32"/>
        </w:rPr>
      </w:pPr>
      <w:r>
        <w:rPr>
          <w:rFonts w:ascii="Times New Roman" w:eastAsia="方正仿宋_GBK" w:hAnsi="Times New Roman"/>
          <w:b/>
          <w:sz w:val="32"/>
          <w:szCs w:val="32"/>
        </w:rPr>
        <w:t>2.规范管理流程。</w:t>
      </w:r>
    </w:p>
    <w:p>
      <w:pPr>
        <w:spacing w:line="560" w:lineRule="exact"/>
        <w:ind w:firstLineChars="195" w:firstLine="624"/>
        <w:rPr>
          <w:rFonts w:ascii="Times New Roman" w:eastAsia="方正仿宋_GBK" w:hAnsi="Times New Roman"/>
          <w:sz w:val="32"/>
          <w:szCs w:val="32"/>
        </w:rPr>
      </w:pPr>
      <w:r>
        <w:rPr>
          <w:rFonts w:ascii="Times New Roman" w:eastAsia="方正仿宋_GBK" w:hAnsi="Times New Roman"/>
          <w:sz w:val="32"/>
          <w:szCs w:val="32"/>
        </w:rPr>
        <w:t>各隶属海关应当严格遵守《条例》规定，按照</w:t>
      </w:r>
      <w:r>
        <w:rPr>
          <w:rFonts w:ascii="Times New Roman" w:eastAsia="方正仿宋_GBK" w:hAnsi="Times New Roman" w:hint="eastAsia"/>
          <w:sz w:val="32"/>
          <w:szCs w:val="32"/>
        </w:rPr>
        <w:t>“</w:t>
      </w:r>
      <w:r>
        <w:rPr>
          <w:rFonts w:ascii="Times New Roman" w:eastAsia="方正仿宋_GBK" w:hAnsi="Times New Roman"/>
          <w:sz w:val="32"/>
          <w:szCs w:val="32"/>
        </w:rPr>
        <w:t>谁制作、谁公开</w:t>
      </w:r>
      <w:r>
        <w:rPr>
          <w:rFonts w:ascii="Times New Roman" w:eastAsia="方正仿宋_GBK" w:hAnsi="Times New Roman" w:hint="eastAsia"/>
          <w:sz w:val="32"/>
          <w:szCs w:val="32"/>
        </w:rPr>
        <w:t>”“</w:t>
      </w:r>
      <w:r>
        <w:rPr>
          <w:rFonts w:ascii="Times New Roman" w:eastAsia="方正仿宋_GBK" w:hAnsi="Times New Roman"/>
          <w:sz w:val="32"/>
          <w:szCs w:val="32"/>
        </w:rPr>
        <w:t>谁公开、谁审查</w:t>
      </w:r>
      <w:r>
        <w:rPr>
          <w:rFonts w:ascii="Times New Roman" w:eastAsia="方正仿宋_GBK" w:hAnsi="Times New Roman" w:hint="eastAsia"/>
          <w:sz w:val="32"/>
          <w:szCs w:val="32"/>
        </w:rPr>
        <w:t>”“</w:t>
      </w:r>
      <w:r>
        <w:rPr>
          <w:rFonts w:ascii="Times New Roman" w:eastAsia="方正仿宋_GBK" w:hAnsi="Times New Roman"/>
          <w:sz w:val="32"/>
          <w:szCs w:val="32"/>
        </w:rPr>
        <w:t>先审查、后公开</w:t>
      </w:r>
      <w:r>
        <w:rPr>
          <w:rFonts w:ascii="Times New Roman" w:eastAsia="方正仿宋_GBK" w:hAnsi="Times New Roman" w:hint="eastAsia"/>
          <w:sz w:val="32"/>
          <w:szCs w:val="32"/>
        </w:rPr>
        <w:t>”</w:t>
      </w:r>
      <w:r>
        <w:rPr>
          <w:rFonts w:ascii="Times New Roman" w:eastAsia="方正仿宋_GBK" w:hAnsi="Times New Roman"/>
          <w:sz w:val="32"/>
          <w:szCs w:val="32"/>
        </w:rPr>
        <w:t>的原则，参照《广州海关政府信息公开工作规程》，结合自身机构设置，梳理内部政府信息管理工作流程，梳理主动公开、依申请公开、信息发布保密审查、信息资源公开属性管理、监督保障等工作流程，杜绝涉密、涉个人隐私和其他不应当公开信息违规发布。各隶属海关应当制作、公开《xx海关政府信息公开指南》，畅通各申请渠道并承担相应的法律义务，专门说明使用注意事项，防止因遗漏、延误、内部衔接不畅等问题损害相对人合法权益，最大限度减少不必要的行政争议。</w:t>
      </w:r>
    </w:p>
    <w:p>
      <w:pPr>
        <w:spacing w:line="560" w:lineRule="exact"/>
        <w:ind w:firstLineChars="196" w:firstLine="627"/>
        <w:rPr>
          <w:rFonts w:ascii="Times New Roman" w:eastAsia="方正仿宋_GBK" w:hAnsi="Times New Roman"/>
          <w:b/>
          <w:sz w:val="32"/>
          <w:szCs w:val="32"/>
        </w:rPr>
      </w:pPr>
      <w:r>
        <w:rPr>
          <w:rFonts w:ascii="Times New Roman" w:eastAsia="方正仿宋_GBK" w:hAnsi="Times New Roman"/>
          <w:b/>
          <w:sz w:val="32"/>
          <w:szCs w:val="32"/>
        </w:rPr>
        <w:t>3.加强工作统筹。</w:t>
      </w:r>
    </w:p>
    <w:p>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各隶属海关要开展调研、摸清底数，掌握本关政务公开工作现状、问题，企业公众政务公开需求和政策关注热点，将政务公开标准化规范化建设工作与基层党建、文明单位（窗口）创建、政风行风建设、志愿服务、营商环境优化、</w:t>
      </w:r>
      <w:r>
        <w:rPr>
          <w:rFonts w:ascii="Times New Roman" w:eastAsia="方正仿宋_GBK" w:hAnsi="Times New Roman" w:hint="eastAsia"/>
          <w:sz w:val="32"/>
          <w:szCs w:val="32"/>
        </w:rPr>
        <w:t>“</w:t>
      </w:r>
      <w:r>
        <w:rPr>
          <w:rFonts w:ascii="Times New Roman" w:eastAsia="方正仿宋_GBK" w:hAnsi="Times New Roman"/>
          <w:sz w:val="32"/>
          <w:szCs w:val="32"/>
        </w:rPr>
        <w:t>放管服</w:t>
      </w:r>
      <w:r>
        <w:rPr>
          <w:rFonts w:ascii="Times New Roman" w:eastAsia="方正仿宋_GBK" w:hAnsi="Times New Roman" w:hint="eastAsia"/>
          <w:sz w:val="32"/>
          <w:szCs w:val="32"/>
        </w:rPr>
        <w:t>”</w:t>
      </w:r>
      <w:r>
        <w:rPr>
          <w:rFonts w:ascii="Times New Roman" w:eastAsia="方正仿宋_GBK" w:hAnsi="Times New Roman"/>
          <w:sz w:val="32"/>
          <w:szCs w:val="32"/>
        </w:rPr>
        <w:t>改革、行政执法公示等工作统筹结合，形成工作合力，不搞重复建设，加强交流，做好保障。</w:t>
      </w:r>
    </w:p>
    <w:p>
      <w:pPr>
        <w:spacing w:line="560" w:lineRule="exact"/>
        <w:ind w:firstLineChars="147" w:firstLine="470"/>
        <w:rPr>
          <w:rFonts w:ascii="Times New Roman" w:eastAsia="方正楷体_GBK" w:hAnsi="Times New Roman"/>
          <w:sz w:val="32"/>
          <w:szCs w:val="32"/>
        </w:rPr>
      </w:pPr>
      <w:r>
        <w:rPr>
          <w:rFonts w:ascii="Times New Roman" w:eastAsia="方正楷体_GBK" w:hAnsi="Times New Roman"/>
          <w:sz w:val="32"/>
          <w:szCs w:val="32"/>
        </w:rPr>
        <w:t>（二）内容主动</w:t>
      </w:r>
      <w:r>
        <w:rPr>
          <w:rFonts w:ascii="Times New Roman" w:eastAsia="方正楷体_GBK" w:hAnsi="Times New Roman" w:hint="eastAsia"/>
          <w:sz w:val="32"/>
          <w:szCs w:val="32"/>
        </w:rPr>
        <w:t>“</w:t>
      </w:r>
      <w:r>
        <w:rPr>
          <w:rFonts w:ascii="Times New Roman" w:eastAsia="方正楷体_GBK" w:hAnsi="Times New Roman"/>
          <w:sz w:val="32"/>
          <w:szCs w:val="32"/>
        </w:rPr>
        <w:t>通晓</w:t>
      </w:r>
      <w:r>
        <w:rPr>
          <w:rFonts w:ascii="Times New Roman" w:eastAsia="方正楷体_GBK" w:hAnsi="Times New Roman" w:hint="eastAsia"/>
          <w:sz w:val="32"/>
          <w:szCs w:val="32"/>
        </w:rPr>
        <w:t>”</w:t>
      </w:r>
      <w:r>
        <w:rPr>
          <w:rFonts w:ascii="Times New Roman" w:eastAsia="方正楷体_GBK" w:hAnsi="Times New Roman"/>
          <w:sz w:val="32"/>
          <w:szCs w:val="32"/>
        </w:rPr>
        <w:t>——打造海关政策红利释放平台，鼓励关地合作，拓展公开渠道，实现精准投送。</w:t>
      </w:r>
    </w:p>
    <w:p>
      <w:pPr>
        <w:spacing w:line="560" w:lineRule="exact"/>
        <w:ind w:firstLineChars="193" w:firstLine="618"/>
        <w:rPr>
          <w:rFonts w:ascii="Times New Roman" w:eastAsia="方正仿宋_GBK" w:hAnsi="Times New Roman"/>
          <w:sz w:val="32"/>
          <w:szCs w:val="32"/>
        </w:rPr>
      </w:pPr>
      <w:r>
        <w:rPr>
          <w:rFonts w:ascii="Times New Roman" w:eastAsia="方正仿宋_GBK" w:hAnsi="Times New Roman"/>
          <w:sz w:val="32"/>
          <w:szCs w:val="32"/>
        </w:rPr>
        <w:t>责任部门：各职能部门、各隶属海关及所属事业单位。</w:t>
      </w:r>
    </w:p>
    <w:p>
      <w:pPr>
        <w:pStyle w:val="20"/>
        <w:adjustRightInd w:val="0"/>
        <w:spacing w:line="560" w:lineRule="exact"/>
        <w:rPr>
          <w:rFonts w:ascii="Times New Roman" w:eastAsia="方正仿宋_GBK" w:hAnsi="Times New Roman"/>
          <w:b/>
          <w:sz w:val="32"/>
          <w:szCs w:val="32"/>
        </w:rPr>
      </w:pPr>
      <w:r>
        <w:rPr>
          <w:rFonts w:ascii="Times New Roman" w:eastAsia="方正仿宋_GBK" w:hAnsi="Times New Roman" w:hint="eastAsia"/>
          <w:b/>
          <w:sz w:val="32"/>
          <w:szCs w:val="32"/>
        </w:rPr>
        <w:t>4</w:t>
      </w:r>
      <w:r>
        <w:rPr>
          <w:rFonts w:ascii="Times New Roman" w:eastAsia="方正仿宋_GBK" w:hAnsi="Times New Roman"/>
          <w:b/>
          <w:sz w:val="32"/>
          <w:szCs w:val="32"/>
        </w:rPr>
        <w:t>.夯实、拓宽主动公开渠道。</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各部门单位应当因地制宜、实事求是，以利企便民、实用好用为原则，充分发挥门户网站和新媒体第一公开平台、对外现场最直接公开平台的基础作用。规划建设、管好用好广州海关官网、</w:t>
      </w:r>
      <w:r>
        <w:rPr>
          <w:rFonts w:ascii="Times New Roman" w:eastAsia="方正仿宋_GBK" w:hAnsi="Times New Roman" w:hint="eastAsia"/>
          <w:sz w:val="32"/>
          <w:szCs w:val="32"/>
        </w:rPr>
        <w:t>“</w:t>
      </w:r>
      <w:r>
        <w:rPr>
          <w:rFonts w:ascii="Times New Roman" w:eastAsia="方正仿宋_GBK" w:hAnsi="Times New Roman"/>
          <w:sz w:val="32"/>
          <w:szCs w:val="32"/>
        </w:rPr>
        <w:t>广州海关12360</w:t>
      </w:r>
      <w:r>
        <w:rPr>
          <w:rFonts w:ascii="Times New Roman" w:eastAsia="方正仿宋_GBK" w:hAnsi="Times New Roman" w:hint="eastAsia"/>
          <w:sz w:val="32"/>
          <w:szCs w:val="32"/>
        </w:rPr>
        <w:t>”</w:t>
      </w:r>
      <w:r>
        <w:rPr>
          <w:rFonts w:ascii="Times New Roman" w:eastAsia="方正仿宋_GBK" w:hAnsi="Times New Roman"/>
          <w:sz w:val="32"/>
          <w:szCs w:val="32"/>
        </w:rPr>
        <w:t>微信微博、隶属海关单位微信公众号矩阵、现场公示栏、电子屏、公用终端等公开渠道，完善</w:t>
      </w:r>
      <w:r>
        <w:rPr>
          <w:rFonts w:ascii="Times New Roman" w:eastAsia="方正仿宋_GBK" w:hAnsi="Times New Roman"/>
          <w:bCs/>
          <w:sz w:val="32"/>
          <w:szCs w:val="32"/>
        </w:rPr>
        <w:t>隶属海关</w:t>
      </w:r>
      <w:r>
        <w:rPr>
          <w:rFonts w:ascii="Times New Roman" w:eastAsia="方正仿宋_GBK" w:hAnsi="Times New Roman"/>
          <w:sz w:val="32"/>
          <w:szCs w:val="32"/>
        </w:rPr>
        <w:t>栏目及内容，做到公开信息实时可用。推广使用</w:t>
      </w:r>
      <w:r>
        <w:rPr>
          <w:rFonts w:ascii="Times New Roman" w:eastAsia="方正仿宋_GBK" w:hAnsi="Times New Roman" w:hint="eastAsia"/>
          <w:sz w:val="32"/>
          <w:szCs w:val="32"/>
        </w:rPr>
        <w:t>“</w:t>
      </w:r>
      <w:r>
        <w:rPr>
          <w:rFonts w:ascii="Times New Roman" w:eastAsia="方正仿宋_GBK" w:hAnsi="Times New Roman"/>
          <w:sz w:val="32"/>
          <w:szCs w:val="32"/>
        </w:rPr>
        <w:t>广州海关12360</w:t>
      </w:r>
      <w:r>
        <w:rPr>
          <w:rFonts w:ascii="Times New Roman" w:eastAsia="方正仿宋_GBK" w:hAnsi="Times New Roman" w:hint="eastAsia"/>
          <w:sz w:val="32"/>
          <w:szCs w:val="32"/>
        </w:rPr>
        <w:t>”“</w:t>
      </w:r>
      <w:r>
        <w:rPr>
          <w:rFonts w:ascii="Times New Roman" w:eastAsia="方正仿宋_GBK" w:hAnsi="Times New Roman"/>
          <w:sz w:val="32"/>
          <w:szCs w:val="32"/>
        </w:rPr>
        <w:t>指尖服务</w:t>
      </w:r>
      <w:r>
        <w:rPr>
          <w:rFonts w:ascii="Times New Roman" w:eastAsia="方正仿宋_GBK" w:hAnsi="Times New Roman" w:hint="eastAsia"/>
          <w:sz w:val="32"/>
          <w:szCs w:val="32"/>
        </w:rPr>
        <w:t>”</w:t>
      </w:r>
      <w:r>
        <w:rPr>
          <w:rFonts w:ascii="Times New Roman" w:eastAsia="方正仿宋_GBK" w:hAnsi="Times New Roman"/>
          <w:sz w:val="32"/>
          <w:szCs w:val="32"/>
        </w:rPr>
        <w:t>集成平台</w:t>
      </w:r>
      <w:r>
        <w:rPr>
          <w:rFonts w:ascii="Times New Roman" w:eastAsia="方正仿宋_GBK" w:hAnsi="Times New Roman"/>
          <w:bCs/>
          <w:sz w:val="32"/>
          <w:szCs w:val="32"/>
        </w:rPr>
        <w:t>，</w:t>
      </w:r>
      <w:r>
        <w:rPr>
          <w:rFonts w:ascii="Times New Roman" w:eastAsia="方正仿宋_GBK" w:hAnsi="Times New Roman"/>
          <w:sz w:val="32"/>
          <w:szCs w:val="32"/>
        </w:rPr>
        <w:t>充分利用报纸、电台、电视以及微信、微博、直播等融媒体手段，</w:t>
      </w:r>
      <w:r>
        <w:rPr>
          <w:rFonts w:ascii="Times New Roman" w:eastAsia="方正仿宋_GBK" w:hAnsi="Times New Roman"/>
          <w:bCs/>
          <w:sz w:val="32"/>
          <w:szCs w:val="32"/>
        </w:rPr>
        <w:t>探索线上线下结合、形式多样的海关政务公开方式，便捷企业公众快速获取信息。</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5</w:t>
      </w:r>
      <w:r>
        <w:rPr>
          <w:rFonts w:ascii="Times New Roman" w:eastAsia="方正仿宋_GBK" w:hAnsi="Times New Roman"/>
          <w:b/>
          <w:sz w:val="32"/>
          <w:szCs w:val="32"/>
        </w:rPr>
        <w:t>.主动、精准推送政务公开信息。</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应当针对企业公众关心的重要政策和热点问题，做好解答咨询、配套解读，将政策文件、帮扶措施、办事服务等信息传递至辖区进出口产业行业、中小企业及其相关负责人等不同类型不同需求的受众群体，提升信息发布时效性、传播力和受惠影响力。结合关区政务公开工作实际，做好财务信息在广州海关官网的对外公开工作，全面提升海关工作透明度。</w:t>
      </w:r>
    </w:p>
    <w:p>
      <w:pPr>
        <w:pStyle w:val="20"/>
        <w:adjustRightInd w:val="0"/>
        <w:spacing w:line="560" w:lineRule="exact"/>
        <w:ind w:firstLineChars="162" w:firstLine="518"/>
        <w:rPr>
          <w:rFonts w:ascii="Times New Roman" w:eastAsia="方正楷体_GBK" w:hAnsi="Times New Roman"/>
          <w:sz w:val="32"/>
          <w:szCs w:val="32"/>
        </w:rPr>
      </w:pPr>
      <w:r>
        <w:rPr>
          <w:rFonts w:ascii="Times New Roman" w:eastAsia="方正楷体_GBK" w:hAnsi="Times New Roman"/>
          <w:sz w:val="32"/>
          <w:szCs w:val="32"/>
        </w:rPr>
        <w:t>（三）推动互动“通畅”——畅通外部公众参与渠道，助推堵点痛点难点有序改善。</w:t>
      </w:r>
    </w:p>
    <w:p>
      <w:pPr>
        <w:spacing w:line="560" w:lineRule="exact"/>
        <w:ind w:leftChars="304" w:left="2238" w:hangingChars="500" w:hanging="1600"/>
        <w:rPr>
          <w:rFonts w:ascii="Times New Roman" w:hAnsi="Times New Roman"/>
        </w:rPr>
      </w:pPr>
      <w:r>
        <w:rPr>
          <w:rFonts w:ascii="Times New Roman" w:eastAsia="方正仿宋_GBK" w:hAnsi="Times New Roman"/>
          <w:sz w:val="32"/>
          <w:szCs w:val="32"/>
        </w:rPr>
        <w:t>责任部门：各职能部门、各隶属海关。</w:t>
      </w:r>
    </w:p>
    <w:p>
      <w:pPr>
        <w:spacing w:line="560" w:lineRule="exact"/>
        <w:ind w:firstLineChars="196" w:firstLine="627"/>
        <w:rPr>
          <w:rFonts w:ascii="Times New Roman" w:eastAsia="方正仿宋_GBK" w:hAnsi="Times New Roman"/>
          <w:b/>
          <w:sz w:val="32"/>
          <w:szCs w:val="32"/>
        </w:rPr>
      </w:pPr>
      <w:r>
        <w:rPr>
          <w:rFonts w:ascii="Times New Roman" w:eastAsia="方正仿宋_GBK" w:hAnsi="Times New Roman" w:hint="eastAsia"/>
          <w:b/>
          <w:sz w:val="32"/>
          <w:szCs w:val="32"/>
        </w:rPr>
        <w:t>6</w:t>
      </w:r>
      <w:r>
        <w:rPr>
          <w:rFonts w:ascii="Times New Roman" w:eastAsia="方正仿宋_GBK" w:hAnsi="Times New Roman"/>
          <w:b/>
          <w:sz w:val="32"/>
          <w:szCs w:val="32"/>
        </w:rPr>
        <w:t>.畅通民意表达。</w:t>
      </w:r>
    </w:p>
    <w:p>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隶属海关应当依法建立健全本关的信访投诉和意见建议接收渠道，引导矛盾问题在源头化解，最大程度实现一线问题不积累、基层矛盾不上交。各部门单位对外公开的办公联系、咨询电话、依申请公开、信访、应急值班、预约服务等各受理渠道，应确保正常接听、有效解答。加强各对外渠道日常管理，确保各类民意诉求依法合规办理，群众诉求件件有回应。</w:t>
      </w:r>
    </w:p>
    <w:p>
      <w:pPr>
        <w:spacing w:line="560" w:lineRule="exact"/>
        <w:ind w:firstLineChars="196" w:firstLine="627"/>
        <w:rPr>
          <w:rFonts w:ascii="Times New Roman" w:eastAsia="方正仿宋_GBK" w:hAnsi="Times New Roman"/>
          <w:b/>
          <w:sz w:val="32"/>
          <w:szCs w:val="32"/>
        </w:rPr>
      </w:pPr>
      <w:r>
        <w:rPr>
          <w:rFonts w:ascii="Times New Roman" w:eastAsia="方正仿宋_GBK" w:hAnsi="Times New Roman" w:hint="eastAsia"/>
          <w:b/>
          <w:sz w:val="32"/>
          <w:szCs w:val="32"/>
        </w:rPr>
        <w:t>7</w:t>
      </w:r>
      <w:r>
        <w:rPr>
          <w:rFonts w:ascii="Times New Roman" w:eastAsia="方正仿宋_GBK" w:hAnsi="Times New Roman"/>
          <w:b/>
          <w:sz w:val="32"/>
          <w:szCs w:val="32"/>
        </w:rPr>
        <w:t>.回应舆情关切。</w:t>
      </w:r>
    </w:p>
    <w:p>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各部门单位对涉及本关的重要政务舆情、媒体关切等热点问题，应当按照海关舆情处理工作机制，认真研判、及时报告、规范处置。</w:t>
      </w:r>
    </w:p>
    <w:p>
      <w:pPr>
        <w:spacing w:line="560" w:lineRule="exact"/>
        <w:ind w:firstLineChars="196" w:firstLine="627"/>
        <w:rPr>
          <w:rFonts w:ascii="Times New Roman" w:eastAsia="方正仿宋_GBK" w:hAnsi="Times New Roman"/>
          <w:b/>
          <w:sz w:val="32"/>
          <w:szCs w:val="32"/>
        </w:rPr>
      </w:pPr>
      <w:r>
        <w:rPr>
          <w:rFonts w:ascii="Times New Roman" w:eastAsia="方正仿宋_GBK" w:hAnsi="Times New Roman" w:hint="eastAsia"/>
          <w:b/>
          <w:sz w:val="32"/>
          <w:szCs w:val="32"/>
        </w:rPr>
        <w:t>8</w:t>
      </w:r>
      <w:r>
        <w:rPr>
          <w:rFonts w:ascii="Times New Roman" w:eastAsia="方正仿宋_GBK" w:hAnsi="Times New Roman"/>
          <w:b/>
          <w:sz w:val="32"/>
          <w:szCs w:val="32"/>
        </w:rPr>
        <w:t>.履行首问负责。</w:t>
      </w:r>
    </w:p>
    <w:p>
      <w:pPr>
        <w:spacing w:line="560" w:lineRule="exact"/>
        <w:ind w:firstLineChars="196" w:firstLine="627"/>
        <w:rPr>
          <w:rFonts w:ascii="Times New Roman" w:eastAsia="方正仿宋_GBK" w:hAnsi="Times New Roman"/>
          <w:bCs/>
          <w:sz w:val="32"/>
          <w:szCs w:val="32"/>
        </w:rPr>
      </w:pPr>
      <w:r>
        <w:rPr>
          <w:rFonts w:ascii="Times New Roman" w:eastAsia="方正仿宋_GBK" w:hAnsi="Times New Roman"/>
          <w:bCs/>
          <w:sz w:val="32"/>
          <w:szCs w:val="32"/>
        </w:rPr>
        <w:t>凡是能在政务大厅、办事窗口、业务现场以及通过本关业务电话等直接解答的一般咨询问题，原则上不允许再指引企业公众</w:t>
      </w:r>
      <w:r>
        <w:rPr>
          <w:rFonts w:ascii="Times New Roman" w:eastAsia="方正仿宋_GBK" w:hAnsi="Times New Roman" w:hint="eastAsia"/>
          <w:bCs/>
          <w:sz w:val="32"/>
          <w:szCs w:val="32"/>
        </w:rPr>
        <w:t>“</w:t>
      </w:r>
      <w:r>
        <w:rPr>
          <w:rFonts w:ascii="Times New Roman" w:eastAsia="方正仿宋_GBK" w:hAnsi="Times New Roman"/>
          <w:bCs/>
          <w:sz w:val="32"/>
          <w:szCs w:val="32"/>
        </w:rPr>
        <w:t>舍近求远</w:t>
      </w:r>
      <w:r>
        <w:rPr>
          <w:rFonts w:ascii="Times New Roman" w:eastAsia="方正仿宋_GBK" w:hAnsi="Times New Roman" w:hint="eastAsia"/>
          <w:bCs/>
          <w:sz w:val="32"/>
          <w:szCs w:val="32"/>
        </w:rPr>
        <w:t>”</w:t>
      </w:r>
      <w:r>
        <w:rPr>
          <w:rFonts w:ascii="Times New Roman" w:eastAsia="方正仿宋_GBK" w:hAnsi="Times New Roman"/>
          <w:bCs/>
          <w:sz w:val="32"/>
          <w:szCs w:val="32"/>
        </w:rPr>
        <w:t>拨打12360海关热线求助。各业务职能部门、隶属海关要积极开展广州海关12360热线转办的业务咨询事项受理、转办、答复等工作。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9</w:t>
      </w:r>
      <w:r>
        <w:rPr>
          <w:rFonts w:ascii="Times New Roman" w:eastAsia="方正仿宋_GBK" w:hAnsi="Times New Roman"/>
          <w:b/>
          <w:sz w:val="32"/>
          <w:szCs w:val="32"/>
        </w:rPr>
        <w:t>.扩大公众参与。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bCs/>
          <w:sz w:val="32"/>
          <w:szCs w:val="32"/>
        </w:rPr>
        <w:t>各隶属海关应持续开展</w:t>
      </w:r>
      <w:r>
        <w:rPr>
          <w:rFonts w:ascii="Times New Roman" w:eastAsia="方正仿宋_GBK" w:hAnsi="Times New Roman" w:hint="eastAsia"/>
          <w:bCs/>
          <w:sz w:val="32"/>
          <w:szCs w:val="32"/>
        </w:rPr>
        <w:t>“</w:t>
      </w:r>
      <w:r>
        <w:rPr>
          <w:rFonts w:ascii="Times New Roman" w:eastAsia="方正仿宋_GBK" w:hAnsi="Times New Roman"/>
          <w:bCs/>
          <w:sz w:val="32"/>
          <w:szCs w:val="32"/>
        </w:rPr>
        <w:t>我为群众办实事</w:t>
      </w:r>
      <w:r>
        <w:rPr>
          <w:rFonts w:ascii="Times New Roman" w:eastAsia="方正仿宋_GBK" w:hAnsi="Times New Roman" w:hint="eastAsia"/>
          <w:bCs/>
          <w:sz w:val="32"/>
          <w:szCs w:val="32"/>
        </w:rPr>
        <w:t>”</w:t>
      </w:r>
      <w:r>
        <w:rPr>
          <w:rFonts w:ascii="Times New Roman" w:eastAsia="方正仿宋_GBK" w:hAnsi="Times New Roman"/>
          <w:bCs/>
          <w:sz w:val="32"/>
          <w:szCs w:val="32"/>
        </w:rPr>
        <w:t>实践活动，每年应当至少组织一至两次企业座谈会、问卷调查、公众开放日、关长接待日以及</w:t>
      </w:r>
      <w:r>
        <w:rPr>
          <w:rFonts w:ascii="Times New Roman" w:eastAsia="方正仿宋_GBK" w:hAnsi="Times New Roman" w:hint="eastAsia"/>
          <w:bCs/>
          <w:sz w:val="32"/>
          <w:szCs w:val="32"/>
        </w:rPr>
        <w:t>“</w:t>
      </w:r>
      <w:r>
        <w:rPr>
          <w:rFonts w:ascii="Times New Roman" w:eastAsia="方正仿宋_GBK" w:hAnsi="Times New Roman"/>
          <w:bCs/>
          <w:sz w:val="32"/>
          <w:szCs w:val="32"/>
        </w:rPr>
        <w:t>海关进企业</w:t>
      </w:r>
      <w:r>
        <w:rPr>
          <w:rFonts w:ascii="Times New Roman" w:eastAsia="方正仿宋_GBK" w:hAnsi="Times New Roman" w:hint="eastAsia"/>
          <w:bCs/>
          <w:sz w:val="32"/>
          <w:szCs w:val="32"/>
        </w:rPr>
        <w:t>”“</w:t>
      </w:r>
      <w:r>
        <w:rPr>
          <w:rFonts w:ascii="Times New Roman" w:eastAsia="方正仿宋_GBK" w:hAnsi="Times New Roman"/>
          <w:bCs/>
          <w:sz w:val="32"/>
          <w:szCs w:val="32"/>
        </w:rPr>
        <w:t>海关进社区</w:t>
      </w:r>
      <w:r>
        <w:rPr>
          <w:rFonts w:ascii="Times New Roman" w:eastAsia="方正仿宋_GBK" w:hAnsi="Times New Roman" w:hint="eastAsia"/>
          <w:bCs/>
          <w:sz w:val="32"/>
          <w:szCs w:val="32"/>
        </w:rPr>
        <w:t>”“</w:t>
      </w:r>
      <w:r>
        <w:rPr>
          <w:rFonts w:ascii="Times New Roman" w:eastAsia="方正仿宋_GBK" w:hAnsi="Times New Roman"/>
          <w:bCs/>
          <w:sz w:val="32"/>
          <w:szCs w:val="32"/>
        </w:rPr>
        <w:t>海关进校园</w:t>
      </w:r>
      <w:r>
        <w:rPr>
          <w:rFonts w:ascii="Times New Roman" w:eastAsia="方正仿宋_GBK" w:hAnsi="Times New Roman" w:hint="eastAsia"/>
          <w:bCs/>
          <w:sz w:val="32"/>
          <w:szCs w:val="32"/>
        </w:rPr>
        <w:t>”</w:t>
      </w:r>
      <w:r>
        <w:rPr>
          <w:rFonts w:ascii="Times New Roman" w:eastAsia="方正仿宋_GBK" w:hAnsi="Times New Roman"/>
          <w:bCs/>
          <w:sz w:val="32"/>
          <w:szCs w:val="32"/>
        </w:rPr>
        <w:t>品牌（简称</w:t>
      </w:r>
      <w:r>
        <w:rPr>
          <w:rFonts w:ascii="Times New Roman" w:eastAsia="方正仿宋_GBK" w:hAnsi="Times New Roman" w:hint="eastAsia"/>
          <w:bCs/>
          <w:sz w:val="32"/>
          <w:szCs w:val="32"/>
        </w:rPr>
        <w:t>“</w:t>
      </w:r>
      <w:r>
        <w:rPr>
          <w:rFonts w:ascii="Times New Roman" w:eastAsia="方正仿宋_GBK" w:hAnsi="Times New Roman"/>
          <w:bCs/>
          <w:sz w:val="32"/>
          <w:szCs w:val="32"/>
        </w:rPr>
        <w:t>三进</w:t>
      </w:r>
      <w:r>
        <w:rPr>
          <w:rFonts w:ascii="Times New Roman" w:eastAsia="方正仿宋_GBK" w:hAnsi="Times New Roman" w:hint="eastAsia"/>
          <w:bCs/>
          <w:sz w:val="32"/>
          <w:szCs w:val="32"/>
        </w:rPr>
        <w:t>”</w:t>
      </w:r>
      <w:r>
        <w:rPr>
          <w:rFonts w:ascii="Times New Roman" w:eastAsia="方正仿宋_GBK" w:hAnsi="Times New Roman"/>
          <w:bCs/>
          <w:sz w:val="32"/>
          <w:szCs w:val="32"/>
        </w:rPr>
        <w:t>品牌）等形式的公众交流活动，既</w:t>
      </w:r>
      <w:r>
        <w:rPr>
          <w:rFonts w:ascii="Times New Roman" w:eastAsia="方正仿宋_GBK" w:hAnsi="Times New Roman" w:hint="eastAsia"/>
          <w:bCs/>
          <w:sz w:val="32"/>
          <w:szCs w:val="32"/>
        </w:rPr>
        <w:t>“</w:t>
      </w:r>
      <w:r>
        <w:rPr>
          <w:rFonts w:ascii="Times New Roman" w:eastAsia="方正仿宋_GBK" w:hAnsi="Times New Roman"/>
          <w:bCs/>
          <w:sz w:val="32"/>
          <w:szCs w:val="32"/>
        </w:rPr>
        <w:t>走出去</w:t>
      </w:r>
      <w:r>
        <w:rPr>
          <w:rFonts w:ascii="Times New Roman" w:eastAsia="方正仿宋_GBK" w:hAnsi="Times New Roman" w:hint="eastAsia"/>
          <w:bCs/>
          <w:sz w:val="32"/>
          <w:szCs w:val="32"/>
        </w:rPr>
        <w:t>”</w:t>
      </w:r>
      <w:r>
        <w:rPr>
          <w:rFonts w:ascii="Times New Roman" w:eastAsia="方正仿宋_GBK" w:hAnsi="Times New Roman"/>
          <w:bCs/>
          <w:sz w:val="32"/>
          <w:szCs w:val="32"/>
        </w:rPr>
        <w:t>又</w:t>
      </w:r>
      <w:r>
        <w:rPr>
          <w:rFonts w:ascii="Times New Roman" w:eastAsia="方正仿宋_GBK" w:hAnsi="Times New Roman" w:hint="eastAsia"/>
          <w:bCs/>
          <w:sz w:val="32"/>
          <w:szCs w:val="32"/>
        </w:rPr>
        <w:t>“</w:t>
      </w:r>
      <w:r>
        <w:rPr>
          <w:rFonts w:ascii="Times New Roman" w:eastAsia="方正仿宋_GBK" w:hAnsi="Times New Roman"/>
          <w:bCs/>
          <w:sz w:val="32"/>
          <w:szCs w:val="32"/>
        </w:rPr>
        <w:t>请进来</w:t>
      </w:r>
      <w:r>
        <w:rPr>
          <w:rFonts w:ascii="Times New Roman" w:eastAsia="方正仿宋_GBK" w:hAnsi="Times New Roman" w:hint="eastAsia"/>
          <w:bCs/>
          <w:sz w:val="32"/>
          <w:szCs w:val="32"/>
        </w:rPr>
        <w:t>”</w:t>
      </w:r>
      <w:r>
        <w:rPr>
          <w:rFonts w:ascii="Times New Roman" w:eastAsia="方正仿宋_GBK" w:hAnsi="Times New Roman"/>
          <w:bCs/>
          <w:sz w:val="32"/>
          <w:szCs w:val="32"/>
        </w:rPr>
        <w:t>，搭建海关与社会公众互动桥梁。关区</w:t>
      </w:r>
      <w:r>
        <w:rPr>
          <w:rFonts w:ascii="Times New Roman" w:eastAsia="方正仿宋_GBK" w:hAnsi="Times New Roman"/>
          <w:sz w:val="32"/>
          <w:szCs w:val="32"/>
        </w:rPr>
        <w:t>各业务特色</w:t>
      </w:r>
      <w:r>
        <w:rPr>
          <w:rFonts w:ascii="Times New Roman" w:eastAsia="方正仿宋_GBK" w:hAnsi="Times New Roman" w:hint="eastAsia"/>
          <w:sz w:val="32"/>
          <w:szCs w:val="32"/>
        </w:rPr>
        <w:t>“</w:t>
      </w:r>
      <w:r>
        <w:rPr>
          <w:rFonts w:ascii="Times New Roman" w:eastAsia="方正仿宋_GBK" w:hAnsi="Times New Roman"/>
          <w:sz w:val="32"/>
          <w:szCs w:val="32"/>
        </w:rPr>
        <w:t>三进</w:t>
      </w:r>
      <w:r>
        <w:rPr>
          <w:rFonts w:ascii="Times New Roman" w:eastAsia="方正仿宋_GBK" w:hAnsi="Times New Roman" w:hint="eastAsia"/>
          <w:sz w:val="32"/>
          <w:szCs w:val="32"/>
        </w:rPr>
        <w:t>”</w:t>
      </w:r>
      <w:r>
        <w:rPr>
          <w:rFonts w:ascii="Times New Roman" w:eastAsia="方正仿宋_GBK" w:hAnsi="Times New Roman"/>
          <w:sz w:val="32"/>
          <w:szCs w:val="32"/>
        </w:rPr>
        <w:t>科普基地，要</w:t>
      </w:r>
      <w:r>
        <w:rPr>
          <w:rFonts w:ascii="Times New Roman" w:eastAsia="方正仿宋_GBK" w:hAnsi="Times New Roman"/>
          <w:bCs/>
          <w:sz w:val="32"/>
          <w:szCs w:val="32"/>
        </w:rPr>
        <w:t>结合国门安全教育、普法科普宣传、海关业务主题日等内容，优化企业群众参与体验，加深外部对海关工作的了解</w:t>
      </w:r>
      <w:r>
        <w:rPr>
          <w:rFonts w:ascii="Times New Roman" w:eastAsia="方正仿宋_GBK" w:hAnsi="Times New Roman"/>
          <w:sz w:val="32"/>
          <w:szCs w:val="32"/>
        </w:rPr>
        <w:t>。</w:t>
      </w:r>
    </w:p>
    <w:sectPr>
      <w:footerReference w:type="default" r:id="rId2"/>
      <w:footerReference w:type="even" r:id="rId3"/>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outside" w:y="1" w:anchorLock="0"/>
      <w:tabs>
        <w:tab w:val="center" w:pos="4153"/>
        <w:tab w:val="right" w:pos="8306"/>
      </w:tabs>
      <w:rPr>
        <w:rFonts w:ascii="宋体"/>
        <w:sz w:val="28"/>
        <w:szCs w:val="28"/>
      </w:rPr>
    </w:pPr>
    <w:r>
      <w:rPr>
        <w:rStyle w:val="58"/>
        <w:rFonts w:ascii="宋体" w:hint="eastAsia"/>
        <w:sz w:val="28"/>
        <w:szCs w:val="28"/>
      </w:rPr>
      <w:fldChar w:fldCharType="begin"/>
    </w:r>
    <w:r>
      <w:rPr>
        <w:rStyle w:val="58"/>
        <w:rFonts w:ascii="宋体" w:hint="eastAsia"/>
        <w:sz w:val="28"/>
        <w:szCs w:val="28"/>
      </w:rPr>
      <w:instrText>Page</w:instrText>
    </w:r>
    <w:r>
      <w:rPr>
        <w:rStyle w:val="58"/>
        <w:rFonts w:ascii="宋体" w:hint="eastAsia"/>
        <w:sz w:val="28"/>
        <w:szCs w:val="28"/>
      </w:rPr>
      <w:fldChar w:fldCharType="separate"/>
    </w:r>
    <w:r>
      <w:rPr>
        <w:rStyle w:val="58"/>
        <w:rFonts w:ascii="宋体"/>
        <w:sz w:val="28"/>
        <w:szCs w:val="28"/>
      </w:rPr>
      <w:t>- 6 -</w:t>
    </w:r>
    <w:r>
      <w:rPr>
        <w:rStyle w:val="58"/>
        <w:rFonts w:ascii="宋体" w:hint="eastAsia"/>
        <w:sz w:val="28"/>
        <w:szCs w:val="28"/>
      </w:rPr>
      <w:fldChar w:fldCharType="end"/>
    </w:r>
  </w:p>
  <w:p>
    <w:pPr>
      <w:pStyle w:val="18"/>
      <w:tabs>
        <w:tab w:val="center" w:pos="4153"/>
        <w:tab w:val="right" w:pos="8306"/>
      </w:tabs>
      <w:ind w:right="360" w:firstLine="360"/>
      <w:jc w:val="center"/>
      <w:rPr>
        <w:rFonts w:ascii="宋体"/>
      </w:rPr>
    </w:pPr>
  </w:p>
  <w:p>
    <w:pPr>
      <w:pStyle w:val="1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outside" w:y="1" w:anchorLock="0"/>
      <w:tabs>
        <w:tab w:val="center" w:pos="4153"/>
        <w:tab w:val="right" w:pos="8306"/>
      </w:tabs>
    </w:pPr>
    <w:r>
      <w:rPr>
        <w:rStyle w:val="58"/>
      </w:rPr>
      <w:fldChar w:fldCharType="begin"/>
    </w:r>
    <w:r>
      <w:rPr>
        <w:rStyle w:val="58"/>
      </w:rPr>
      <w:instrText>Page</w:instrText>
    </w:r>
    <w:r>
      <w:rPr>
        <w:rStyle w:val="58"/>
      </w:rPr>
      <w:fldChar w:fldCharType="separate"/>
    </w:r>
    <w:r>
      <w:rPr>
        <w:rStyle w:val="58"/>
      </w:rPr>
      <w:t>- 1 -</w:t>
    </w:r>
    <w:r>
      <w:rPr>
        <w:rStyle w:val="58"/>
      </w:rPr>
      <w:fldChar w:fldCharType="end"/>
    </w:r>
  </w:p>
  <w:p>
    <w:pPr>
      <w:pStyle w:val="18"/>
      <w:tabs>
        <w:tab w:val="center" w:pos="4153"/>
        <w:tab w:val="right" w:pos="8306"/>
      </w:tabs>
      <w:ind w:right="36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customStyle="1" w:styleId="15">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6">
    <w:name w:val="样式 2 10 磅"/>
    <w:pPr>
      <w:widowControl w:val="0"/>
      <w:jc w:val="both"/>
    </w:pPr>
    <w:rPr>
      <w:rFonts w:ascii="Calibri" w:eastAsia="宋体" w:cs="Times New Roman" w:hAnsi="Calibri"/>
      <w:kern w:val="2"/>
      <w:sz w:val="21"/>
      <w:szCs w:val="22"/>
      <w:lang w:val="en-US" w:eastAsia="zh-CN" w:bidi="ar-SA"/>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footer"/>
    <w:basedOn w:val="0"/>
    <w:pPr>
      <w:tabs>
        <w:tab w:val="center" w:pos="4153"/>
        <w:tab w:val="right" w:pos="8306"/>
      </w:tabs>
      <w:snapToGrid w:val="0"/>
      <w:jc w:val="left"/>
    </w:pPr>
    <w:rPr>
      <w:sz w:val="18"/>
      <w:szCs w:val="18"/>
    </w:rPr>
  </w:style>
  <w:style w:type="paragraph" w:customStyle="1" w:styleId="19">
    <w:name w:val="样式 15 小四"/>
    <w:pPr>
      <w:widowControl w:val="0"/>
      <w:spacing w:before="100" w:beforeAutospacing="1" w:after="100" w:afterAutospacing="1"/>
    </w:pPr>
    <w:rPr>
      <w:rFonts w:ascii="宋体" w:eastAsia="宋体" w:cs="Times New Roman"/>
      <w:kern w:val="2"/>
      <w:sz w:val="24"/>
      <w:szCs w:val="21"/>
      <w:lang w:val="en-US" w:eastAsia="zh-CN" w:bidi="ar-SA"/>
    </w:rPr>
  </w:style>
  <w:style w:type="paragraph" w:customStyle="1" w:styleId="20">
    <w:name w:val="列表段落1"/>
    <w:basedOn w:val="0"/>
    <w:pPr>
      <w:ind w:firstLineChars="200" w:firstLine="200"/>
    </w:pPr>
  </w:style>
  <w:style w:type="paragraph" w:styleId="21">
    <w:name w:val="Balloon Text"/>
    <w:basedOn w:val="0"/>
    <w:rPr>
      <w:sz w:val="18"/>
      <w:szCs w:val="18"/>
    </w:rPr>
  </w:style>
  <w:style w:type="paragraph" w:customStyle="1" w:styleId="22">
    <w:name w:val="样式 10 磅"/>
    <w:pPr>
      <w:widowControl w:val="0"/>
      <w:jc w:val="both"/>
    </w:pPr>
    <w:rPr>
      <w:rFonts w:ascii="Calibri" w:eastAsia="宋体" w:cs="Times New Roman" w:hAnsi="Calibri"/>
      <w:kern w:val="2"/>
      <w:sz w:val="21"/>
      <w:szCs w:val="22"/>
      <w:lang w:val="en-US" w:eastAsia="zh-CN" w:bidi="ar-SA"/>
    </w:rPr>
  </w:style>
  <w:style w:type="paragraph" w:customStyle="1" w:styleId="23">
    <w:name w:val="样式 1 10 磅"/>
    <w:pPr>
      <w:widowControl w:val="0"/>
      <w:jc w:val="both"/>
    </w:pPr>
    <w:rPr>
      <w:rFonts w:ascii="Calibri" w:eastAsia="宋体" w:cs="Times New Roman" w:hAnsi="Calibri"/>
      <w:kern w:val="2"/>
      <w:sz w:val="21"/>
      <w:szCs w:val="22"/>
      <w:lang w:val="en-US" w:eastAsia="zh-CN" w:bidi="ar-SA"/>
    </w:rPr>
  </w:style>
  <w:style w:type="paragraph" w:customStyle="1" w:styleId="24">
    <w:name w:val="列出段落1"/>
    <w:basedOn w:val="0"/>
    <w:pPr>
      <w:ind w:firstLineChars="200" w:firstLine="200"/>
    </w:pPr>
  </w:style>
  <w:style w:type="paragraph" w:customStyle="1" w:styleId="25">
    <w:name w:val="修订1"/>
    <w:rPr>
      <w:rFonts w:ascii="Calibri" w:eastAsia="宋体" w:cs="Times New Roman" w:hAnsi="Calibri"/>
      <w:kern w:val="2"/>
      <w:sz w:val="21"/>
      <w:szCs w:val="22"/>
      <w:lang w:val="en-US" w:eastAsia="zh-CN" w:bidi="ar-SA"/>
    </w:rPr>
  </w:style>
  <w:style w:type="paragraph" w:customStyle="1" w:styleId="26">
    <w:name w:val="样式 3 10 磅"/>
    <w:pPr>
      <w:widowControl w:val="0"/>
      <w:jc w:val="both"/>
    </w:pPr>
    <w:rPr>
      <w:rFonts w:ascii="Calibri" w:eastAsia="宋体" w:cs="Times New Roman" w:hAnsi="Calibri"/>
      <w:kern w:val="2"/>
      <w:sz w:val="21"/>
      <w:szCs w:val="22"/>
      <w:lang w:val="en-US" w:eastAsia="zh-CN" w:bidi="ar-SA"/>
    </w:rPr>
  </w:style>
  <w:style w:type="paragraph" w:customStyle="1" w:styleId="27">
    <w:name w:val="样式 4 10 磅"/>
    <w:pPr>
      <w:widowControl w:val="0"/>
      <w:jc w:val="both"/>
    </w:pPr>
    <w:rPr>
      <w:rFonts w:ascii="Calibri" w:eastAsia="宋体" w:cs="Times New Roman" w:hAnsi="Calibri"/>
      <w:kern w:val="2"/>
      <w:sz w:val="21"/>
      <w:szCs w:val="22"/>
      <w:lang w:val="en-US" w:eastAsia="zh-CN" w:bidi="ar-SA"/>
    </w:rPr>
  </w:style>
  <w:style w:type="paragraph" w:styleId="28">
    <w:name w:val="annotation text"/>
    <w:basedOn w:val="0"/>
    <w:pPr>
      <w:jc w:val="left"/>
    </w:pPr>
  </w:style>
  <w:style w:type="paragraph" w:styleId="29">
    <w:name w:val="annotation subject"/>
    <w:next w:val="28"/>
    <w:pPr>
      <w:widowControl w:val="0"/>
    </w:pPr>
    <w:rPr>
      <w:rFonts w:ascii="Calibri" w:eastAsia="宋体" w:cs="Times New Roman" w:hAnsi="Calibri"/>
      <w:b/>
      <w:kern w:val="2"/>
      <w:sz w:val="21"/>
      <w:szCs w:val="22"/>
      <w:lang w:val="en-US" w:eastAsia="zh-CN" w:bidi="ar-SA"/>
    </w:rPr>
  </w:style>
  <w:style w:type="paragraph" w:customStyle="1" w:styleId="30">
    <w:name w:val="样式 小四"/>
    <w:pPr>
      <w:widowControl w:val="0"/>
      <w:spacing w:before="100" w:beforeAutospacing="1" w:after="100" w:afterAutospacing="1"/>
    </w:pPr>
    <w:rPr>
      <w:rFonts w:ascii="宋体" w:eastAsia="宋体" w:cs="Times New Roman"/>
      <w:kern w:val="2"/>
      <w:sz w:val="24"/>
      <w:szCs w:val="21"/>
      <w:lang w:val="en-US" w:eastAsia="zh-CN" w:bidi="ar-SA"/>
    </w:rPr>
  </w:style>
  <w:style w:type="paragraph" w:customStyle="1" w:styleId="31">
    <w:name w:val="样式 5 10 磅"/>
    <w:pPr>
      <w:widowControl w:val="0"/>
      <w:jc w:val="both"/>
    </w:pPr>
    <w:rPr>
      <w:rFonts w:ascii="Calibri" w:eastAsia="宋体" w:cs="Times New Roman" w:hAnsi="Calibri"/>
      <w:kern w:val="2"/>
      <w:sz w:val="21"/>
      <w:szCs w:val="22"/>
      <w:lang w:val="en-US" w:eastAsia="zh-CN" w:bidi="ar-SA"/>
    </w:rPr>
  </w:style>
  <w:style w:type="paragraph" w:customStyle="1" w:styleId="32">
    <w:name w:val="样式 6 10 磅"/>
    <w:pPr>
      <w:widowControl w:val="0"/>
      <w:jc w:val="both"/>
    </w:pPr>
    <w:rPr>
      <w:rFonts w:ascii="Calibri" w:eastAsia="宋体" w:cs="Times New Roman" w:hAnsi="Calibri"/>
      <w:kern w:val="2"/>
      <w:sz w:val="21"/>
      <w:szCs w:val="22"/>
      <w:lang w:val="en-US" w:eastAsia="zh-CN" w:bidi="ar-SA"/>
    </w:rPr>
  </w:style>
  <w:style w:type="paragraph" w:customStyle="1" w:styleId="33">
    <w:name w:val="样式 7 10 磅"/>
    <w:pPr>
      <w:widowControl w:val="0"/>
      <w:jc w:val="both"/>
    </w:pPr>
    <w:rPr>
      <w:rFonts w:ascii="Calibri" w:eastAsia="宋体" w:cs="Times New Roman" w:hAnsi="Calibri"/>
      <w:kern w:val="2"/>
      <w:sz w:val="21"/>
      <w:szCs w:val="22"/>
      <w:lang w:val="en-US" w:eastAsia="zh-CN" w:bidi="ar-SA"/>
    </w:rPr>
  </w:style>
  <w:style w:type="paragraph" w:customStyle="1" w:styleId="34">
    <w:name w:val="样式 8 10 磅"/>
    <w:pPr>
      <w:widowControl w:val="0"/>
      <w:jc w:val="both"/>
    </w:pPr>
    <w:rPr>
      <w:rFonts w:ascii="Calibri" w:eastAsia="宋体" w:cs="Times New Roman" w:hAnsi="Calibri"/>
      <w:kern w:val="2"/>
      <w:sz w:val="21"/>
      <w:szCs w:val="22"/>
      <w:lang w:val="en-US" w:eastAsia="zh-CN" w:bidi="ar-SA"/>
    </w:rPr>
  </w:style>
  <w:style w:type="paragraph" w:customStyle="1" w:styleId="35">
    <w:name w:val="样式 9 10 磅"/>
    <w:pPr>
      <w:widowControl w:val="0"/>
      <w:jc w:val="both"/>
    </w:pPr>
    <w:rPr>
      <w:rFonts w:ascii="Calibri" w:eastAsia="宋体" w:cs="Times New Roman" w:hAnsi="Calibri"/>
      <w:kern w:val="2"/>
      <w:sz w:val="21"/>
      <w:szCs w:val="22"/>
      <w:lang w:val="en-US" w:eastAsia="zh-CN" w:bidi="ar-SA"/>
    </w:rPr>
  </w:style>
  <w:style w:type="paragraph" w:customStyle="1" w:styleId="36">
    <w:name w:val="样式 10 10 磅"/>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37">
    <w:name w:val="样式 11 10 磅"/>
    <w:pPr>
      <w:widowControl w:val="0"/>
      <w:jc w:val="both"/>
    </w:pPr>
    <w:rPr>
      <w:rFonts w:ascii="Calibri" w:eastAsia="宋体" w:cs="Times New Roman" w:hAnsi="Calibri"/>
      <w:kern w:val="2"/>
      <w:sz w:val="21"/>
      <w:szCs w:val="22"/>
      <w:lang w:val="en-US" w:eastAsia="zh-CN" w:bidi="ar-SA"/>
    </w:rPr>
  </w:style>
  <w:style w:type="paragraph" w:customStyle="1" w:styleId="38">
    <w:name w:val="样式 12 10 磅"/>
    <w:pPr>
      <w:widowControl w:val="0"/>
      <w:jc w:val="both"/>
    </w:pPr>
    <w:rPr>
      <w:rFonts w:ascii="Calibri" w:eastAsia="宋体" w:cs="Times New Roman" w:hAnsi="Calibri"/>
      <w:kern w:val="2"/>
      <w:sz w:val="21"/>
      <w:szCs w:val="22"/>
      <w:lang w:val="en-US" w:eastAsia="zh-CN" w:bidi="ar-SA"/>
    </w:rPr>
  </w:style>
  <w:style w:type="paragraph" w:customStyle="1" w:styleId="39">
    <w:name w:val="样式 13 10 磅"/>
    <w:pPr>
      <w:widowControl w:val="0"/>
      <w:jc w:val="both"/>
    </w:pPr>
    <w:rPr>
      <w:rFonts w:ascii="Calibri" w:eastAsia="宋体" w:cs="Times New Roman" w:hAnsi="Calibri"/>
      <w:kern w:val="2"/>
      <w:sz w:val="21"/>
      <w:szCs w:val="22"/>
      <w:lang w:val="en-US" w:eastAsia="zh-CN" w:bidi="ar-SA"/>
    </w:rPr>
  </w:style>
  <w:style w:type="paragraph" w:customStyle="1" w:styleId="40">
    <w:name w:val="样式 14 10 磅"/>
    <w:pPr>
      <w:widowControl w:val="0"/>
      <w:jc w:val="both"/>
    </w:pPr>
    <w:rPr>
      <w:rFonts w:ascii="Calibri" w:eastAsia="宋体" w:cs="Times New Roman" w:hAnsi="Calibri"/>
      <w:kern w:val="2"/>
      <w:sz w:val="21"/>
      <w:szCs w:val="22"/>
      <w:lang w:val="en-US" w:eastAsia="zh-CN" w:bidi="ar-SA"/>
    </w:rPr>
  </w:style>
  <w:style w:type="paragraph" w:customStyle="1" w:styleId="41">
    <w:name w:val="样式 15 10 磅"/>
    <w:pPr>
      <w:widowControl w:val="0"/>
      <w:jc w:val="both"/>
    </w:pPr>
    <w:rPr>
      <w:rFonts w:ascii="Calibri" w:eastAsia="宋体" w:cs="Times New Roman" w:hAnsi="Calibri"/>
      <w:kern w:val="2"/>
      <w:sz w:val="21"/>
      <w:szCs w:val="22"/>
      <w:lang w:val="en-US" w:eastAsia="zh-CN" w:bidi="ar-SA"/>
    </w:rPr>
  </w:style>
  <w:style w:type="paragraph" w:customStyle="1" w:styleId="42">
    <w:name w:val="样式 16 10 磅"/>
    <w:pPr>
      <w:widowControl w:val="0"/>
      <w:jc w:val="both"/>
    </w:pPr>
    <w:rPr>
      <w:rFonts w:ascii="Calibri" w:eastAsia="宋体" w:cs="Times New Roman" w:hAnsi="Calibri"/>
      <w:kern w:val="2"/>
      <w:sz w:val="21"/>
      <w:szCs w:val="22"/>
      <w:lang w:val="en-US" w:eastAsia="zh-CN" w:bidi="ar-SA"/>
    </w:rPr>
  </w:style>
  <w:style w:type="paragraph" w:customStyle="1" w:styleId="43">
    <w:name w:val="样式 17 10 磅"/>
    <w:pPr>
      <w:widowControl w:val="0"/>
      <w:jc w:val="both"/>
    </w:pPr>
    <w:rPr>
      <w:rFonts w:ascii="Calibri" w:eastAsia="宋体" w:cs="Times New Roman" w:hAnsi="Calibri"/>
      <w:kern w:val="2"/>
      <w:sz w:val="21"/>
      <w:szCs w:val="22"/>
      <w:lang w:val="en-US" w:eastAsia="zh-CN" w:bidi="ar-SA"/>
    </w:rPr>
  </w:style>
  <w:style w:type="paragraph" w:styleId="44">
    <w:name w:val="footnote text"/>
    <w:basedOn w:val="0"/>
    <w:pPr>
      <w:snapToGrid w:val="0"/>
      <w:jc w:val="left"/>
    </w:pPr>
    <w:rPr>
      <w:sz w:val="18"/>
    </w:rPr>
  </w:style>
  <w:style w:type="character" w:styleId="45">
    <w:name w:val="footnote reference"/>
    <w:basedOn w:val="10"/>
    <w:rPr>
      <w:vertAlign w:val="superscript"/>
    </w:rPr>
  </w:style>
  <w:style w:type="paragraph" w:customStyle="1" w:styleId="46">
    <w:name w:val="样式 18 10 磅"/>
    <w:pPr>
      <w:widowControl w:val="0"/>
      <w:jc w:val="both"/>
    </w:pPr>
    <w:rPr>
      <w:rFonts w:ascii="Calibri" w:eastAsia="宋体" w:cs="Times New Roman" w:hAnsi="Calibri"/>
      <w:kern w:val="2"/>
      <w:sz w:val="21"/>
      <w:szCs w:val="22"/>
      <w:lang w:val="en-US" w:eastAsia="zh-CN" w:bidi="ar-SA"/>
    </w:rPr>
  </w:style>
  <w:style w:type="paragraph" w:customStyle="1" w:styleId="47">
    <w:name w:val="样式 19 10 磅"/>
    <w:pPr>
      <w:widowControl w:val="0"/>
      <w:jc w:val="both"/>
    </w:pPr>
    <w:rPr>
      <w:rFonts w:ascii="Calibri" w:eastAsia="宋体" w:cs="Times New Roman" w:hAnsi="Calibri"/>
      <w:kern w:val="2"/>
      <w:sz w:val="21"/>
      <w:szCs w:val="22"/>
      <w:lang w:val="en-US" w:eastAsia="zh-CN" w:bidi="ar-SA"/>
    </w:rPr>
  </w:style>
  <w:style w:type="paragraph" w:customStyle="1" w:styleId="48">
    <w:name w:val="样式 20 10 磅"/>
    <w:pPr>
      <w:widowControl w:val="0"/>
      <w:jc w:val="both"/>
    </w:pPr>
    <w:rPr>
      <w:rFonts w:ascii="Calibri" w:eastAsia="宋体" w:cs="Times New Roman" w:hAnsi="Calibri"/>
      <w:kern w:val="2"/>
      <w:sz w:val="21"/>
      <w:szCs w:val="22"/>
      <w:lang w:val="en-US" w:eastAsia="zh-CN" w:bidi="ar-SA"/>
    </w:rPr>
  </w:style>
  <w:style w:type="paragraph" w:customStyle="1" w:styleId="49">
    <w:name w:val="样式 21 10 磅"/>
    <w:pPr>
      <w:widowControl w:val="0"/>
    </w:pPr>
    <w:rPr>
      <w:rFonts w:ascii="Calibri" w:eastAsia="宋体" w:cs="Times New Roman" w:hAnsi="Calibri"/>
      <w:kern w:val="2"/>
      <w:sz w:val="21"/>
      <w:szCs w:val="22"/>
      <w:lang w:val="en-US" w:eastAsia="zh-CN" w:bidi="ar-SA"/>
    </w:rPr>
  </w:style>
  <w:style w:type="paragraph" w:customStyle="1" w:styleId="50">
    <w:name w:val="样式 22 10 磅"/>
    <w:pPr>
      <w:widowControl w:val="0"/>
      <w:jc w:val="both"/>
    </w:pPr>
    <w:rPr>
      <w:rFonts w:ascii="Calibri" w:eastAsia="宋体" w:cs="Times New Roman" w:hAnsi="Calibri"/>
      <w:kern w:val="2"/>
      <w:sz w:val="21"/>
      <w:szCs w:val="22"/>
      <w:lang w:val="en-US" w:eastAsia="zh-CN" w:bidi="ar-SA"/>
    </w:rPr>
  </w:style>
  <w:style w:type="paragraph" w:customStyle="1" w:styleId="51">
    <w:name w:val="样式 23 10 磅"/>
    <w:pPr>
      <w:widowControl w:val="0"/>
      <w:jc w:val="both"/>
    </w:pPr>
    <w:rPr>
      <w:rFonts w:ascii="Calibri" w:eastAsia="宋体" w:cs="Times New Roman" w:hAnsi="Calibri"/>
      <w:kern w:val="2"/>
      <w:sz w:val="21"/>
      <w:szCs w:val="22"/>
      <w:lang w:val="en-US" w:eastAsia="zh-CN" w:bidi="ar-SA"/>
    </w:rPr>
  </w:style>
  <w:style w:type="paragraph" w:customStyle="1" w:styleId="52">
    <w:name w:val="样式 24 10 磅"/>
    <w:pPr>
      <w:widowControl w:val="0"/>
      <w:jc w:val="both"/>
    </w:pPr>
    <w:rPr>
      <w:rFonts w:ascii="Calibri" w:eastAsia="宋体" w:cs="Times New Roman" w:hAnsi="Calibri"/>
      <w:kern w:val="2"/>
      <w:sz w:val="21"/>
      <w:szCs w:val="22"/>
      <w:lang w:val="en-US" w:eastAsia="zh-CN" w:bidi="ar-SA"/>
    </w:rPr>
  </w:style>
  <w:style w:type="paragraph" w:customStyle="1" w:styleId="53">
    <w:name w:val="样式 25 10 磅"/>
    <w:pPr>
      <w:widowControl w:val="0"/>
      <w:jc w:val="both"/>
    </w:pPr>
    <w:rPr>
      <w:rFonts w:ascii="Calibri" w:eastAsia="宋体" w:cs="Times New Roman" w:hAnsi="Calibri"/>
      <w:kern w:val="2"/>
      <w:sz w:val="21"/>
      <w:szCs w:val="22"/>
      <w:lang w:val="en-US" w:eastAsia="zh-CN" w:bidi="ar-SA"/>
    </w:rPr>
  </w:style>
  <w:style w:type="paragraph" w:customStyle="1" w:styleId="54">
    <w:name w:val="样式 26 10 磅"/>
    <w:pPr>
      <w:widowControl w:val="0"/>
      <w:jc w:val="both"/>
    </w:pPr>
    <w:rPr>
      <w:rFonts w:ascii="Calibri" w:eastAsia="宋体" w:cs="Times New Roman" w:hAnsi="Calibri"/>
      <w:kern w:val="2"/>
      <w:sz w:val="21"/>
      <w:szCs w:val="22"/>
      <w:lang w:val="en-US" w:eastAsia="zh-CN" w:bidi="ar-SA"/>
    </w:rPr>
  </w:style>
  <w:style w:type="paragraph" w:customStyle="1" w:styleId="55">
    <w:name w:val="样式 27 10 磅"/>
    <w:pPr>
      <w:widowControl w:val="0"/>
      <w:jc w:val="both"/>
    </w:pPr>
    <w:rPr>
      <w:rFonts w:ascii="Calibri" w:eastAsia="宋体" w:cs="Times New Roman" w:hAnsi="Calibri"/>
      <w:kern w:val="2"/>
      <w:sz w:val="21"/>
      <w:szCs w:val="22"/>
      <w:lang w:val="en-US" w:eastAsia="zh-CN" w:bidi="ar-SA"/>
    </w:rPr>
  </w:style>
  <w:style w:type="paragraph" w:customStyle="1" w:styleId="56">
    <w:name w:val="样式 28 10 磅"/>
    <w:pPr>
      <w:widowControl w:val="0"/>
      <w:jc w:val="both"/>
    </w:pPr>
    <w:rPr>
      <w:rFonts w:ascii="Calibri" w:eastAsia="宋体" w:cs="Times New Roman" w:hAnsi="Calibri"/>
      <w:kern w:val="2"/>
      <w:sz w:val="21"/>
      <w:szCs w:val="22"/>
      <w:lang w:val="en-US" w:eastAsia="zh-CN" w:bidi="ar-SA"/>
    </w:rPr>
  </w:style>
  <w:style w:type="paragraph" w:customStyle="1" w:styleId="57">
    <w:name w:val="样式 29 10 磅"/>
    <w:pPr>
      <w:widowControl w:val="0"/>
      <w:jc w:val="both"/>
    </w:pPr>
    <w:rPr>
      <w:rFonts w:ascii="Calibri" w:eastAsia="宋体" w:cs="Times New Roman" w:hAnsi="Calibri"/>
      <w:kern w:val="2"/>
      <w:sz w:val="21"/>
      <w:szCs w:val="22"/>
      <w:lang w:val="en-US" w:eastAsia="zh-CN" w:bidi="ar-SA"/>
    </w:rPr>
  </w:style>
  <w:style w:type="character" w:styleId="58">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6</Pages>
  <Words>2892</Words>
  <Characters>2938</Characters>
  <Lines>134</Lines>
  <Paragraphs>38</Paragraphs>
  <CharactersWithSpaces>2938</CharactersWithSpaces>
  <Company>ITianKong.Com</Company>
</Properties>
</file>

<file path=docProps/core.xml><?xml version="1.0" encoding="utf-8"?>
<cp:coreProperties xmlns:cp="http://schemas.openxmlformats.org/package/2006/metadata/core-properties" xmlns:dc="http://purl.org/dc/elements/1.1/" xmlns:dcterms="http://purl.org/dc/terms/" xmlns:xsi="http://www.w3.org/2001/XMLSchema-instance">
  <dc:creator>liusicong</dc:creator>
  <cp:lastModifiedBy>刘书华</cp:lastModifiedBy>
  <cp:revision>3</cp:revision>
  <cp:lastPrinted>2022-04-13T03:54:00Z</cp:lastPrinted>
  <dcterms:created xsi:type="dcterms:W3CDTF">2022-05-09T08:52:00Z</dcterms:created>
  <dcterms:modified xsi:type="dcterms:W3CDTF">2023-01-17T10:10:43Z</dcterms:modified>
</cp:coreProperties>
</file>