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5"/>
        <w:spacing w:line="580" w:lineRule="exact"/>
        <w:ind w:left="0"/>
        <w:jc w:val="center"/>
        <w:rPr>
          <w:rFonts w:ascii="方正小标宋_GBK" w:eastAsia="方正小标宋_GBK" w:cs="方正小标宋_GBK" w:hint="eastAsia"/>
          <w:color w:val="auto"/>
          <w:sz w:val="44"/>
          <w:szCs w:val="44"/>
          <w:lang w:bidi="ar-SA"/>
        </w:rPr>
      </w:pPr>
      <w:bookmarkStart w:id="0" w:name="_Hlk25540369"/>
      <w:bookmarkStart w:id="1" w:name="cogw__正文__file"/>
      <w:r>
        <w:rPr>
          <w:rFonts w:ascii="方正小标宋_GBK" w:eastAsia="方正小标宋_GBK" w:cs="方正小标宋_GBK" w:hint="eastAsia"/>
          <w:color w:val="auto"/>
          <w:sz w:val="44"/>
          <w:szCs w:val="44"/>
          <w:lang w:eastAsia="zh-CN" w:bidi="ar-SA"/>
        </w:rPr>
        <w:t>广州白云机场</w:t>
      </w:r>
      <w:r>
        <w:rPr>
          <w:rFonts w:ascii="方正小标宋_GBK" w:eastAsia="方正小标宋_GBK" w:cs="方正小标宋_GBK" w:hint="eastAsia"/>
          <w:color w:val="auto"/>
          <w:sz w:val="44"/>
          <w:szCs w:val="44"/>
          <w:lang w:bidi="ar-SA"/>
        </w:rPr>
        <w:t>海关202</w:t>
      </w:r>
      <w:r>
        <w:rPr>
          <w:rFonts w:ascii="方正小标宋_GBK" w:eastAsia="方正小标宋_GBK" w:cs="方正小标宋_GBK"/>
          <w:color w:val="auto"/>
          <w:sz w:val="44"/>
          <w:szCs w:val="44"/>
          <w:lang w:bidi="ar-SA"/>
        </w:rPr>
        <w:t>5</w:t>
      </w:r>
      <w:r>
        <w:rPr>
          <w:rFonts w:ascii="方正小标宋_GBK" w:eastAsia="方正小标宋_GBK" w:cs="方正小标宋_GBK" w:hint="eastAsia"/>
          <w:color w:val="auto"/>
          <w:sz w:val="44"/>
          <w:szCs w:val="44"/>
          <w:lang w:bidi="ar-SA"/>
        </w:rPr>
        <w:t>年政府信息公开工作</w:t>
      </w:r>
    </w:p>
    <w:p>
      <w:pPr>
        <w:pStyle w:val="45"/>
        <w:spacing w:line="580" w:lineRule="exact"/>
        <w:ind w:left="0"/>
        <w:jc w:val="center"/>
        <w:rPr>
          <w:rFonts w:ascii="方正小标宋_GBK" w:eastAsia="方正小标宋_GBK" w:cs="方正小标宋_GBK" w:hint="eastAsia"/>
          <w:color w:val="auto"/>
          <w:sz w:val="44"/>
          <w:szCs w:val="44"/>
          <w:lang w:bidi="ar-SA"/>
        </w:rPr>
      </w:pPr>
      <w:r>
        <w:rPr>
          <w:rFonts w:ascii="方正小标宋_GBK" w:eastAsia="方正小标宋_GBK" w:cs="方正小标宋_GBK" w:hint="eastAsia"/>
          <w:color w:val="auto"/>
          <w:sz w:val="44"/>
          <w:szCs w:val="44"/>
          <w:lang w:bidi="ar-SA"/>
        </w:rPr>
        <w:t>年度报告</w:t>
      </w:r>
      <w:bookmarkEnd w:id="0"/>
    </w:p>
    <w:p>
      <w:pPr>
        <w:pStyle w:val="27"/>
        <w:widowControl/>
        <w:shd w:val="clear" w:color="auto" w:fill="FFFFFF"/>
        <w:adjustRightInd w:val="0"/>
        <w:snapToGrid w:val="0"/>
        <w:spacing w:beforeAutospacing="0" w:afterAutospacing="0" w:line="560" w:lineRule="exact"/>
        <w:ind w:firstLine="0"/>
        <w:jc w:val="both"/>
        <w:rPr>
          <w:rFonts w:ascii="楷体_GB2312" w:eastAsia="楷体_GB2312" w:cs="楷体_GB2312" w:hint="eastAsia"/>
          <w:bCs/>
          <w:color w:val="auto"/>
          <w:sz w:val="32"/>
          <w:szCs w:val="32"/>
          <w:shd w:val="clear" w:color="auto" w:fill="FFFFFF"/>
          <w:lang w:bidi="ar-SA"/>
        </w:rPr>
      </w:pP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仿宋_GBK" w:hAnsi="Times New Roman" w:hint="eastAsia"/>
          <w:sz w:val="32"/>
          <w:szCs w:val="32"/>
          <w:shd w:val="clear" w:color="auto" w:fill="auto"/>
        </w:rPr>
      </w:pPr>
      <w:r>
        <w:rPr>
          <w:rFonts w:ascii="Times New Roman" w:eastAsia="方正仿宋_GBK" w:hAnsi="Times New Roman" w:hint="eastAsia"/>
          <w:sz w:val="32"/>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梳理编制广州白云机场海关202</w:t>
      </w:r>
      <w:r>
        <w:rPr>
          <w:rFonts w:ascii="Times New Roman" w:eastAsia="方正仿宋_GBK" w:hAnsi="Times New Roman" w:hint="eastAsia"/>
          <w:sz w:val="32"/>
          <w:szCs w:val="32"/>
          <w:shd w:val="clear" w:color="auto" w:fill="auto"/>
          <w:lang w:val="en-US" w:eastAsia="zh-CN"/>
        </w:rPr>
        <w:t>5</w:t>
      </w:r>
      <w:r>
        <w:rPr>
          <w:rFonts w:ascii="Times New Roman" w:eastAsia="方正仿宋_GBK" w:hAnsi="Times New Roman" w:hint="eastAsia"/>
          <w:sz w:val="32"/>
          <w:szCs w:val="32"/>
          <w:shd w:val="clear" w:color="auto" w:fill="auto"/>
        </w:rPr>
        <w:t>年政府信息公开工作年报。报告中所列数据的统计期限，自202</w:t>
      </w:r>
      <w:r>
        <w:rPr>
          <w:rFonts w:ascii="Times New Roman" w:eastAsia="方正仿宋_GBK" w:hAnsi="Times New Roman" w:hint="eastAsia"/>
          <w:sz w:val="32"/>
          <w:szCs w:val="32"/>
          <w:shd w:val="clear" w:color="auto" w:fill="auto"/>
          <w:lang w:val="en-US" w:eastAsia="zh-CN"/>
        </w:rPr>
        <w:t>5</w:t>
      </w:r>
      <w:r>
        <w:rPr>
          <w:rFonts w:ascii="Times New Roman" w:eastAsia="方正仿宋_GBK" w:hAnsi="Times New Roman" w:hint="eastAsia"/>
          <w:sz w:val="32"/>
          <w:szCs w:val="32"/>
          <w:shd w:val="clear" w:color="auto" w:fill="auto"/>
        </w:rPr>
        <w:t>年1月1日起至202</w:t>
      </w:r>
      <w:r>
        <w:rPr>
          <w:rFonts w:ascii="Times New Roman" w:eastAsia="方正仿宋_GBK" w:hAnsi="Times New Roman" w:hint="eastAsia"/>
          <w:sz w:val="32"/>
          <w:szCs w:val="32"/>
          <w:shd w:val="clear" w:color="auto" w:fill="auto"/>
          <w:lang w:val="en-US" w:eastAsia="zh-CN"/>
        </w:rPr>
        <w:t>5</w:t>
      </w:r>
      <w:r>
        <w:rPr>
          <w:rFonts w:ascii="Times New Roman" w:eastAsia="方正仿宋_GBK" w:hAnsi="Times New Roman" w:hint="eastAsia"/>
          <w:sz w:val="32"/>
          <w:szCs w:val="32"/>
          <w:shd w:val="clear" w:color="auto" w:fill="auto"/>
        </w:rPr>
        <w:t>年12月31日止。如对本报告有疑问或有任何意见、建议，请联系广州白云机场海关办公室，地址：广东省广州市白云区白云国际机场空港四路横一路，邮编：510470；电话：020-81102569；电子邮箱：gzbyjchgbgs@customs.gov.cn</w:t>
      </w:r>
      <w:r>
        <w:rPr>
          <w:rFonts w:ascii="Times New Roman" w:eastAsia="方正仿宋_GBK" w:hAnsi="Times New Roman"/>
          <w:sz w:val="32"/>
          <w:szCs w:val="32"/>
          <w:shd w:val="clear" w:color="auto" w:fill="auto"/>
        </w:rPr>
        <w:t>。</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黑体_GBK" w:cs="楷体_GB2312" w:hAnsi="Times New Roman" w:hint="eastAsia"/>
          <w:bCs/>
          <w:sz w:val="32"/>
          <w:szCs w:val="32"/>
          <w:shd w:val="clear" w:color="auto" w:fill="auto"/>
          <w:lang w:bidi="ar-SA"/>
        </w:rPr>
      </w:pPr>
      <w:r>
        <w:rPr>
          <w:rFonts w:ascii="Times New Roman" w:eastAsia="方正黑体_GBK" w:cs="楷体_GB2312" w:hAnsi="Times New Roman" w:hint="eastAsia"/>
          <w:bCs/>
          <w:sz w:val="32"/>
          <w:szCs w:val="32"/>
          <w:shd w:val="clear" w:color="auto" w:fill="auto"/>
          <w:lang w:bidi="ar-SA"/>
        </w:rPr>
        <w:t>一、总体情况</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仿宋_GBK" w:hAnsi="Times New Roman"/>
          <w:sz w:val="32"/>
          <w:szCs w:val="32"/>
          <w:shd w:val="clear" w:color="auto" w:fill="auto"/>
        </w:rPr>
      </w:pPr>
      <w:r>
        <w:rPr>
          <w:rFonts w:ascii="Times New Roman" w:eastAsia="方正仿宋_GBK" w:hAnsi="Times New Roman" w:hint="eastAsia"/>
          <w:sz w:val="32"/>
          <w:szCs w:val="32"/>
          <w:shd w:val="clear" w:color="auto" w:fill="auto"/>
        </w:rPr>
        <w:t>202</w:t>
      </w:r>
      <w:r>
        <w:rPr>
          <w:rFonts w:ascii="Times New Roman" w:eastAsia="方正仿宋_GBK" w:hAnsi="Times New Roman" w:hint="eastAsia"/>
          <w:sz w:val="32"/>
          <w:szCs w:val="32"/>
          <w:shd w:val="clear" w:color="auto" w:fill="auto"/>
          <w:lang w:val="en-US" w:eastAsia="zh-CN"/>
        </w:rPr>
        <w:t>5</w:t>
      </w:r>
      <w:r>
        <w:rPr>
          <w:rFonts w:ascii="Times New Roman" w:eastAsia="方正仿宋_GBK" w:hAnsi="Times New Roman" w:hint="eastAsia"/>
          <w:sz w:val="32"/>
          <w:szCs w:val="32"/>
          <w:shd w:val="clear" w:color="auto" w:fill="auto"/>
        </w:rPr>
        <w:t>年，广州白云机场海关（以下简称“机场海关”）坚持以习近平新时代中国特色社会主义思想为指导，</w:t>
      </w:r>
      <w:r>
        <w:rPr>
          <w:rFonts w:ascii="Times New Roman" w:eastAsia="方正仿宋_GBK" w:hAnsi="Times New Roman" w:hint="eastAsia"/>
          <w:sz w:val="32"/>
          <w:szCs w:val="32"/>
          <w:shd w:val="clear" w:color="auto" w:fill="auto"/>
          <w:lang w:eastAsia="zh-CN"/>
        </w:rPr>
        <w:t>全面贯彻落实党的二十大和二十届</w:t>
      </w:r>
      <w:r>
        <w:rPr>
          <w:rFonts w:ascii="Times New Roman" w:eastAsia="方正仿宋_GBK" w:hAnsi="Times New Roman"/>
          <w:sz w:val="32"/>
          <w:szCs w:val="32"/>
          <w:shd w:val="clear" w:color="auto" w:fill="auto"/>
          <w:lang w:eastAsia="zh-CN"/>
        </w:rPr>
        <w:t>历次</w:t>
      </w:r>
      <w:r>
        <w:rPr>
          <w:rFonts w:ascii="Times New Roman" w:eastAsia="方正仿宋_GBK" w:hAnsi="Times New Roman" w:hint="eastAsia"/>
          <w:sz w:val="32"/>
          <w:szCs w:val="32"/>
          <w:shd w:val="clear" w:color="auto" w:fill="auto"/>
          <w:lang w:eastAsia="zh-CN"/>
        </w:rPr>
        <w:t>全会精神，</w:t>
      </w:r>
      <w:r>
        <w:rPr>
          <w:rFonts w:ascii="Times New Roman" w:eastAsia="方正仿宋_GBK" w:hAnsi="Times New Roman" w:hint="eastAsia"/>
          <w:sz w:val="32"/>
          <w:szCs w:val="32"/>
          <w:shd w:val="clear" w:color="auto" w:fill="auto"/>
        </w:rPr>
        <w:t>深入学习习近平总书记</w:t>
      </w:r>
      <w:r>
        <w:rPr>
          <w:rFonts w:ascii="Times New Roman" w:eastAsia="方正仿宋_GBK" w:hAnsi="Times New Roman"/>
          <w:sz w:val="32"/>
          <w:szCs w:val="32"/>
          <w:shd w:val="clear" w:color="auto" w:fill="auto"/>
        </w:rPr>
        <w:t>重要指示批示和</w:t>
      </w:r>
      <w:r>
        <w:rPr>
          <w:rFonts w:ascii="Times New Roman" w:eastAsia="方正仿宋_GBK" w:hAnsi="Times New Roman" w:hint="eastAsia"/>
          <w:sz w:val="32"/>
          <w:szCs w:val="32"/>
          <w:shd w:val="clear" w:color="auto" w:fill="auto"/>
        </w:rPr>
        <w:t>给红其拉甫海关全体关员重要回信精神，严格执行《中华人民共和国政府信息公开条例》，持续推进</w:t>
      </w:r>
      <w:r>
        <w:rPr>
          <w:rFonts w:ascii="Times New Roman" w:eastAsia="方正仿宋_GBK" w:hAnsi="Times New Roman" w:hint="eastAsia"/>
          <w:sz w:val="32"/>
          <w:szCs w:val="32"/>
          <w:shd w:val="clear" w:color="auto" w:fill="auto"/>
          <w:lang w:eastAsia="zh-CN"/>
        </w:rPr>
        <w:t>政务服务平台</w:t>
      </w:r>
      <w:r>
        <w:rPr>
          <w:rFonts w:ascii="Times New Roman" w:eastAsia="方正仿宋_GBK" w:hAnsi="Times New Roman" w:hint="eastAsia"/>
          <w:sz w:val="32"/>
          <w:szCs w:val="32"/>
          <w:shd w:val="clear" w:color="auto" w:fill="auto"/>
        </w:rPr>
        <w:t>建设，</w:t>
      </w:r>
      <w:r>
        <w:rPr>
          <w:rFonts w:ascii="Times New Roman" w:eastAsia="方正仿宋_GBK" w:hAnsi="Times New Roman" w:hint="eastAsia"/>
          <w:sz w:val="32"/>
          <w:szCs w:val="32"/>
          <w:shd w:val="clear" w:color="auto" w:fill="auto"/>
          <w:lang w:eastAsia="zh-CN"/>
        </w:rPr>
        <w:t>着力优化</w:t>
      </w:r>
      <w:r>
        <w:rPr>
          <w:rFonts w:ascii="Times New Roman" w:eastAsia="方正仿宋_GBK" w:hAnsi="Times New Roman" w:hint="eastAsia"/>
          <w:sz w:val="32"/>
          <w:szCs w:val="32"/>
          <w:shd w:val="clear" w:color="auto" w:fill="auto"/>
        </w:rPr>
        <w:t>政务服务</w:t>
      </w:r>
      <w:r>
        <w:rPr>
          <w:rFonts w:ascii="Times New Roman" w:eastAsia="方正仿宋_GBK" w:hAnsi="Times New Roman" w:hint="eastAsia"/>
          <w:sz w:val="32"/>
          <w:szCs w:val="32"/>
          <w:shd w:val="clear" w:color="auto" w:fill="auto"/>
          <w:lang w:eastAsia="zh-CN"/>
        </w:rPr>
        <w:t>效能</w:t>
      </w:r>
      <w:r>
        <w:rPr>
          <w:rFonts w:ascii="Times New Roman" w:eastAsia="方正仿宋_GBK" w:hAnsi="Times New Roman" w:hint="eastAsia"/>
          <w:sz w:val="32"/>
          <w:szCs w:val="32"/>
          <w:shd w:val="clear" w:color="auto" w:fill="auto"/>
        </w:rPr>
        <w:t>，</w:t>
      </w:r>
      <w:r>
        <w:rPr>
          <w:rFonts w:ascii="Times New Roman" w:eastAsia="方正仿宋_GBK" w:hAnsi="Times New Roman" w:hint="eastAsia"/>
          <w:sz w:val="32"/>
          <w:szCs w:val="32"/>
          <w:shd w:val="clear" w:color="auto" w:fill="auto"/>
          <w:lang w:eastAsia="zh-CN"/>
        </w:rPr>
        <w:t>保障</w:t>
      </w:r>
      <w:r>
        <w:rPr>
          <w:rFonts w:ascii="Times New Roman" w:eastAsia="方正仿宋_GBK" w:hAnsi="Times New Roman"/>
          <w:sz w:val="32"/>
          <w:szCs w:val="32"/>
          <w:shd w:val="clear" w:color="auto" w:fill="auto"/>
        </w:rPr>
        <w:t>政务公</w:t>
      </w:r>
      <w:r>
        <w:rPr>
          <w:rFonts w:ascii="Times New Roman" w:eastAsia="方正仿宋_GBK" w:hAnsi="Times New Roman" w:hint="eastAsia"/>
          <w:sz w:val="32"/>
          <w:szCs w:val="32"/>
          <w:shd w:val="clear" w:color="auto" w:fill="auto"/>
        </w:rPr>
        <w:t>开</w:t>
      </w:r>
      <w:r>
        <w:rPr>
          <w:rFonts w:ascii="Times New Roman" w:eastAsia="方正仿宋_GBK" w:hAnsi="Times New Roman" w:hint="eastAsia"/>
          <w:sz w:val="32"/>
          <w:szCs w:val="32"/>
          <w:shd w:val="clear" w:color="auto" w:fill="auto"/>
          <w:lang w:eastAsia="zh-CN"/>
        </w:rPr>
        <w:t>工作依规有序</w:t>
      </w:r>
      <w:r>
        <w:rPr>
          <w:rFonts w:ascii="Times New Roman" w:eastAsia="方正仿宋_GBK" w:hAnsi="Times New Roman" w:hint="eastAsia"/>
          <w:sz w:val="32"/>
          <w:szCs w:val="32"/>
          <w:shd w:val="clear" w:color="auto" w:fill="auto"/>
        </w:rPr>
        <w:t>运行。现将工作情况报告如下：</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楷体_GBK" w:hAnsi="Times New Roman" w:hint="eastAsia"/>
          <w:b/>
          <w:sz w:val="32"/>
          <w:shd w:val="clear" w:color="auto" w:fill="auto"/>
        </w:rPr>
      </w:pPr>
      <w:r>
        <w:rPr>
          <w:rFonts w:ascii="Times New Roman" w:eastAsia="方正楷体_GBK" w:hAnsi="Times New Roman" w:hint="eastAsia"/>
          <w:b/>
          <w:sz w:val="32"/>
          <w:shd w:val="clear" w:color="auto" w:fill="auto"/>
        </w:rPr>
        <w:t>（一）主动公开工作情况。</w:t>
      </w:r>
    </w:p>
    <w:p>
      <w:pPr>
        <w:pStyle w:val="27"/>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60" w:lineRule="exact"/>
        <w:ind w:left="0" w:right="0" w:firstLineChars="200" w:firstLine="640"/>
        <w:jc w:val="both"/>
        <w:textAlignment w:val="auto"/>
        <w:rPr>
          <w:rFonts w:ascii="Times New Roman" w:eastAsia="方正楷体_GBK" w:hAnsi="Times New Roman" w:hint="eastAsia"/>
          <w:b/>
          <w:color w:val="FF0000"/>
          <w:sz w:val="32"/>
          <w:shd w:val="clear" w:color="auto" w:fill="auto"/>
          <w:highlight w:val="auto"/>
        </w:rPr>
      </w:pPr>
      <w:r>
        <w:rPr>
          <w:rFonts w:eastAsia="方正仿宋_GBK" w:hint="eastAsia"/>
          <w:color w:val="auto"/>
          <w:sz w:val="32"/>
          <w:szCs w:val="32"/>
          <w:shd w:val="clear" w:color="auto" w:fill="auto"/>
          <w:lang w:eastAsia="zh-CN"/>
        </w:rPr>
        <w:t>通过</w:t>
      </w:r>
      <w:r>
        <w:rPr>
          <w:rFonts w:ascii="Times New Roman" w:eastAsia="方正仿宋_GBK" w:hAnsi="Times New Roman" w:hint="eastAsia"/>
          <w:color w:val="auto"/>
          <w:sz w:val="32"/>
          <w:szCs w:val="32"/>
          <w:shd w:val="clear" w:color="auto" w:fill="auto"/>
        </w:rPr>
        <w:t>广州海关门户网站</w:t>
      </w:r>
      <w:r>
        <w:rPr>
          <w:rFonts w:eastAsia="方正仿宋_GBK" w:hint="eastAsia"/>
          <w:color w:val="auto"/>
          <w:sz w:val="32"/>
          <w:szCs w:val="32"/>
          <w:shd w:val="clear" w:color="auto" w:fill="auto"/>
          <w:lang w:eastAsia="zh-CN"/>
        </w:rPr>
        <w:t>常态化发布</w:t>
      </w:r>
      <w:r>
        <w:rPr>
          <w:rFonts w:ascii="Times New Roman" w:eastAsia="方正仿宋_GBK" w:hAnsi="Times New Roman" w:hint="eastAsia"/>
          <w:color w:val="auto"/>
          <w:sz w:val="32"/>
          <w:szCs w:val="32"/>
          <w:shd w:val="clear" w:color="auto" w:fill="auto"/>
        </w:rPr>
        <w:t>机场海关</w:t>
      </w:r>
      <w:r>
        <w:rPr>
          <w:rFonts w:ascii="Times New Roman" w:eastAsia="方正仿宋_GBK" w:hAnsi="Times New Roman"/>
          <w:color w:val="auto"/>
          <w:sz w:val="32"/>
          <w:szCs w:val="32"/>
          <w:shd w:val="clear" w:color="auto" w:fill="auto"/>
        </w:rPr>
        <w:t>机构</w:t>
      </w:r>
      <w:r>
        <w:rPr>
          <w:rFonts w:ascii="Times New Roman" w:eastAsia="方正仿宋_GBK" w:hAnsi="Times New Roman" w:hint="eastAsia"/>
          <w:color w:val="auto"/>
          <w:sz w:val="32"/>
          <w:szCs w:val="32"/>
          <w:shd w:val="clear" w:color="auto" w:fill="auto"/>
        </w:rPr>
        <w:t>职能、业务咨询渠道、财务预决算、行政执法决定</w:t>
      </w:r>
      <w:r>
        <w:rPr>
          <w:rFonts w:eastAsia="方正仿宋_GBK" w:hint="eastAsia"/>
          <w:color w:val="auto"/>
          <w:sz w:val="32"/>
          <w:szCs w:val="32"/>
          <w:shd w:val="clear" w:color="auto" w:fill="auto"/>
          <w:lang w:eastAsia="zh-CN"/>
        </w:rPr>
        <w:t>、</w:t>
      </w:r>
      <w:r>
        <w:rPr>
          <w:rFonts w:ascii="Times New Roman" w:eastAsia="方正仿宋_GBK" w:hAnsi="Times New Roman" w:hint="eastAsia"/>
          <w:color w:val="auto"/>
          <w:sz w:val="32"/>
          <w:szCs w:val="32"/>
          <w:shd w:val="clear" w:color="auto" w:fill="auto"/>
          <w:highlight w:val="auto"/>
        </w:rPr>
        <w:t>行政许可</w:t>
      </w:r>
      <w:r>
        <w:rPr>
          <w:rFonts w:ascii="Times New Roman" w:eastAsia="方正仿宋_GBK" w:hAnsi="Times New Roman"/>
          <w:color w:val="auto"/>
          <w:sz w:val="32"/>
          <w:szCs w:val="32"/>
          <w:shd w:val="clear" w:color="auto" w:fill="auto"/>
          <w:highlight w:val="auto"/>
        </w:rPr>
        <w:t>、</w:t>
      </w:r>
      <w:r>
        <w:rPr>
          <w:rFonts w:ascii="Times New Roman" w:eastAsia="方正仿宋_GBK" w:hAnsi="Times New Roman" w:hint="eastAsia"/>
          <w:color w:val="auto"/>
          <w:sz w:val="32"/>
          <w:szCs w:val="32"/>
          <w:shd w:val="clear" w:color="auto" w:fill="auto"/>
          <w:highlight w:val="auto"/>
        </w:rPr>
        <w:t>行政处罚</w:t>
      </w:r>
      <w:r>
        <w:rPr>
          <w:rFonts w:ascii="Times New Roman" w:eastAsia="方正仿宋_GBK" w:hAnsi="Times New Roman"/>
          <w:color w:val="auto"/>
          <w:sz w:val="32"/>
          <w:szCs w:val="32"/>
          <w:shd w:val="clear" w:color="auto" w:fill="auto"/>
          <w:highlight w:val="auto"/>
        </w:rPr>
        <w:t>等</w:t>
      </w:r>
      <w:r>
        <w:rPr>
          <w:rFonts w:eastAsia="方正仿宋_GBK" w:hint="eastAsia"/>
          <w:color w:val="auto"/>
          <w:sz w:val="32"/>
          <w:szCs w:val="32"/>
          <w:shd w:val="clear" w:color="auto" w:fill="auto"/>
          <w:lang w:eastAsia="zh-CN"/>
          <w:highlight w:val="auto"/>
        </w:rPr>
        <w:t>法定主动公开</w:t>
      </w:r>
      <w:r>
        <w:rPr>
          <w:rFonts w:ascii="Times New Roman" w:eastAsia="方正仿宋_GBK" w:hAnsi="Times New Roman"/>
          <w:color w:val="auto"/>
          <w:sz w:val="32"/>
          <w:szCs w:val="32"/>
          <w:shd w:val="clear" w:color="auto" w:fill="auto"/>
          <w:highlight w:val="auto"/>
        </w:rPr>
        <w:t>政府信息</w:t>
      </w:r>
      <w:r>
        <w:rPr>
          <w:rFonts w:ascii="Times New Roman" w:eastAsia="方正仿宋_GBK" w:hAnsi="Times New Roman" w:hint="eastAsia"/>
          <w:color w:val="auto"/>
          <w:sz w:val="32"/>
          <w:szCs w:val="32"/>
          <w:shd w:val="clear" w:color="auto" w:fill="auto"/>
          <w:lang w:eastAsia="zh-CN"/>
          <w:highlight w:val="auto"/>
        </w:rPr>
        <w:t>。</w:t>
      </w:r>
      <w:r>
        <w:rPr>
          <w:rFonts w:ascii="Times New Roman" w:eastAsia="方正仿宋_GBK" w:hAnsi="Times New Roman" w:hint="eastAsia"/>
          <w:color w:val="auto"/>
          <w:sz w:val="32"/>
          <w:szCs w:val="32"/>
          <w:shd w:val="clear" w:color="auto" w:fill="auto"/>
          <w:highlight w:val="auto"/>
        </w:rPr>
        <w:t>发布</w:t>
      </w:r>
      <w:r>
        <w:rPr>
          <w:rFonts w:ascii="Times New Roman" w:eastAsia="方正仿宋_GBK" w:cs="方正仿宋_GBK" w:hAnsi="Times New Roman" w:hint="eastAsia"/>
          <w:color w:val="000000"/>
          <w:spacing w:val="-4"/>
          <w:kern w:val="0"/>
          <w:sz w:val="32"/>
          <w:szCs w:val="32"/>
          <w:shd w:val="clear" w:color="auto" w:fill="auto"/>
          <w:vertAlign w:val="baseline"/>
          <w:lang w:val="en-US" w:eastAsia="zh-CN" w:bidi="ar-SA"/>
          <w:highlight w:val="auto"/>
        </w:rPr>
        <w:t>《广州白云机场海关关于明确“双前置”货站监管模式的通告》</w:t>
      </w:r>
      <w:r>
        <w:rPr>
          <w:rFonts w:eastAsia="方正仿宋_GBK" w:cs="方正仿宋_GBK" w:hint="eastAsia"/>
          <w:color w:val="000000"/>
          <w:spacing w:val="-4"/>
          <w:kern w:val="0"/>
          <w:sz w:val="32"/>
          <w:szCs w:val="32"/>
          <w:shd w:val="clear" w:color="auto" w:fill="auto"/>
          <w:vertAlign w:val="baseline"/>
          <w:lang w:val="en-US" w:eastAsia="zh-CN" w:bidi="ar-SA"/>
          <w:highlight w:val="auto"/>
        </w:rPr>
        <w:t>，支持“双前置”（民航安检、海关查验前置）货站发展，</w:t>
      </w:r>
      <w:r>
        <w:rPr>
          <w:rFonts w:ascii="Times New Roman" w:eastAsia="方正仿宋_GBK" w:hAnsi="Times New Roman" w:hint="eastAsia"/>
          <w:sz w:val="32"/>
          <w:szCs w:val="32"/>
          <w:shd w:val="clear" w:color="auto" w:fill="auto"/>
          <w:lang w:eastAsia="zh-CN"/>
          <w:highlight w:val="auto"/>
        </w:rPr>
        <w:t>进一步提升通关便利化水平。</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仿宋_GBK" w:hAnsi="Times New Roman"/>
          <w:sz w:val="32"/>
          <w:szCs w:val="32"/>
          <w:shd w:val="clear" w:color="auto" w:fill="auto"/>
        </w:rPr>
      </w:pPr>
      <w:r>
        <w:rPr>
          <w:rFonts w:ascii="Times New Roman" w:eastAsia="方正楷体_GBK" w:hAnsi="Times New Roman" w:hint="eastAsia"/>
          <w:b/>
          <w:sz w:val="32"/>
          <w:shd w:val="clear" w:color="auto" w:fill="auto"/>
        </w:rPr>
        <w:t>（二）依申请公开工作情况。</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仿宋_GBK" w:hAnsi="Times New Roman"/>
          <w:color w:val="auto"/>
          <w:sz w:val="32"/>
          <w:szCs w:val="32"/>
          <w:shd w:val="clear" w:color="auto" w:fill="auto"/>
          <w:highlight w:val="yellow"/>
        </w:rPr>
      </w:pPr>
      <w:r>
        <w:rPr>
          <w:rFonts w:ascii="Times New Roman" w:eastAsia="方正仿宋_GBK" w:hAnsi="Times New Roman" w:hint="eastAsia"/>
          <w:color w:val="auto"/>
          <w:sz w:val="32"/>
          <w:szCs w:val="32"/>
          <w:shd w:val="clear" w:color="auto" w:fill="auto"/>
          <w:highlight w:val="auto"/>
        </w:rPr>
        <w:t>专人定期查收政府信息公开专用邮箱、</w:t>
      </w:r>
      <w:r>
        <w:rPr>
          <w:rFonts w:ascii="Times New Roman" w:eastAsia="方正仿宋_GBK" w:hAnsi="Times New Roman" w:hint="eastAsia"/>
          <w:color w:val="auto"/>
          <w:sz w:val="32"/>
          <w:szCs w:val="32"/>
          <w:shd w:val="clear" w:color="auto" w:fill="auto"/>
          <w:lang w:eastAsia="zh-CN"/>
          <w:highlight w:val="auto"/>
        </w:rPr>
        <w:t>信函</w:t>
      </w:r>
      <w:r>
        <w:rPr>
          <w:rFonts w:ascii="Times New Roman" w:eastAsia="方正仿宋_GBK" w:hAnsi="Times New Roman" w:hint="eastAsia"/>
          <w:color w:val="auto"/>
          <w:sz w:val="32"/>
          <w:szCs w:val="32"/>
          <w:shd w:val="clear" w:color="auto" w:fill="auto"/>
          <w:highlight w:val="auto"/>
        </w:rPr>
        <w:t>、传真，</w:t>
      </w:r>
      <w:r>
        <w:rPr>
          <w:rFonts w:ascii="Times New Roman" w:eastAsia="方正仿宋_GBK" w:hAnsi="Times New Roman" w:hint="eastAsia"/>
          <w:color w:val="auto"/>
          <w:sz w:val="32"/>
          <w:szCs w:val="32"/>
          <w:shd w:val="clear" w:color="auto" w:fill="auto"/>
          <w:lang w:eastAsia="zh-CN"/>
          <w:highlight w:val="auto"/>
        </w:rPr>
        <w:t>及时接听</w:t>
      </w:r>
      <w:r>
        <w:rPr>
          <w:rFonts w:ascii="Times New Roman" w:eastAsia="方正仿宋_GBK" w:hAnsi="Times New Roman"/>
          <w:color w:val="auto"/>
          <w:sz w:val="32"/>
          <w:szCs w:val="32"/>
          <w:shd w:val="clear" w:color="auto" w:fill="auto"/>
          <w:lang w:eastAsia="zh-CN"/>
          <w:highlight w:val="auto"/>
        </w:rPr>
        <w:t>咨询</w:t>
      </w:r>
      <w:r>
        <w:rPr>
          <w:rFonts w:ascii="Times New Roman" w:eastAsia="方正仿宋_GBK" w:hAnsi="Times New Roman" w:hint="eastAsia"/>
          <w:color w:val="auto"/>
          <w:sz w:val="32"/>
          <w:szCs w:val="32"/>
          <w:shd w:val="clear" w:color="auto" w:fill="auto"/>
          <w:lang w:eastAsia="zh-CN"/>
          <w:highlight w:val="auto"/>
        </w:rPr>
        <w:t>电话，确保各受理渠道畅通。严格落实</w:t>
      </w:r>
      <w:r>
        <w:rPr>
          <w:rFonts w:ascii="Times New Roman" w:eastAsia="方正仿宋_GBK" w:hAnsi="Times New Roman" w:hint="eastAsia"/>
          <w:color w:val="auto"/>
          <w:sz w:val="32"/>
          <w:szCs w:val="32"/>
          <w:shd w:val="clear" w:color="auto" w:fill="auto"/>
          <w:highlight w:val="auto"/>
        </w:rPr>
        <w:t>受理、审核、答复、归档全流程</w:t>
      </w:r>
      <w:r>
        <w:rPr>
          <w:rFonts w:ascii="Times New Roman" w:eastAsia="方正仿宋_GBK" w:hAnsi="Times New Roman" w:hint="eastAsia"/>
          <w:color w:val="auto"/>
          <w:sz w:val="32"/>
          <w:szCs w:val="32"/>
          <w:shd w:val="clear" w:color="auto" w:fill="auto"/>
          <w:lang w:eastAsia="zh-CN"/>
          <w:highlight w:val="auto"/>
        </w:rPr>
        <w:t>办</w:t>
      </w:r>
      <w:r>
        <w:rPr>
          <w:rFonts w:ascii="Times New Roman" w:eastAsia="方正仿宋_GBK" w:hAnsi="Times New Roman" w:hint="eastAsia"/>
          <w:color w:val="auto"/>
          <w:sz w:val="32"/>
          <w:szCs w:val="32"/>
          <w:shd w:val="clear" w:color="auto" w:fill="auto"/>
          <w:highlight w:val="auto"/>
        </w:rPr>
        <w:t>理要求，</w:t>
      </w:r>
      <w:r>
        <w:rPr>
          <w:rFonts w:ascii="Times New Roman" w:eastAsia="方正仿宋_GBK" w:hAnsi="Times New Roman" w:hint="eastAsia"/>
          <w:color w:val="auto"/>
          <w:sz w:val="32"/>
          <w:szCs w:val="32"/>
          <w:shd w:val="clear" w:color="auto" w:fill="auto"/>
          <w:lang w:eastAsia="zh-CN"/>
          <w:highlight w:val="auto"/>
        </w:rPr>
        <w:t>规范告知</w:t>
      </w:r>
      <w:r>
        <w:rPr>
          <w:rFonts w:ascii="Times New Roman" w:eastAsia="方正仿宋_GBK" w:hAnsi="Times New Roman" w:hint="eastAsia"/>
          <w:color w:val="auto"/>
          <w:sz w:val="32"/>
          <w:szCs w:val="32"/>
          <w:shd w:val="clear" w:color="auto" w:fill="auto"/>
          <w:highlight w:val="auto"/>
        </w:rPr>
        <w:t>申请人救济渠道，持续提升依申请公开办理水平，切实保障申请人合法权益。年内共收到政府信息公开申请</w:t>
      </w:r>
      <w:r>
        <w:rPr>
          <w:rFonts w:ascii="Times New Roman" w:eastAsia="方正仿宋_GBK" w:hAnsi="Times New Roman"/>
          <w:color w:val="auto"/>
          <w:sz w:val="32"/>
          <w:szCs w:val="32"/>
          <w:shd w:val="clear" w:color="auto" w:fill="auto"/>
          <w:lang w:eastAsia="zh-CN"/>
          <w:highlight w:val="auto"/>
        </w:rPr>
        <w:t>12</w:t>
      </w:r>
      <w:r>
        <w:rPr>
          <w:rFonts w:ascii="Times New Roman" w:eastAsia="方正仿宋_GBK" w:hAnsi="Times New Roman" w:hint="eastAsia"/>
          <w:color w:val="auto"/>
          <w:sz w:val="32"/>
          <w:szCs w:val="32"/>
          <w:shd w:val="clear" w:color="auto" w:fill="auto"/>
          <w:highlight w:val="auto"/>
        </w:rPr>
        <w:t>件，未</w:t>
      </w:r>
      <w:r>
        <w:rPr>
          <w:rFonts w:ascii="Times New Roman" w:eastAsia="方正仿宋_GBK" w:hAnsi="Times New Roman"/>
          <w:color w:val="auto"/>
          <w:sz w:val="32"/>
          <w:szCs w:val="32"/>
          <w:shd w:val="clear" w:color="auto" w:fill="auto"/>
          <w:highlight w:val="auto"/>
        </w:rPr>
        <w:t>发生</w:t>
      </w:r>
      <w:r>
        <w:rPr>
          <w:rFonts w:ascii="Times New Roman" w:eastAsia="方正仿宋_GBK" w:hAnsi="Times New Roman" w:hint="eastAsia"/>
          <w:color w:val="auto"/>
          <w:sz w:val="32"/>
          <w:szCs w:val="32"/>
          <w:shd w:val="clear" w:color="auto" w:fill="auto"/>
          <w:highlight w:val="auto"/>
        </w:rPr>
        <w:t>因政府信息公开申请引发的行政复议</w:t>
      </w:r>
      <w:r>
        <w:rPr>
          <w:rFonts w:ascii="Times New Roman" w:eastAsia="方正仿宋_GBK" w:hAnsi="Times New Roman"/>
          <w:color w:val="auto"/>
          <w:sz w:val="32"/>
          <w:szCs w:val="32"/>
          <w:shd w:val="clear" w:color="auto" w:fill="auto"/>
          <w:highlight w:val="auto"/>
        </w:rPr>
        <w:t>、</w:t>
      </w:r>
      <w:r>
        <w:rPr>
          <w:rFonts w:ascii="Times New Roman" w:eastAsia="方正仿宋_GBK" w:hAnsi="Times New Roman" w:hint="eastAsia"/>
          <w:color w:val="auto"/>
          <w:sz w:val="32"/>
          <w:szCs w:val="32"/>
          <w:shd w:val="clear" w:color="auto" w:fill="auto"/>
          <w:highlight w:val="auto"/>
        </w:rPr>
        <w:t>诉讼</w:t>
      </w:r>
      <w:r>
        <w:rPr>
          <w:rFonts w:ascii="Times New Roman" w:eastAsia="方正仿宋_GBK" w:hAnsi="Times New Roman"/>
          <w:color w:val="auto"/>
          <w:sz w:val="32"/>
          <w:szCs w:val="32"/>
          <w:shd w:val="clear" w:color="auto" w:fill="auto"/>
          <w:highlight w:val="auto"/>
        </w:rPr>
        <w:t>。</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仿宋_GBK" w:hAnsi="Times New Roman"/>
          <w:sz w:val="32"/>
          <w:szCs w:val="32"/>
          <w:shd w:val="clear" w:color="auto" w:fill="auto"/>
        </w:rPr>
      </w:pPr>
      <w:r>
        <w:rPr>
          <w:rFonts w:ascii="Times New Roman" w:eastAsia="方正楷体_GBK" w:hAnsi="Times New Roman" w:hint="eastAsia"/>
          <w:b/>
          <w:sz w:val="32"/>
          <w:shd w:val="clear" w:color="auto" w:fill="auto"/>
        </w:rPr>
        <w:t>（三）政府信息管理情况。</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textAlignment w:val="auto"/>
        <w:rPr>
          <w:rFonts w:ascii="Times New Roman" w:eastAsia="方正仿宋_GBK" w:hAnsi="Times New Roman"/>
          <w:sz w:val="32"/>
          <w:szCs w:val="32"/>
          <w:shd w:val="clear" w:color="auto" w:fill="auto"/>
        </w:rPr>
      </w:pPr>
      <w:r>
        <w:rPr>
          <w:rFonts w:ascii="Times New Roman" w:eastAsia="方正仿宋_GBK" w:hAnsi="Times New Roman" w:hint="eastAsia"/>
          <w:sz w:val="32"/>
          <w:szCs w:val="32"/>
          <w:shd w:val="clear" w:color="auto" w:fill="auto"/>
        </w:rPr>
        <w:t>按照“谁制作、谁公开”“谁公开、谁审查”原则，强化信息</w:t>
      </w:r>
      <w:r>
        <w:rPr>
          <w:rFonts w:ascii="Times New Roman" w:eastAsia="方正仿宋_GBK" w:hAnsi="Times New Roman"/>
          <w:sz w:val="32"/>
          <w:szCs w:val="32"/>
          <w:shd w:val="clear" w:color="auto" w:fill="auto"/>
        </w:rPr>
        <w:t>公开</w:t>
      </w:r>
      <w:r>
        <w:rPr>
          <w:rFonts w:ascii="Times New Roman" w:eastAsia="方正仿宋_GBK" w:hAnsi="Times New Roman" w:hint="eastAsia"/>
          <w:sz w:val="32"/>
          <w:szCs w:val="32"/>
          <w:shd w:val="clear" w:color="auto" w:fill="auto"/>
          <w:highlight w:val="auto"/>
        </w:rPr>
        <w:t>发布前审查责任</w:t>
      </w:r>
      <w:r>
        <w:rPr>
          <w:rFonts w:ascii="Times New Roman" w:eastAsia="方正仿宋_GBK" w:hAnsi="Times New Roman" w:hint="eastAsia"/>
          <w:sz w:val="32"/>
          <w:szCs w:val="32"/>
          <w:shd w:val="clear" w:color="auto" w:fill="auto"/>
          <w:lang w:eastAsia="zh-CN"/>
          <w:highlight w:val="auto"/>
        </w:rPr>
        <w:t>落实，定期开展政务公开自查自纠和现场督导检查，对发现的问题及时通报整改</w:t>
      </w:r>
      <w:r>
        <w:rPr>
          <w:rFonts w:ascii="Times New Roman" w:eastAsia="方正仿宋_GBK" w:hAnsi="Times New Roman" w:hint="eastAsia"/>
          <w:sz w:val="32"/>
          <w:szCs w:val="32"/>
          <w:shd w:val="clear" w:color="auto" w:fill="auto"/>
          <w:highlight w:val="auto"/>
        </w:rPr>
        <w:t>，确保政府信息</w:t>
      </w:r>
      <w:r>
        <w:rPr>
          <w:rFonts w:ascii="Times New Roman" w:eastAsia="方正仿宋_GBK" w:hAnsi="Times New Roman" w:hint="eastAsia"/>
          <w:sz w:val="32"/>
          <w:szCs w:val="32"/>
          <w:shd w:val="clear" w:color="auto" w:fill="auto"/>
          <w:lang w:eastAsia="zh-CN"/>
          <w:highlight w:val="auto"/>
        </w:rPr>
        <w:t>公开的准确性和时效性。</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textAlignment w:val="auto"/>
        <w:rPr>
          <w:rFonts w:ascii="Times New Roman" w:eastAsia="方正楷体_GBK" w:hAnsi="Times New Roman" w:hint="eastAsia"/>
          <w:b/>
          <w:sz w:val="32"/>
          <w:shd w:val="clear" w:color="auto" w:fill="auto"/>
          <w:lang w:eastAsia="zh-CN"/>
          <w:highlight w:val="yellow"/>
        </w:rPr>
      </w:pPr>
      <w:r>
        <w:rPr>
          <w:rFonts w:ascii="Times New Roman" w:eastAsia="方正楷体_GBK" w:hAnsi="Times New Roman" w:hint="eastAsia"/>
          <w:b/>
          <w:sz w:val="32"/>
          <w:shd w:val="clear" w:color="auto" w:fill="auto"/>
        </w:rPr>
        <w:t>（四）</w:t>
      </w:r>
      <w:r>
        <w:rPr>
          <w:rFonts w:ascii="Times New Roman" w:eastAsia="方正楷体_GBK" w:hAnsi="Times New Roman" w:hint="eastAsia"/>
          <w:b/>
          <w:sz w:val="32"/>
          <w:shd w:val="clear" w:color="auto" w:fill="auto"/>
          <w:lang w:eastAsia="zh-CN"/>
        </w:rPr>
        <w:t>政府信息公开平台建设情况</w:t>
      </w:r>
      <w:r>
        <w:rPr>
          <w:rFonts w:ascii="Times New Roman" w:eastAsia="方正楷体_GBK" w:hAnsi="Times New Roman" w:hint="eastAsia"/>
          <w:b/>
          <w:sz w:val="32"/>
          <w:shd w:val="clear" w:color="auto" w:fill="auto"/>
        </w:rPr>
        <w:t>。</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仿宋_GBK" w:hAnsi="Times New Roman" w:hint="eastAsia"/>
          <w:color w:val="000000"/>
          <w:sz w:val="32"/>
          <w:szCs w:val="32"/>
          <w:shd w:val="clear" w:color="auto" w:fill="auto"/>
          <w:highlight w:val="auto"/>
        </w:rPr>
      </w:pPr>
      <w:r>
        <w:rPr>
          <w:rFonts w:ascii="Times New Roman" w:eastAsia="方正仿宋_GBK" w:hAnsi="Times New Roman" w:hint="eastAsia"/>
          <w:sz w:val="32"/>
          <w:szCs w:val="32"/>
          <w:shd w:val="clear" w:color="auto" w:fill="auto"/>
          <w:lang w:eastAsia="zh-CN"/>
          <w:highlight w:val="auto"/>
        </w:rPr>
        <w:t>及时更新</w:t>
      </w:r>
      <w:r>
        <w:rPr>
          <w:rFonts w:ascii="Times New Roman" w:eastAsia="方正仿宋_GBK" w:hAnsi="Times New Roman" w:hint="eastAsia"/>
          <w:color w:val="auto"/>
          <w:sz w:val="32"/>
          <w:szCs w:val="32"/>
          <w:shd w:val="clear" w:color="auto" w:fill="auto"/>
        </w:rPr>
        <w:t>广州海关门户网站</w:t>
      </w:r>
      <w:r>
        <w:rPr>
          <w:rFonts w:ascii="Times New Roman" w:eastAsia="方正仿宋_GBK" w:hAnsi="Times New Roman"/>
          <w:color w:val="auto"/>
          <w:sz w:val="32"/>
          <w:szCs w:val="32"/>
          <w:shd w:val="clear" w:color="auto" w:fill="auto"/>
          <w:lang w:eastAsia="zh-CN"/>
        </w:rPr>
        <w:t>政府</w:t>
      </w:r>
      <w:r>
        <w:rPr>
          <w:rFonts w:ascii="Times New Roman" w:eastAsia="方正仿宋_GBK" w:hAnsi="Times New Roman" w:hint="eastAsia"/>
          <w:color w:val="auto"/>
          <w:sz w:val="32"/>
          <w:szCs w:val="32"/>
          <w:shd w:val="clear" w:color="auto" w:fill="auto"/>
          <w:lang w:eastAsia="zh-CN"/>
        </w:rPr>
        <w:t>信息，</w:t>
      </w:r>
      <w:r>
        <w:rPr>
          <w:rFonts w:ascii="Times New Roman" w:eastAsia="方正仿宋_GBK" w:hAnsi="Times New Roman" w:hint="eastAsia"/>
          <w:sz w:val="32"/>
          <w:szCs w:val="32"/>
          <w:shd w:val="clear" w:color="auto" w:fill="auto"/>
          <w:lang w:eastAsia="zh-CN"/>
          <w:highlight w:val="auto"/>
        </w:rPr>
        <w:t>聚焦企业需求和公众关切，持续做好法律政策宣贯，年内组织开展“海关进企业、海关进社区、海关进校园”</w:t>
      </w:r>
      <w:r>
        <w:rPr>
          <w:rFonts w:ascii="Times New Roman" w:eastAsia="方正仿宋_GBK" w:hAnsi="Times New Roman" w:hint="eastAsia"/>
          <w:color w:val="000000"/>
          <w:sz w:val="32"/>
          <w:szCs w:val="32"/>
          <w:shd w:val="clear" w:color="auto" w:fill="auto"/>
          <w:highlight w:val="auto"/>
        </w:rPr>
        <w:t>——“三进”品牌活动</w:t>
      </w:r>
      <w:r>
        <w:rPr>
          <w:rFonts w:ascii="Times New Roman" w:eastAsia="方正仿宋_GBK" w:hAnsi="Times New Roman"/>
          <w:sz w:val="32"/>
          <w:szCs w:val="32"/>
          <w:shd w:val="clear" w:color="auto" w:fill="auto"/>
          <w:lang w:eastAsia="zh-CN"/>
          <w:highlight w:val="auto"/>
        </w:rPr>
        <w:t>106</w:t>
      </w:r>
      <w:r>
        <w:rPr>
          <w:rFonts w:ascii="Times New Roman" w:eastAsia="方正仿宋_GBK" w:hAnsi="Times New Roman" w:hint="eastAsia"/>
          <w:sz w:val="32"/>
          <w:szCs w:val="32"/>
          <w:shd w:val="clear" w:color="auto" w:fill="auto"/>
          <w:highlight w:val="auto"/>
        </w:rPr>
        <w:t>次</w:t>
      </w:r>
      <w:r>
        <w:rPr>
          <w:rFonts w:ascii="Times New Roman" w:eastAsia="方正仿宋_GBK" w:hAnsi="Times New Roman" w:hint="eastAsia"/>
          <w:sz w:val="32"/>
          <w:szCs w:val="32"/>
          <w:shd w:val="clear" w:color="auto" w:fill="auto"/>
          <w:lang w:eastAsia="zh-CN"/>
          <w:highlight w:val="auto"/>
        </w:rPr>
        <w:t>，</w:t>
      </w:r>
      <w:r>
        <w:rPr>
          <w:rFonts w:ascii="Times New Roman" w:eastAsia="方正仿宋_GBK" w:hAnsi="Times New Roman" w:hint="eastAsia"/>
          <w:sz w:val="32"/>
          <w:szCs w:val="32"/>
          <w:shd w:val="clear" w:color="auto" w:fill="auto"/>
          <w:highlight w:val="auto"/>
        </w:rPr>
        <w:t>服务企业、社区居民、学校师生数</w:t>
      </w:r>
      <w:r>
        <w:rPr>
          <w:rFonts w:ascii="Times New Roman" w:eastAsia="方正仿宋_GBK" w:hAnsi="Times New Roman"/>
          <w:sz w:val="32"/>
          <w:szCs w:val="32"/>
          <w:shd w:val="clear" w:color="auto" w:fill="auto"/>
          <w:lang w:eastAsia="zh-CN"/>
          <w:highlight w:val="auto"/>
        </w:rPr>
        <w:t>1608</w:t>
      </w:r>
      <w:r>
        <w:rPr>
          <w:rFonts w:ascii="Times New Roman" w:eastAsia="方正仿宋_GBK" w:hAnsi="Times New Roman" w:hint="eastAsia"/>
          <w:sz w:val="32"/>
          <w:szCs w:val="32"/>
          <w:shd w:val="clear" w:color="auto" w:fill="auto"/>
          <w:highlight w:val="auto"/>
        </w:rPr>
        <w:t>家（人）次。据统计，</w:t>
      </w:r>
      <w:r>
        <w:rPr>
          <w:rFonts w:ascii="Times New Roman" w:eastAsia="方正仿宋_GBK" w:hAnsi="Times New Roman"/>
          <w:sz w:val="32"/>
          <w:szCs w:val="32"/>
          <w:shd w:val="clear" w:color="auto" w:fill="auto"/>
          <w:highlight w:val="auto"/>
        </w:rPr>
        <w:t>年内</w:t>
      </w:r>
      <w:r>
        <w:rPr>
          <w:rFonts w:ascii="Times New Roman" w:eastAsia="方正仿宋_GBK" w:hAnsi="Times New Roman" w:hint="eastAsia"/>
          <w:sz w:val="32"/>
          <w:szCs w:val="32"/>
          <w:shd w:val="clear" w:color="auto" w:fill="auto"/>
          <w:highlight w:val="auto"/>
        </w:rPr>
        <w:t>机场海关共收到</w:t>
      </w:r>
      <w:r>
        <w:rPr>
          <w:rFonts w:ascii="Times New Roman" w:eastAsia="方正仿宋_GBK" w:hAnsi="Times New Roman"/>
          <w:sz w:val="32"/>
          <w:szCs w:val="32"/>
          <w:shd w:val="clear" w:color="auto" w:fill="auto"/>
          <w:highlight w:val="auto"/>
        </w:rPr>
        <w:t>社会</w:t>
      </w:r>
      <w:r>
        <w:rPr>
          <w:rFonts w:ascii="Times New Roman" w:eastAsia="方正仿宋_GBK" w:hAnsi="Times New Roman" w:hint="eastAsia"/>
          <w:sz w:val="32"/>
          <w:szCs w:val="32"/>
          <w:shd w:val="clear" w:color="auto" w:fill="auto"/>
          <w:highlight w:val="auto"/>
        </w:rPr>
        <w:t>各界送来的感谢信</w:t>
      </w:r>
      <w:r>
        <w:rPr>
          <w:rFonts w:ascii="Times New Roman" w:eastAsia="方正仿宋_GBK" w:hAnsi="Times New Roman" w:hint="eastAsia"/>
          <w:sz w:val="32"/>
          <w:szCs w:val="32"/>
          <w:shd w:val="clear" w:color="auto" w:fill="auto"/>
          <w:lang w:val="en-US" w:eastAsia="zh-CN"/>
          <w:highlight w:val="auto"/>
        </w:rPr>
        <w:t>7</w:t>
      </w:r>
      <w:r>
        <w:rPr>
          <w:rFonts w:ascii="Times New Roman" w:eastAsia="方正仿宋_GBK" w:hAnsi="Times New Roman" w:hint="eastAsia"/>
          <w:sz w:val="32"/>
          <w:szCs w:val="32"/>
          <w:shd w:val="clear" w:color="auto" w:fill="auto"/>
          <w:highlight w:val="auto"/>
        </w:rPr>
        <w:t>封</w:t>
      </w:r>
      <w:r>
        <w:rPr>
          <w:rFonts w:ascii="Times New Roman" w:eastAsia="方正仿宋_GBK" w:hAnsi="Times New Roman"/>
          <w:sz w:val="32"/>
          <w:szCs w:val="32"/>
          <w:shd w:val="clear" w:color="auto" w:fill="auto"/>
          <w:highlight w:val="auto"/>
        </w:rPr>
        <w:t>、</w:t>
      </w:r>
      <w:r>
        <w:rPr>
          <w:rFonts w:ascii="Times New Roman" w:eastAsia="方正仿宋_GBK" w:hAnsi="Times New Roman" w:hint="eastAsia"/>
          <w:sz w:val="32"/>
          <w:szCs w:val="32"/>
          <w:shd w:val="clear" w:color="auto" w:fill="auto"/>
          <w:highlight w:val="auto"/>
        </w:rPr>
        <w:t>锦旗</w:t>
      </w:r>
      <w:r>
        <w:rPr>
          <w:rFonts w:ascii="Times New Roman" w:eastAsia="方正仿宋_GBK" w:hAnsi="Times New Roman"/>
          <w:sz w:val="32"/>
          <w:szCs w:val="32"/>
          <w:shd w:val="clear" w:color="auto" w:fill="auto"/>
          <w:lang w:eastAsia="zh-CN"/>
          <w:highlight w:val="auto"/>
        </w:rPr>
        <w:t>35</w:t>
      </w:r>
      <w:r>
        <w:rPr>
          <w:rFonts w:ascii="Times New Roman" w:eastAsia="方正仿宋_GBK" w:hAnsi="Times New Roman" w:hint="eastAsia"/>
          <w:color w:val="000000"/>
          <w:sz w:val="32"/>
          <w:szCs w:val="32"/>
          <w:shd w:val="clear" w:color="auto" w:fill="auto"/>
          <w:highlight w:val="auto"/>
        </w:rPr>
        <w:t>面。</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rPr>
          <w:rFonts w:ascii="Times New Roman" w:eastAsia="方正仿宋_GBK" w:hAnsi="Times New Roman"/>
          <w:sz w:val="32"/>
          <w:szCs w:val="32"/>
          <w:shd w:val="clear" w:color="auto" w:fill="auto"/>
        </w:rPr>
      </w:pPr>
      <w:r>
        <w:rPr>
          <w:rFonts w:ascii="Times New Roman" w:eastAsia="方正楷体_GBK" w:hAnsi="Times New Roman" w:hint="eastAsia"/>
          <w:b/>
          <w:sz w:val="32"/>
          <w:shd w:val="clear" w:color="auto" w:fill="auto"/>
        </w:rPr>
        <w:t>（五）监督保障</w:t>
      </w:r>
      <w:r>
        <w:rPr>
          <w:rFonts w:ascii="Times New Roman" w:eastAsia="方正楷体_GBK" w:hAnsi="Times New Roman" w:hint="eastAsia"/>
          <w:b/>
          <w:sz w:val="32"/>
          <w:shd w:val="clear" w:color="auto" w:fill="auto"/>
          <w:lang w:eastAsia="zh-CN"/>
        </w:rPr>
        <w:t>工作情况</w:t>
      </w:r>
      <w:r>
        <w:rPr>
          <w:rFonts w:ascii="Times New Roman" w:eastAsia="方正楷体_GBK" w:hAnsi="Times New Roman" w:hint="eastAsia"/>
          <w:b/>
          <w:sz w:val="32"/>
          <w:shd w:val="clear" w:color="auto" w:fill="auto"/>
        </w:rPr>
        <w:t>。</w:t>
      </w:r>
    </w:p>
    <w:p>
      <w:pPr>
        <w:pStyle w:val="34"/>
        <w:keepNext w:val="0"/>
        <w:keepLines w:val="0"/>
        <w:pageBreakBefore w:val="0"/>
        <w:widowControl w:val="0"/>
        <w:suppressLineNumbers w:val="0"/>
        <w:shd w:val="clear" w:color="auto" w:fill="auto"/>
        <w:suppressAutoHyphens w:val="0"/>
        <w:kinsoku/>
        <w:wordWrap/>
        <w:overflowPunct/>
        <w:topLinePunct w:val="0"/>
        <w:autoSpaceDE/>
        <w:autoSpaceDN/>
        <w:bidi w:val="0"/>
        <w:adjustRightInd w:val="0"/>
        <w:snapToGrid w:val="0"/>
        <w:spacing w:line="560" w:lineRule="exact"/>
        <w:ind w:firstLineChars="200" w:firstLine="640"/>
        <w:contextualSpacing w:val="0"/>
        <w:jc w:val="both"/>
        <w:textAlignment w:val="auto"/>
      </w:pPr>
      <w:r>
        <w:rPr>
          <w:rFonts w:ascii="Times New Roman" w:eastAsia="方正仿宋_GBK" w:hAnsi="Times New Roman" w:hint="eastAsia"/>
          <w:sz w:val="32"/>
          <w:szCs w:val="32"/>
          <w:shd w:val="clear" w:color="auto" w:fill="auto"/>
        </w:rPr>
        <w:t>强化宗旨意识</w:t>
      </w:r>
      <w:r>
        <w:rPr>
          <w:rFonts w:ascii="Times New Roman" w:eastAsia="方正仿宋_GBK" w:hAnsi="Times New Roman" w:hint="eastAsia"/>
          <w:sz w:val="32"/>
          <w:szCs w:val="32"/>
          <w:shd w:val="clear" w:color="auto" w:fill="auto"/>
          <w:lang w:eastAsia="zh-CN"/>
        </w:rPr>
        <w:t>，</w:t>
      </w:r>
      <w:r>
        <w:rPr>
          <w:rFonts w:ascii="Times New Roman" w:eastAsia="方正仿宋_GBK" w:hAnsi="Times New Roman" w:hint="eastAsia"/>
          <w:sz w:val="32"/>
          <w:szCs w:val="32"/>
          <w:shd w:val="clear" w:color="auto" w:fill="auto"/>
        </w:rPr>
        <w:t>畅通外部监督渠道，</w:t>
      </w:r>
      <w:r>
        <w:rPr>
          <w:rFonts w:ascii="Times New Roman" w:eastAsia="方正仿宋_GBK" w:hAnsi="Times New Roman" w:hint="eastAsia"/>
          <w:sz w:val="32"/>
          <w:szCs w:val="32"/>
          <w:shd w:val="clear" w:color="auto" w:fill="auto"/>
          <w:lang w:eastAsia="zh-CN"/>
        </w:rPr>
        <w:t>明确政务大厅意见箱设置和管理要求，</w:t>
      </w:r>
      <w:r>
        <w:rPr>
          <w:rFonts w:ascii="Times New Roman" w:eastAsia="方正仿宋_GBK" w:hAnsi="Times New Roman" w:hint="eastAsia"/>
          <w:sz w:val="32"/>
          <w:szCs w:val="32"/>
          <w:shd w:val="clear" w:color="auto" w:fill="auto"/>
        </w:rPr>
        <w:t>加强</w:t>
      </w:r>
      <w:r>
        <w:rPr>
          <w:rFonts w:ascii="Times New Roman" w:eastAsia="方正仿宋_GBK" w:hAnsi="Times New Roman" w:hint="eastAsia"/>
          <w:sz w:val="32"/>
          <w:szCs w:val="32"/>
          <w:shd w:val="clear" w:color="auto" w:fill="auto"/>
          <w:lang w:eastAsia="zh-CN"/>
        </w:rPr>
        <w:t>对外</w:t>
      </w:r>
      <w:r>
        <w:rPr>
          <w:rFonts w:ascii="Times New Roman" w:eastAsia="方正仿宋_GBK" w:hAnsi="Times New Roman" w:hint="eastAsia"/>
          <w:sz w:val="32"/>
          <w:szCs w:val="32"/>
          <w:shd w:val="clear" w:color="auto" w:fill="auto"/>
        </w:rPr>
        <w:t>咨询电话统筹管理，</w:t>
      </w:r>
      <w:r>
        <w:rPr>
          <w:rFonts w:ascii="Times New Roman" w:eastAsia="方正仿宋_GBK" w:hAnsi="Times New Roman" w:hint="eastAsia"/>
          <w:sz w:val="32"/>
          <w:szCs w:val="32"/>
          <w:shd w:val="clear" w:color="auto" w:fill="auto"/>
          <w:lang w:eastAsia="zh-CN"/>
        </w:rPr>
        <w:t>开展</w:t>
      </w:r>
      <w:r>
        <w:rPr>
          <w:rFonts w:ascii="Times New Roman" w:eastAsia="方正仿宋_GBK" w:hAnsi="Times New Roman"/>
          <w:sz w:val="32"/>
          <w:szCs w:val="32"/>
          <w:shd w:val="clear" w:color="auto" w:fill="auto"/>
          <w:lang w:eastAsia="zh-CN"/>
        </w:rPr>
        <w:t>应答处置</w:t>
      </w:r>
      <w:r>
        <w:rPr>
          <w:rFonts w:ascii="Times New Roman" w:eastAsia="方正仿宋_GBK" w:hAnsi="Times New Roman" w:hint="eastAsia"/>
          <w:sz w:val="32"/>
          <w:szCs w:val="32"/>
          <w:shd w:val="clear" w:color="auto" w:fill="auto"/>
          <w:lang w:eastAsia="zh-CN"/>
        </w:rPr>
        <w:t>培训，进一步落实“</w:t>
      </w:r>
      <w:r>
        <w:rPr>
          <w:rFonts w:ascii="Times New Roman" w:eastAsia="方正仿宋_GBK" w:cs="Times New Roman" w:hAnsi="Times New Roman" w:hint="eastAsia"/>
          <w:spacing w:val="-4"/>
          <w:kern w:val="2"/>
          <w:sz w:val="32"/>
          <w:szCs w:val="32"/>
          <w:lang w:val="en-US" w:eastAsia="zh-CN" w:bidi="ar-SA"/>
        </w:rPr>
        <w:t>首问责任制”，确保及时回应企业群众诉求</w:t>
      </w:r>
      <w:r>
        <w:rPr>
          <w:rFonts w:ascii="Times New Roman" w:eastAsia="方正仿宋_GBK" w:hAnsi="Times New Roman" w:hint="eastAsia"/>
          <w:sz w:val="32"/>
          <w:szCs w:val="32"/>
          <w:shd w:val="clear" w:color="auto" w:fill="auto"/>
        </w:rPr>
        <w:t>，持续提升依法履职能力和政务服务水平。</w:t>
      </w:r>
    </w:p>
    <w:p>
      <w:pPr>
        <w:pStyle w:val="39"/>
        <w:adjustRightInd w:val="0"/>
        <w:snapToGrid w:val="0"/>
        <w:spacing w:beforeLines="50" w:before="218" w:afterLines="50" w:after="218"/>
        <w:ind w:firstLineChars="200" w:firstLine="624"/>
        <w:rPr>
          <w:rFonts w:ascii="方正黑体_GBK" w:eastAsia="方正黑体_GBK" w:cs="楷体_GB2312" w:hint="eastAsia"/>
          <w:bCs/>
          <w:sz w:val="32"/>
          <w:szCs w:val="32"/>
          <w:shd w:val="clear" w:color="auto" w:fill="FFFFFF"/>
          <w:lang w:eastAsia="zh-CN" w:bidi="ar-SA"/>
        </w:rPr>
      </w:pPr>
      <w:r>
        <w:rPr>
          <w:rFonts w:ascii="方正黑体_GBK" w:eastAsia="方正黑体_GBK" w:cs="楷体_GB2312" w:hint="eastAsia"/>
          <w:bCs/>
          <w:sz w:val="32"/>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本年</w:t>
            </w:r>
            <w:r>
              <w:rPr>
                <w:color w:val="auto"/>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本年废止件</w:t>
            </w:r>
            <w:r>
              <w:rPr>
                <w:color w:val="auto"/>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3"/>
              <w:widowControl/>
              <w:jc w:val="center"/>
              <w:rPr>
                <w:color w:val="auto"/>
                <w:sz w:val="24"/>
                <w:szCs w:val="24"/>
              </w:rPr>
            </w:pPr>
            <w:r>
              <w:rPr>
                <w:rFonts w:ascii="宋体" w:cs="宋体" w:hint="eastAsia"/>
                <w:color w:val="auto"/>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eastAsia="zh-CN"/>
              </w:rPr>
            </w:pPr>
            <w:r>
              <w:rPr>
                <w:rFonts w:eastAsia="方正仿宋_GBK" w:hint="eastAsia"/>
                <w:sz w:val="24"/>
                <w:szCs w:val="24"/>
                <w:lang w:val="en-US" w:eastAsia="zh-CN"/>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color w:val="auto"/>
                <w:sz w:val="24"/>
                <w:szCs w:val="24"/>
              </w:rPr>
            </w:pPr>
            <w:r>
              <w:rPr>
                <w:rFonts w:ascii="宋体"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8"/>
              <w:jc w:val="center"/>
              <w:rPr>
                <w:rFonts w:eastAsia="方正仿宋_GBK" w:cs="宋体"/>
                <w:sz w:val="24"/>
                <w:szCs w:val="24"/>
                <w:lang w:bidi="ar-SA"/>
              </w:rPr>
            </w:pPr>
            <w:r>
              <w:rPr>
                <w:rFonts w:eastAsia="方正仿宋_GBK" w:cs="宋体"/>
                <w:sz w:val="24"/>
                <w:szCs w:val="24"/>
                <w:lang w:bidi="ar-SA"/>
              </w:rPr>
              <w:t>263</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color w:val="auto"/>
                <w:sz w:val="24"/>
                <w:szCs w:val="24"/>
              </w:rPr>
            </w:pPr>
            <w:r>
              <w:rPr>
                <w:rFonts w:ascii="宋体"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0"/>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
              <w:ind w:left="0" w:firstLine="0"/>
              <w:jc w:val="center"/>
              <w:rPr>
                <w:rFonts w:eastAsia="方正仿宋_GBK"/>
                <w:lang w:val="en-US" w:eastAsia="zh-CN"/>
              </w:rPr>
            </w:pPr>
            <w:r>
              <w:rPr>
                <w:rFonts w:cs="宋体" w:hint="eastAsia"/>
                <w:sz w:val="24"/>
                <w:szCs w:val="24"/>
                <w:lang w:val="en-US" w:eastAsia="zh-CN" w:bidi="ar-SA"/>
              </w:rPr>
              <w:t>1476</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9"/>
              <w:jc w:val="center"/>
              <w:rPr>
                <w:rFonts w:eastAsia="方正仿宋_GBK" w:cs="宋体"/>
                <w:sz w:val="24"/>
                <w:szCs w:val="24"/>
                <w:lang w:val="en-US" w:eastAsia="zh-CN" w:bidi="ar-SA"/>
              </w:rPr>
            </w:pPr>
            <w:r>
              <w:rPr>
                <w:rFonts w:eastAsia="方正仿宋_GBK" w:cs="宋体" w:hint="eastAsia"/>
                <w:sz w:val="24"/>
                <w:szCs w:val="24"/>
                <w:lang w:val="en-US" w:eastAsia="zh-CN" w:bidi="ar-SA"/>
              </w:rPr>
              <w:t>630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color w:val="auto"/>
                <w:sz w:val="24"/>
                <w:szCs w:val="24"/>
              </w:rPr>
            </w:pPr>
            <w:r>
              <w:rPr>
                <w:rFonts w:ascii="宋体"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6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pPr>
            <w:r>
              <w:rPr>
                <w:rFonts w:ascii="宋体" w:cs="宋体" w:hint="eastAsia"/>
                <w:color w:val="auto"/>
                <w:kern w:val="0"/>
                <w:sz w:val="24"/>
                <w:szCs w:val="24"/>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3"/>
              <w:jc w:val="center"/>
              <w:rPr>
                <w:rFonts w:eastAsia="方正仿宋_GBK" w:cs="宋体" w:hint="eastAsia"/>
                <w:sz w:val="24"/>
                <w:szCs w:val="24"/>
                <w:lang w:val="en-US" w:eastAsia="zh-CN" w:bidi="ar-SA"/>
              </w:rPr>
            </w:pPr>
            <w:r>
              <w:rPr>
                <w:rFonts w:eastAsia="方正仿宋_GBK" w:cs="宋体" w:hint="eastAsia"/>
                <w:sz w:val="24"/>
                <w:szCs w:val="24"/>
                <w:lang w:val="en-US" w:eastAsia="zh-CN" w:bidi="ar-SA"/>
              </w:rPr>
              <w:t>0</w:t>
            </w:r>
          </w:p>
        </w:tc>
      </w:tr>
    </w:tbl>
    <w:p>
      <w:pPr>
        <w:pStyle w:val="22"/>
        <w:tabs>
          <w:tab w:val="center" w:pos="4153"/>
          <w:tab w:val="right" w:pos="8306"/>
        </w:tabs>
        <w:adjustRightInd/>
        <w:snapToGrid w:val="0"/>
        <w:contextualSpacing w:val="0"/>
      </w:pPr>
    </w:p>
    <w:p>
      <w:pPr>
        <w:pStyle w:val="78"/>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27"/>
        <w:widowControl/>
        <w:shd w:val="clear" w:color="auto" w:fill="FFFFFF"/>
        <w:adjustRightInd w:val="0"/>
        <w:snapToGrid w:val="0"/>
        <w:spacing w:beforeAutospacing="0" w:afterLines="50" w:after="218" w:afterAutospacing="0" w:line="560" w:lineRule="exact"/>
        <w:ind w:left="0" w:firstLineChars="200" w:firstLine="640"/>
        <w:jc w:val="both"/>
        <w:rPr>
          <w:rFonts w:ascii="方正黑体_GBK" w:eastAsia="方正黑体_GBK" w:cs="楷体_GB2312" w:hint="eastAsia"/>
          <w:bCs/>
          <w:color w:val="auto"/>
          <w:sz w:val="32"/>
          <w:szCs w:val="32"/>
          <w:shd w:val="clear" w:color="auto" w:fill="FFFFFF"/>
          <w:lang w:eastAsia="zh-CN" w:bidi="ar-SA"/>
          <w:highlight w:val="auto"/>
        </w:rPr>
      </w:pPr>
      <w:r>
        <w:rPr>
          <w:rFonts w:ascii="方正黑体_GBK" w:eastAsia="方正黑体_GBK" w:cs="楷体_GB2312" w:hint="eastAsia"/>
          <w:bCs/>
          <w:color w:val="auto"/>
          <w:sz w:val="32"/>
          <w:szCs w:val="32"/>
          <w:shd w:val="clear" w:color="auto" w:fill="FFFFFF"/>
          <w:lang w:bidi="ar-SA"/>
          <w:highlight w:val="auto"/>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rPr>
            </w:pPr>
            <w:r>
              <w:rPr>
                <w:rFonts w:ascii="宋体" w:cs="宋体" w:hint="eastAsia"/>
                <w:color w:val="auto"/>
                <w:kern w:val="0"/>
                <w:sz w:val="20"/>
                <w:szCs w:val="20"/>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3"/>
              <w:widowControl/>
              <w:jc w:val="left"/>
              <w:rPr>
                <w:color w:val="auto"/>
                <w:sz w:val="24"/>
                <w:szCs w:val="24"/>
              </w:rPr>
            </w:pPr>
            <w:r>
              <w:rPr>
                <w:rFonts w:ascii="宋体" w:cs="宋体" w:hint="eastAsia"/>
                <w:color w:val="auto"/>
                <w:kern w:val="0"/>
                <w:sz w:val="24"/>
                <w:szCs w:val="24"/>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lang w:val="en-US" w:eastAsia="zh-CN"/>
              </w:rPr>
            </w:pPr>
            <w:r>
              <w:rPr>
                <w:rFonts w:eastAsia="方正仿宋_GBK" w:hint="eastAsia"/>
                <w:sz w:val="24"/>
                <w:szCs w:val="24"/>
                <w:lang w:val="en-US" w:eastAsia="zh-CN"/>
              </w:rPr>
              <w:t>12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lang w:val="en-US" w:eastAsia="zh-CN"/>
              </w:rPr>
            </w:pPr>
            <w:r>
              <w:rPr>
                <w:rFonts w:eastAsia="方正仿宋_GBK" w:hint="eastAsia"/>
                <w:sz w:val="24"/>
                <w:szCs w:val="24"/>
                <w:lang w:val="en-US" w:eastAsia="zh-CN"/>
              </w:rPr>
              <w:t>12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3"/>
              <w:widowControl/>
              <w:jc w:val="left"/>
              <w:rPr>
                <w:color w:val="auto"/>
                <w:sz w:val="24"/>
                <w:szCs w:val="24"/>
              </w:rPr>
            </w:pPr>
            <w:r>
              <w:rPr>
                <w:rFonts w:ascii="宋体" w:cs="宋体" w:hint="eastAsia"/>
                <w:color w:val="auto"/>
                <w:kern w:val="0"/>
                <w:sz w:val="24"/>
                <w:szCs w:val="24"/>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left"/>
              <w:rPr>
                <w:color w:val="auto"/>
                <w:sz w:val="24"/>
                <w:szCs w:val="24"/>
              </w:rPr>
            </w:pPr>
            <w:r>
              <w:rPr>
                <w:rFonts w:ascii="楷体" w:eastAsia="楷体" w:cs="楷体" w:hint="eastAsia"/>
                <w:color w:val="auto"/>
                <w:kern w:val="0"/>
                <w:sz w:val="24"/>
                <w:szCs w:val="24"/>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5</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hint="eastAsia"/>
                <w:sz w:val="24"/>
                <w:szCs w:val="24"/>
                <w:lang w:eastAsia="zh-CN"/>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5</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left"/>
              <w:rPr>
                <w:color w:val="auto"/>
                <w:sz w:val="24"/>
                <w:szCs w:val="24"/>
              </w:rPr>
            </w:pPr>
            <w:r>
              <w:rPr>
                <w:rFonts w:ascii="楷体" w:eastAsia="楷体" w:cs="楷体" w:hint="eastAsia"/>
                <w:color w:val="auto"/>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lang w:val="en-US"/>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lang w:val="en-US"/>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lang w:val="en-US"/>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lang w:val="en-US"/>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lang w:val="en-US"/>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2</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hint="eastAsia"/>
                <w:sz w:val="24"/>
                <w:szCs w:val="24"/>
                <w:lang w:val="en-US" w:eastAsia="zh-CN"/>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hint="eastAsia"/>
                <w:sz w:val="24"/>
                <w:szCs w:val="24"/>
                <w:lang w:val="en-US" w:eastAsia="zh-CN"/>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3"/>
              <w:widowControl/>
              <w:rPr>
                <w:rFonts w:ascii="楷体" w:eastAsia="楷体" w:cs="楷体" w:hint="eastAsia"/>
                <w:kern w:val="0"/>
                <w:sz w:val="24"/>
                <w:szCs w:val="24"/>
                <w:lang w:bidi="ar-SA"/>
              </w:rPr>
            </w:pPr>
            <w:r>
              <w:rPr>
                <w:rFonts w:ascii="楷体"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3"/>
              <w:widowControl/>
              <w:rPr>
                <w:rFonts w:ascii="楷体" w:eastAsia="楷体" w:cs="楷体" w:hint="eastAsia"/>
                <w:kern w:val="0"/>
                <w:sz w:val="24"/>
                <w:szCs w:val="24"/>
                <w:lang w:bidi="ar-SA"/>
              </w:rPr>
            </w:pPr>
            <w:r>
              <w:rPr>
                <w:rFonts w:ascii="楷体"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3"/>
              <w:widowControl/>
              <w:rPr>
                <w:rFonts w:ascii="楷体" w:eastAsia="楷体" w:cs="楷体" w:hint="eastAsia"/>
                <w:kern w:val="0"/>
                <w:sz w:val="24"/>
                <w:szCs w:val="24"/>
                <w:lang w:bidi="ar-SA"/>
              </w:rPr>
            </w:pPr>
            <w:r>
              <w:rPr>
                <w:rFonts w:ascii="楷体"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3"/>
              <w:widowControl/>
              <w:rPr>
                <w:rFonts w:ascii="楷体" w:eastAsia="楷体" w:cs="楷体" w:hint="eastAsia"/>
                <w:kern w:val="0"/>
                <w:sz w:val="24"/>
                <w:szCs w:val="24"/>
                <w:lang w:bidi="ar-SA"/>
              </w:rPr>
            </w:pPr>
            <w:r>
              <w:rPr>
                <w:rFonts w:ascii="楷体"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2</w:t>
            </w:r>
          </w:p>
        </w:tc>
        <w:tc>
          <w:tcPr>
            <w:tcW w:w="67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hint="eastAsia"/>
                <w:sz w:val="24"/>
                <w:szCs w:val="24"/>
                <w:lang w:val="en-US" w:eastAsia="zh-CN"/>
              </w:rPr>
            </w:pPr>
            <w:r>
              <w:rPr>
                <w:rFonts w:eastAsia="方正仿宋_GBK" w:hint="eastAsia"/>
                <w:sz w:val="24"/>
                <w:szCs w:val="24"/>
                <w:lang w:val="en-US" w:eastAsia="zh-CN"/>
              </w:rPr>
              <w:t>2</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color w:val="auto"/>
                <w:sz w:val="24"/>
                <w:szCs w:val="24"/>
              </w:rPr>
            </w:pPr>
            <w:r>
              <w:rPr>
                <w:rFonts w:ascii="楷体" w:eastAsia="楷体" w:cs="楷体" w:hint="eastAsia"/>
                <w:color w:val="auto"/>
                <w:kern w:val="0"/>
                <w:sz w:val="24"/>
                <w:szCs w:val="24"/>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lang w:val="en-US" w:eastAsia="zh-CN"/>
              </w:rPr>
            </w:pPr>
            <w:r>
              <w:rPr>
                <w:rFonts w:eastAsia="方正仿宋_GBK"/>
                <w:sz w:val="24"/>
                <w:szCs w:val="24"/>
                <w:lang w:val="en-US" w:eastAsia="zh-CN"/>
              </w:rPr>
              <w:t>10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lang w:val="en-US" w:eastAsia="zh-CN"/>
              </w:rPr>
            </w:pPr>
            <w:r>
              <w:rPr>
                <w:rFonts w:eastAsia="方正仿宋_GBK" w:hint="eastAsia"/>
                <w:sz w:val="24"/>
                <w:szCs w:val="24"/>
                <w:lang w:val="en-US" w:eastAsia="zh-CN"/>
              </w:rPr>
              <w:t>10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left"/>
              <w:rPr>
                <w:color w:val="auto"/>
              </w:rPr>
            </w:pPr>
            <w:r>
              <w:rPr>
                <w:rFonts w:ascii="宋体" w:cs="宋体" w:hint="eastAsia"/>
                <w:color w:val="auto"/>
                <w:kern w:val="0"/>
                <w:sz w:val="24"/>
                <w:szCs w:val="24"/>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hint="eastAsia"/>
                <w:sz w:val="24"/>
                <w:szCs w:val="24"/>
                <w:lang w:val="en-US" w:eastAsia="zh-CN"/>
              </w:rPr>
            </w:pPr>
            <w:r>
              <w:rPr>
                <w:rFonts w:hint="eastAsia"/>
                <w:sz w:val="24"/>
                <w:szCs w:val="24"/>
                <w:lang w:val="en-US" w:eastAsia="zh-CN"/>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eastAsia="方正仿宋_GBK" w:hint="eastAsia"/>
                <w:sz w:val="24"/>
                <w:szCs w:val="24"/>
                <w:lang w:eastAsia="zh-CN"/>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jc w:val="center"/>
              <w:rPr>
                <w:rFonts w:eastAsia="方正仿宋_GBK"/>
                <w:sz w:val="24"/>
                <w:szCs w:val="24"/>
              </w:rPr>
            </w:pPr>
            <w:r>
              <w:rPr>
                <w:rFonts w:hint="eastAsia"/>
                <w:sz w:val="24"/>
                <w:szCs w:val="24"/>
                <w:lang w:val="en-US" w:eastAsia="zh-CN"/>
              </w:rPr>
              <w:t>2</w:t>
            </w:r>
          </w:p>
        </w:tc>
      </w:tr>
    </w:tbl>
    <w:p>
      <w:pPr>
        <w:pStyle w:val="27"/>
        <w:widowControl/>
        <w:shd w:val="clear" w:color="auto" w:fill="FFFFFF"/>
        <w:spacing w:beforeLines="50" w:before="218" w:beforeAutospacing="0" w:after="120" w:afterAutospacing="0"/>
        <w:ind w:firstLineChars="200" w:firstLine="640"/>
        <w:jc w:val="both"/>
        <w:rPr>
          <w:rFonts w:ascii="宋体" w:cs="宋体" w:hint="eastAsia"/>
          <w:color w:val="auto"/>
          <w:szCs w:val="24"/>
          <w:lang w:bidi="ar-SA"/>
        </w:rPr>
      </w:pPr>
      <w:r>
        <w:rPr>
          <w:rFonts w:ascii="方正黑体_GBK" w:eastAsia="方正黑体_GBK" w:cs="楷体_GB2312" w:hint="eastAsia"/>
          <w:bCs/>
          <w:color w:val="auto"/>
          <w:sz w:val="32"/>
          <w:szCs w:val="32"/>
          <w:shd w:val="clear" w:color="auto" w:fill="FFFFFF"/>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color w:val="auto"/>
                <w:sz w:val="24"/>
                <w:szCs w:val="24"/>
              </w:rPr>
            </w:pPr>
            <w:r>
              <w:rPr>
                <w:rFonts w:ascii="宋体" w:cs="宋体" w:hint="eastAsia"/>
                <w:color w:val="auto"/>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color w:val="auto"/>
                <w:sz w:val="28"/>
                <w:szCs w:val="28"/>
                <w:lang w:val="en-US" w:eastAsia="zh-CN"/>
              </w:rPr>
            </w:pPr>
            <w:r>
              <w:rPr>
                <w:rFonts w:hint="eastAsia"/>
                <w:color w:val="auto"/>
                <w:sz w:val="28"/>
                <w:szCs w:val="28"/>
                <w:lang w:val="en-US" w:eastAsia="zh-CN"/>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kern w:val="0"/>
                <w:sz w:val="28"/>
                <w:szCs w:val="28"/>
                <w:lang w:val="en-US" w:eastAsia="zh-CN"/>
              </w:rPr>
            </w:pPr>
            <w:r>
              <w:rPr>
                <w:rFonts w:hint="eastAsia"/>
                <w:kern w:val="0"/>
                <w:sz w:val="28"/>
                <w:szCs w:val="28"/>
                <w:lang w:val="en-US" w:eastAsia="zh-CN"/>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rFonts w:eastAsia="宋体" w:hint="eastAsia"/>
                <w:kern w:val="0"/>
                <w:sz w:val="28"/>
                <w:szCs w:val="28"/>
                <w:lang w:val="en-US" w:eastAsia="zh-CN"/>
              </w:rPr>
            </w:pPr>
            <w:r>
              <w:rPr>
                <w:rFonts w:hint="eastAsia"/>
                <w:kern w:val="0"/>
                <w:sz w:val="28"/>
                <w:szCs w:val="28"/>
                <w:lang w:val="en-US" w:eastAsia="zh-CN"/>
              </w:rPr>
              <w:t>0</w:t>
            </w:r>
          </w:p>
        </w:tc>
      </w:tr>
    </w:tbl>
    <w:p>
      <w:pPr>
        <w:pStyle w:val="27"/>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五、存在的主要问题及改进情况</w:t>
      </w:r>
    </w:p>
    <w:p>
      <w:pPr>
        <w:pStyle w:val="47"/>
        <w:adjustRightInd w:val="0"/>
        <w:snapToGrid w:val="0"/>
        <w:ind w:firstLineChars="200" w:firstLine="624"/>
        <w:rPr>
          <w:rFonts w:ascii="方正楷体_GBK" w:eastAsia="方正楷体_GBK"/>
          <w:b/>
          <w:bCs/>
        </w:rPr>
      </w:pPr>
      <w:r>
        <w:rPr>
          <w:rFonts w:ascii="方正楷体_GBK" w:eastAsia="方正楷体_GBK" w:hint="eastAsia"/>
          <w:b/>
          <w:bCs/>
        </w:rPr>
        <w:t>（一）</w:t>
      </w:r>
      <w:r>
        <w:rPr>
          <w:rFonts w:ascii="Times New Roman" w:eastAsia="方正楷体_GBK" w:cs="Times New Roman" w:hAnsi="Times New Roman"/>
          <w:b/>
          <w:bCs/>
        </w:rPr>
        <w:t>2024</w:t>
      </w:r>
      <w:r>
        <w:rPr>
          <w:rFonts w:ascii="方正楷体_GBK" w:eastAsia="方正楷体_GBK" w:hint="eastAsia"/>
          <w:b/>
          <w:bCs/>
        </w:rPr>
        <w:t>年年报中所提问题整改情况。</w:t>
      </w:r>
    </w:p>
    <w:p>
      <w:pPr>
        <w:pStyle w:val="47"/>
        <w:adjustRightInd w:val="0"/>
        <w:snapToGrid w:val="0"/>
        <w:ind w:firstLineChars="200" w:firstLine="640"/>
        <w:rPr>
          <w:rFonts w:ascii="Times New Roman" w:eastAsia="方正仿宋_GBK" w:cs="Times New Roman" w:hAnsi="Times New Roman" w:hint="eastAsia"/>
          <w:spacing w:val="0"/>
          <w:kern w:val="2"/>
          <w:sz w:val="32"/>
          <w:szCs w:val="32"/>
          <w:shd w:val="clear" w:color="auto" w:fill="auto"/>
          <w:lang w:val="en-US" w:eastAsia="zh-CN" w:bidi="ar-SA"/>
        </w:rPr>
      </w:pPr>
      <w:r>
        <w:rPr>
          <w:rFonts w:ascii="Times New Roman" w:eastAsia="方正仿宋_GBK" w:cs="Times New Roman" w:hAnsi="Times New Roman"/>
          <w:spacing w:val="0"/>
          <w:kern w:val="2"/>
          <w:sz w:val="32"/>
          <w:szCs w:val="32"/>
          <w:shd w:val="clear" w:color="auto" w:fill="auto"/>
          <w:lang w:val="en-US" w:eastAsia="zh-CN" w:bidi="ar-SA"/>
        </w:rPr>
        <w:t>机场海关</w:t>
      </w:r>
      <w:r>
        <w:rPr>
          <w:rFonts w:ascii="Times New Roman" w:eastAsia="方正仿宋_GBK" w:cs="Times New Roman" w:hAnsi="Times New Roman" w:hint="eastAsia"/>
          <w:spacing w:val="0"/>
          <w:kern w:val="2"/>
          <w:sz w:val="32"/>
          <w:szCs w:val="32"/>
          <w:shd w:val="clear" w:color="auto" w:fill="auto"/>
          <w:lang w:val="en-US" w:eastAsia="zh-CN" w:bidi="ar-SA"/>
        </w:rPr>
        <w:t>202</w:t>
      </w:r>
      <w:r>
        <w:rPr>
          <w:rFonts w:cs="Times New Roman" w:hint="eastAsia"/>
          <w:spacing w:val="0"/>
          <w:kern w:val="2"/>
          <w:sz w:val="32"/>
          <w:szCs w:val="32"/>
          <w:shd w:val="clear" w:color="auto" w:fill="auto"/>
          <w:lang w:val="en-US" w:eastAsia="zh-CN" w:bidi="ar-SA"/>
        </w:rPr>
        <w:t>4</w:t>
      </w:r>
      <w:r>
        <w:rPr>
          <w:rFonts w:ascii="Times New Roman" w:eastAsia="方正仿宋_GBK" w:cs="Times New Roman" w:hAnsi="Times New Roman" w:hint="eastAsia"/>
          <w:spacing w:val="0"/>
          <w:kern w:val="2"/>
          <w:sz w:val="32"/>
          <w:szCs w:val="32"/>
          <w:shd w:val="clear" w:color="auto" w:fill="auto"/>
          <w:lang w:val="en-US" w:eastAsia="zh-CN" w:bidi="ar-SA"/>
        </w:rPr>
        <w:t>年年报中提出以下问题：因人员交流、岗位调整等原因，部分新到岗的政务公开工作人员专业</w:t>
      </w:r>
      <w:r>
        <w:rPr>
          <w:rFonts w:ascii="Times New Roman" w:eastAsia="方正仿宋_GBK" w:cs="Times New Roman" w:hAnsi="Times New Roman"/>
          <w:spacing w:val="0"/>
          <w:kern w:val="2"/>
          <w:sz w:val="32"/>
          <w:szCs w:val="32"/>
          <w:shd w:val="clear" w:color="auto" w:fill="auto"/>
          <w:lang w:val="en-US" w:eastAsia="zh-CN" w:bidi="ar-SA"/>
        </w:rPr>
        <w:t>知识</w:t>
      </w:r>
      <w:r>
        <w:rPr>
          <w:rFonts w:ascii="Times New Roman" w:eastAsia="方正仿宋_GBK" w:cs="Times New Roman" w:hAnsi="Times New Roman" w:hint="eastAsia"/>
          <w:spacing w:val="0"/>
          <w:kern w:val="2"/>
          <w:sz w:val="32"/>
          <w:szCs w:val="32"/>
          <w:shd w:val="clear" w:color="auto" w:fill="auto"/>
          <w:lang w:val="en-US" w:eastAsia="zh-CN" w:bidi="ar-SA"/>
        </w:rPr>
        <w:t>有待进一步</w:t>
      </w:r>
      <w:r>
        <w:rPr>
          <w:rFonts w:ascii="Times New Roman" w:eastAsia="方正仿宋_GBK" w:cs="Times New Roman" w:hAnsi="Times New Roman"/>
          <w:spacing w:val="0"/>
          <w:kern w:val="2"/>
          <w:sz w:val="32"/>
          <w:szCs w:val="32"/>
          <w:shd w:val="clear" w:color="auto" w:fill="auto"/>
          <w:lang w:val="en-US" w:eastAsia="zh-CN" w:bidi="ar-SA"/>
        </w:rPr>
        <w:t>学习</w:t>
      </w:r>
      <w:r>
        <w:rPr>
          <w:rFonts w:ascii="Times New Roman" w:eastAsia="方正仿宋_GBK" w:cs="Times New Roman" w:hAnsi="Times New Roman" w:hint="eastAsia"/>
          <w:spacing w:val="0"/>
          <w:kern w:val="2"/>
          <w:sz w:val="32"/>
          <w:szCs w:val="32"/>
          <w:shd w:val="clear" w:color="auto" w:fill="auto"/>
          <w:lang w:val="en-US" w:eastAsia="zh-CN" w:bidi="ar-SA"/>
        </w:rPr>
        <w:t>提高。</w:t>
      </w:r>
    </w:p>
    <w:p>
      <w:pPr>
        <w:pStyle w:val="47"/>
        <w:adjustRightInd w:val="0"/>
        <w:snapToGrid w:val="0"/>
        <w:ind w:firstLineChars="200" w:firstLine="640"/>
        <w:rPr>
          <w:rFonts w:cs="Times New Roman" w:hint="eastAsia"/>
          <w:spacing w:val="0"/>
          <w:kern w:val="2"/>
          <w:sz w:val="32"/>
          <w:szCs w:val="32"/>
          <w:shd w:val="clear" w:color="auto" w:fill="auto"/>
          <w:lang w:val="en-US" w:eastAsia="zh-CN" w:bidi="ar-SA"/>
        </w:rPr>
      </w:pPr>
      <w:r>
        <w:rPr>
          <w:rFonts w:ascii="Times New Roman" w:eastAsia="方正仿宋_GBK" w:cs="Times New Roman" w:hAnsi="Times New Roman" w:hint="eastAsia"/>
          <w:spacing w:val="0"/>
          <w:kern w:val="2"/>
          <w:sz w:val="32"/>
          <w:szCs w:val="32"/>
          <w:shd w:val="clear" w:color="auto" w:fill="auto"/>
          <w:lang w:val="en-US" w:eastAsia="zh-CN" w:bidi="ar-SA"/>
        </w:rPr>
        <w:t>上述问题在202</w:t>
      </w:r>
      <w:r>
        <w:rPr>
          <w:rFonts w:ascii="Times New Roman" w:eastAsia="方正仿宋_GBK" w:cs="Times New Roman" w:hAnsi="Times New Roman"/>
          <w:spacing w:val="0"/>
          <w:kern w:val="2"/>
          <w:sz w:val="32"/>
          <w:szCs w:val="32"/>
          <w:shd w:val="clear" w:color="auto" w:fill="auto"/>
          <w:lang w:val="en-US" w:eastAsia="zh-CN" w:bidi="ar-SA"/>
        </w:rPr>
        <w:t>5</w:t>
      </w:r>
      <w:r>
        <w:rPr>
          <w:rFonts w:ascii="Times New Roman" w:eastAsia="方正仿宋_GBK" w:cs="Times New Roman" w:hAnsi="Times New Roman" w:hint="eastAsia"/>
          <w:spacing w:val="0"/>
          <w:kern w:val="2"/>
          <w:sz w:val="32"/>
          <w:szCs w:val="32"/>
          <w:shd w:val="clear" w:color="auto" w:fill="auto"/>
          <w:lang w:val="en-US" w:eastAsia="zh-CN" w:bidi="ar-SA"/>
        </w:rPr>
        <w:t>年均已采取措施并完成整改：</w:t>
      </w:r>
      <w:r>
        <w:rPr>
          <w:rFonts w:cs="Times New Roman" w:hint="eastAsia"/>
          <w:spacing w:val="0"/>
          <w:kern w:val="2"/>
          <w:sz w:val="32"/>
          <w:szCs w:val="32"/>
          <w:shd w:val="clear" w:color="auto" w:fill="auto"/>
          <w:lang w:val="en-US" w:eastAsia="zh-CN" w:bidi="ar-SA"/>
        </w:rPr>
        <w:t>已对新到岗人员开展政务公开专项培训，深耕工作实务；遇疑难问题即时请示指导，强化日常实操积累；定期开展自测自查，查漏补缺、巩固提升，持续夯实业务基础，有效提升政务公开工作能力。</w:t>
      </w:r>
    </w:p>
    <w:p>
      <w:pPr>
        <w:shd w:val="clear" w:color="auto" w:fill="auto"/>
        <w:spacing w:line="560" w:lineRule="exact"/>
        <w:ind w:firstLineChars="200" w:firstLine="640"/>
        <w:rPr>
          <w:rFonts w:ascii="方正楷体_GBK" w:eastAsia="方正楷体_GBK"/>
          <w:b/>
          <w:bCs/>
          <w:highlight w:val="auto"/>
        </w:rPr>
      </w:pPr>
      <w:r>
        <w:rPr>
          <w:rFonts w:ascii="方正楷体_GBK" w:eastAsia="方正楷体_GBK" w:hint="eastAsia"/>
          <w:b/>
          <w:bCs/>
          <w:lang w:eastAsia="zh-CN"/>
          <w:highlight w:val="auto"/>
        </w:rPr>
        <w:t>（二）</w:t>
      </w:r>
      <w:r>
        <w:rPr>
          <w:rFonts w:ascii="方正楷体_GBK" w:eastAsia="方正楷体_GBK" w:hint="eastAsia"/>
          <w:b/>
          <w:bCs/>
          <w:highlight w:val="auto"/>
        </w:rPr>
        <w:t>目前存在问题。</w:t>
      </w:r>
    </w:p>
    <w:p>
      <w:pPr>
        <w:shd w:val="clear" w:color="auto" w:fill="auto"/>
        <w:spacing w:line="560" w:lineRule="exact"/>
        <w:ind w:firstLineChars="200" w:firstLine="640"/>
        <w:rPr>
          <w:rFonts w:hint="eastAsia"/>
          <w:shd w:val="clear" w:color="auto" w:fill="auto"/>
        </w:rPr>
      </w:pPr>
      <w:r>
        <w:rPr>
          <w:rFonts w:ascii="Times New Roman" w:eastAsia="方正仿宋_GBK" w:hAnsi="Times New Roman" w:hint="eastAsia"/>
          <w:kern w:val="0"/>
          <w:sz w:val="32"/>
          <w:szCs w:val="32"/>
          <w:shd w:val="clear" w:color="auto" w:fill="auto"/>
          <w:highlight w:val="auto"/>
        </w:rPr>
        <w:t>政</w:t>
      </w:r>
      <w:r>
        <w:rPr>
          <w:rFonts w:ascii="Times New Roman" w:eastAsia="方正仿宋_GBK" w:hAnsi="Times New Roman" w:hint="eastAsia"/>
          <w:kern w:val="0"/>
          <w:sz w:val="32"/>
          <w:szCs w:val="32"/>
          <w:shd w:val="clear" w:color="auto" w:fill="auto"/>
        </w:rPr>
        <w:t>府信息</w:t>
      </w:r>
      <w:r>
        <w:rPr>
          <w:rFonts w:hint="eastAsia"/>
          <w:shd w:val="clear" w:color="auto" w:fill="auto"/>
        </w:rPr>
        <w:t>依申请公开办理</w:t>
      </w:r>
      <w:r>
        <w:rPr>
          <w:rFonts w:hint="eastAsia"/>
          <w:shd w:val="clear" w:color="auto" w:fill="auto"/>
          <w:lang w:eastAsia="zh-CN"/>
        </w:rPr>
        <w:t>水平有待提高</w:t>
      </w:r>
      <w:r>
        <w:rPr>
          <w:rFonts w:hint="eastAsia"/>
          <w:shd w:val="clear" w:color="auto" w:fill="auto"/>
        </w:rPr>
        <w:t>，</w:t>
      </w:r>
      <w:r>
        <w:rPr>
          <w:rFonts w:hint="eastAsia"/>
          <w:shd w:val="clear" w:color="auto" w:fill="auto"/>
          <w:lang w:eastAsia="zh-CN"/>
        </w:rPr>
        <w:t>在检索、审查、征求意见、答复等环节的办理效率仍有提升空间</w:t>
      </w:r>
      <w:r>
        <w:rPr>
          <w:shd w:val="clear" w:color="auto" w:fill="auto"/>
        </w:rPr>
        <w:t>。</w:t>
      </w:r>
    </w:p>
    <w:p>
      <w:pPr>
        <w:pStyle w:val="27"/>
        <w:widowControl/>
        <w:shd w:val="clear" w:color="auto" w:fill="FFFFFF"/>
        <w:spacing w:beforeAutospacing="0" w:afterAutospacing="0" w:line="560" w:lineRule="exact"/>
        <w:ind w:firstLineChars="200" w:firstLine="640"/>
        <w:jc w:val="both"/>
        <w:rPr>
          <w:rFonts w:ascii="方正黑体_GBK" w:eastAsia="方正黑体_GBK" w:cs="楷体_GB2312" w:hint="eastAsia"/>
          <w:bCs/>
          <w:color w:val="auto"/>
          <w:sz w:val="32"/>
          <w:szCs w:val="32"/>
          <w:shd w:val="clear" w:color="auto" w:fill="FFFFFF"/>
          <w:lang w:bidi="ar-SA"/>
        </w:rPr>
      </w:pPr>
      <w:r>
        <w:rPr>
          <w:rFonts w:ascii="方正黑体_GBK" w:eastAsia="方正黑体_GBK" w:cs="楷体_GB2312" w:hint="eastAsia"/>
          <w:bCs/>
          <w:color w:val="auto"/>
          <w:sz w:val="32"/>
          <w:szCs w:val="32"/>
          <w:shd w:val="clear" w:color="auto" w:fill="FFFFFF"/>
          <w:lang w:bidi="ar-SA"/>
        </w:rPr>
        <w:t>六、其他需要报告的事项</w:t>
      </w:r>
      <w:bookmarkEnd w:id="1"/>
    </w:p>
    <w:p>
      <w:pPr>
        <w:pStyle w:val="40"/>
        <w:keepNext w:val="0"/>
        <w:keepLines w:val="0"/>
        <w:pageBreakBefore w:val="0"/>
        <w:widowControl w:val="0"/>
        <w:shd w:val="clear" w:color="auto" w:fill="auto"/>
        <w:kinsoku/>
        <w:wordWrap/>
        <w:overflowPunct/>
        <w:topLinePunct w:val="0"/>
        <w:autoSpaceDE/>
        <w:bidi w:val="0"/>
        <w:adjustRightInd w:val="0"/>
        <w:snapToGrid w:val="0"/>
        <w:ind w:firstLineChars="200" w:firstLine="640"/>
        <w:textAlignment w:val="auto"/>
      </w:pPr>
      <w:r>
        <w:rPr>
          <w:rFonts w:ascii="Times New Roman" w:eastAsia="方正仿宋_GBK" w:cs="Times New Roman" w:hAnsi="Times New Roman" w:hint="eastAsia"/>
          <w:spacing w:val="0"/>
          <w:kern w:val="2"/>
          <w:sz w:val="32"/>
          <w:szCs w:val="32"/>
          <w:shd w:val="clear" w:color="auto" w:fill="auto"/>
          <w:lang w:val="en-US" w:eastAsia="zh-CN" w:bidi="ar-SA"/>
        </w:rPr>
        <w:t>机场海关</w:t>
      </w:r>
      <w:r>
        <w:rPr>
          <w:rFonts w:ascii="Times New Roman" w:eastAsia="方正仿宋_GBK" w:cs="Times New Roman" w:hAnsi="Times New Roman"/>
          <w:spacing w:val="0"/>
          <w:kern w:val="2"/>
          <w:sz w:val="32"/>
          <w:szCs w:val="32"/>
          <w:shd w:val="clear" w:color="auto" w:fill="auto"/>
          <w:lang w:val="en-US" w:eastAsia="zh-CN" w:bidi="ar-SA"/>
        </w:rPr>
        <w:t>严格按</w:t>
      </w:r>
      <w:r>
        <w:rPr>
          <w:rFonts w:ascii="Times New Roman" w:eastAsia="方正仿宋_GBK" w:cs="Times New Roman" w:hAnsi="Times New Roman" w:hint="eastAsia"/>
          <w:spacing w:val="0"/>
          <w:kern w:val="2"/>
          <w:sz w:val="32"/>
          <w:szCs w:val="32"/>
          <w:shd w:val="clear" w:color="auto" w:fill="auto"/>
          <w:lang w:val="en-US" w:eastAsia="zh-CN" w:bidi="ar-SA"/>
        </w:rPr>
        <w:t>照《国务院办公厅关于印发〈政府信息公开信息处理费管理办法〉的通知》，</w:t>
      </w:r>
      <w:r>
        <w:rPr>
          <w:rFonts w:ascii="Times New Roman" w:eastAsia="方正仿宋_GBK" w:cs="Times New Roman" w:hAnsi="Times New Roman"/>
          <w:spacing w:val="0"/>
          <w:kern w:val="2"/>
          <w:sz w:val="32"/>
          <w:szCs w:val="32"/>
          <w:shd w:val="clear" w:color="auto" w:fill="auto"/>
          <w:lang w:val="en-US" w:eastAsia="zh-CN" w:bidi="ar-SA"/>
        </w:rPr>
        <w:t>规范政府信息公开</w:t>
      </w:r>
      <w:r>
        <w:rPr>
          <w:rFonts w:ascii="Times New Roman" w:eastAsia="方正仿宋_GBK" w:cs="Times New Roman" w:hAnsi="Times New Roman" w:hint="eastAsia"/>
          <w:spacing w:val="0"/>
          <w:kern w:val="2"/>
          <w:sz w:val="32"/>
          <w:szCs w:val="32"/>
          <w:shd w:val="clear" w:color="auto" w:fill="auto"/>
          <w:lang w:val="en-US" w:eastAsia="zh-CN" w:bidi="ar-SA"/>
        </w:rPr>
        <w:t>信息处理费</w:t>
      </w:r>
      <w:r>
        <w:rPr>
          <w:rFonts w:ascii="Times New Roman" w:eastAsia="方正仿宋_GBK" w:cs="Times New Roman" w:hAnsi="Times New Roman"/>
          <w:spacing w:val="0"/>
          <w:kern w:val="2"/>
          <w:sz w:val="32"/>
          <w:szCs w:val="32"/>
          <w:shd w:val="clear" w:color="auto" w:fill="auto"/>
          <w:lang w:val="en-US" w:eastAsia="zh-CN" w:bidi="ar-SA"/>
        </w:rPr>
        <w:t>收取工作，202</w:t>
      </w:r>
      <w:r>
        <w:rPr>
          <w:rFonts w:cs="Times New Roman" w:hint="eastAsia"/>
          <w:spacing w:val="0"/>
          <w:kern w:val="2"/>
          <w:sz w:val="32"/>
          <w:szCs w:val="32"/>
          <w:shd w:val="clear" w:color="auto" w:fill="auto"/>
          <w:lang w:val="en-US" w:eastAsia="zh-CN" w:bidi="ar-SA"/>
        </w:rPr>
        <w:t>5</w:t>
      </w:r>
      <w:r>
        <w:rPr>
          <w:rFonts w:ascii="Times New Roman" w:eastAsia="方正仿宋_GBK" w:cs="Times New Roman" w:hAnsi="Times New Roman" w:hint="eastAsia"/>
          <w:spacing w:val="0"/>
          <w:kern w:val="2"/>
          <w:sz w:val="32"/>
          <w:szCs w:val="32"/>
          <w:shd w:val="clear" w:color="auto" w:fill="auto"/>
          <w:lang w:val="en-US" w:eastAsia="zh-CN" w:bidi="ar-SA"/>
        </w:rPr>
        <w:t>年未收</w:t>
      </w:r>
      <w:r>
        <w:rPr>
          <w:rFonts w:ascii="Times New Roman" w:eastAsia="方正仿宋_GBK" w:cs="Times New Roman" w:hAnsi="Times New Roman"/>
          <w:spacing w:val="0"/>
          <w:kern w:val="2"/>
          <w:sz w:val="32"/>
          <w:szCs w:val="32"/>
          <w:shd w:val="clear" w:color="auto" w:fill="auto"/>
          <w:lang w:val="en-US" w:eastAsia="zh-CN" w:bidi="ar-SA"/>
        </w:rPr>
        <w:t>取</w:t>
      </w:r>
      <w:r>
        <w:rPr>
          <w:rFonts w:ascii="Times New Roman" w:eastAsia="方正仿宋_GBK" w:cs="Times New Roman" w:hAnsi="Times New Roman" w:hint="eastAsia"/>
          <w:spacing w:val="0"/>
          <w:kern w:val="2"/>
          <w:sz w:val="32"/>
          <w:szCs w:val="32"/>
          <w:shd w:val="clear" w:color="auto" w:fill="auto"/>
          <w:lang w:val="en-US" w:eastAsia="zh-CN" w:bidi="ar-SA"/>
        </w:rPr>
        <w:t>政府信息公开信息处理费。</w:t>
      </w:r>
    </w:p>
    <w:p>
      <w:pPr>
        <w:pStyle w:val="22"/>
        <w:tabs>
          <w:tab w:val="center" w:pos="4153"/>
          <w:tab w:val="right" w:pos="8306"/>
        </w:tabs>
      </w:pPr>
      <w:bookmarkStart w:id="2" w:name="_GoBack"/>
      <w:bookmarkEnd w:id="2"/>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00000001" w:usb1="08000000" w:usb2="0000000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00000001" w:usb1="08000000" w:usb2="00000000" w:usb3="00000000" w:csb0="00040000" w:csb1="00000000"/>
  </w:font>
  <w:font w:name="方正黑体_GBK">
    <w:panose1 w:val="02000000000000000000"/>
    <w:charset w:val="86"/>
    <w:family w:val="script"/>
    <w:pitch w:val="variable"/>
    <w:sig w:usb0="00000001" w:usb1="08000000" w:usb2="00000000" w:usb3="00000000" w:csb0="00040000" w:csb1="00000000"/>
  </w:font>
  <w:font w:name="方正楷体_GBK">
    <w:panose1 w:val="02000000000000000000"/>
    <w:charset w:val="86"/>
    <w:family w:val="script"/>
    <w:pitch w:val="variable"/>
    <w:sig w:usb0="00000001" w:usb1="08000000" w:usb2="00000000" w:usb3="00000000" w:csb0="00040000" w:csb1="00000000"/>
  </w:font>
  <w:font w:name="宋体">
    <w:altName w:val="方正书宋_GBK"/>
    <w:panose1 w:val="00000000000000000000"/>
    <w:charset w:val="86"/>
    <w:family w:val="auto"/>
    <w:pitch w:val="variable"/>
    <w:sig w:usb0="00000000" w:usb1="00000000" w:usb2="00000000" w:usb3="00000000" w:csb0="00000000" w:csb1="00000000"/>
  </w:font>
  <w:font w:name="楷体">
    <w:altName w:val="方正楷体_GBK"/>
    <w:panose1 w:val="02010609060101010101"/>
    <w:charset w:val="86"/>
    <w:family w:val="auto"/>
    <w:pitch w:val="variable"/>
    <w:sig w:usb0="00000000" w:usb1="00000000" w:usb2="0000001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Wingdings">
    <w:altName w:val="Standard Symbols P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29"/>
      </w:rPr>
      <w:fldChar w:fldCharType="begin"/>
    </w:r>
    <w:r>
      <w:rPr>
        <w:rStyle w:val="29"/>
      </w:rPr>
      <w:instrText>Page</w:instrText>
    </w:r>
    <w:r>
      <w:rPr>
        <w:rStyle w:val="29"/>
      </w:rPr>
      <w:fldChar w:fldCharType="separate"/>
    </w:r>
    <w:r>
      <w:rPr>
        <w:rStyle w:val="29"/>
      </w:rPr>
      <w:t>- 1 -</w:t>
    </w:r>
    <w:r>
      <w:rPr>
        <w:rStyle w:val="29"/>
      </w:rPr>
      <w:fldChar w:fldCharType="end"/>
    </w:r>
  </w:p>
  <w:p>
    <w:pPr>
      <w:pStyle w:val="22"/>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29"/>
      </w:rPr>
      <w:fldChar w:fldCharType="begin"/>
    </w:r>
    <w:r>
      <w:rPr>
        <w:rStyle w:val="29"/>
      </w:rPr>
      <w:instrText>Page</w:instrText>
    </w:r>
    <w:r>
      <w:rPr>
        <w:rStyle w:val="29"/>
      </w:rPr>
      <w:fldChar w:fldCharType="separate"/>
    </w:r>
    <w:r>
      <w:rPr>
        <w:rStyle w:val="29"/>
      </w:rPr>
      <w:t>- 2 -</w:t>
    </w:r>
    <w:r>
      <w:rPr>
        <w:rStyle w:val="29"/>
      </w:rPr>
      <w:fldChar w:fldCharType="end"/>
    </w:r>
  </w:p>
  <w:p>
    <w:pPr>
      <w:pStyle w:val="22"/>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2"/>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2"/>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0803AE2"/>
    <w:multiLevelType w:val="singleLevel"/>
    <w:tmpl w:val="B0803AE2"/>
    <w:lvl w:ilvl="0">
      <w:start w:val="1"/>
      <w:numFmt w:val="decimal"/>
      <w:lvlRestart w:val="0"/>
      <w:pStyle w:val="15"/>
      <w:lvlText w:val="%1."/>
      <w:lvlJc w:val="left"/>
      <w:pPr>
        <w:ind w:left="780" w:hanging="360"/>
      </w:pPr>
    </w:lvl>
  </w:abstractNum>
  <w:abstractNum w:abstractNumId="1">
    <w:nsid w:val="0FFFFF88"/>
    <w:multiLevelType w:val="singleLevel"/>
    <w:tmpl w:val="0FFFFF88"/>
    <w:lvl w:ilvl="0">
      <w:start w:val="1"/>
      <w:numFmt w:val="decimal"/>
      <w:lvlRestart w:val="0"/>
      <w:pStyle w:val="17"/>
      <w:lvlText w:val="%1."/>
      <w:lvlJc w:val="left"/>
      <w:pPr>
        <w:ind w:left="360" w:hanging="360"/>
      </w:pPr>
    </w:lvl>
  </w:abstractNum>
  <w:abstractNum w:abstractNumId="2">
    <w:nsid w:val="0FFFFF89"/>
    <w:multiLevelType w:val="singleLevel"/>
    <w:tmpl w:val="0FFFFF89"/>
    <w:lvl w:ilvl="0">
      <w:start w:val="1"/>
      <w:numFmt w:val="bullet"/>
      <w:lvlRestart w:val="0"/>
      <w:pStyle w:val="19"/>
      <w:lvlText w:val=""/>
      <w:lvlJc w:val="left"/>
      <w:pPr>
        <w:ind w:left="3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bordersDoNotSurroundHeader/>
  <w:bordersDoNotSurroundFooter/>
  <w:trackRevisions/>
  <w:defaultTabStop w:val="420"/>
  <w:evenAndOddHeaders/>
  <w:drawingGridHorizontalSpacing w:val="160"/>
  <w:drawingGridVerticalSpacing w:val="435"/>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Number 2"/>
    <w:basedOn w:val="0"/>
    <w:pPr>
      <w:numPr>
        <w:ilvl w:val="0"/>
        <w:numId w:val="1"/>
      </w:numPr>
    </w:pPr>
  </w:style>
  <w:style w:type="paragraph" w:styleId="16">
    <w:name w:val="index 8"/>
    <w:basedOn w:val="0"/>
    <w:next w:val="0"/>
    <w:pPr>
      <w:ind w:left="2940"/>
    </w:pPr>
  </w:style>
  <w:style w:type="paragraph" w:styleId="17">
    <w:name w:val="List Number"/>
    <w:basedOn w:val="0"/>
    <w:pPr>
      <w:numPr>
        <w:ilvl w:val="0"/>
        <w:numId w:val="2"/>
      </w:numPr>
    </w:pPr>
  </w:style>
  <w:style w:type="paragraph" w:styleId="18">
    <w:name w:val="index 5"/>
    <w:basedOn w:val="0"/>
    <w:next w:val="0"/>
    <w:pPr>
      <w:ind w:left="1680"/>
    </w:pPr>
    <w:rPr>
      <w:rFonts w:ascii="Times New Roman" w:eastAsia="宋体" w:cs="Times New Roman" w:hAnsi="Times New Roman"/>
      <w:lang w:val="en-US" w:eastAsia="zh-CN" w:bidi="ar-SA"/>
    </w:rPr>
  </w:style>
  <w:style w:type="paragraph" w:styleId="19">
    <w:name w:val="List Bullet"/>
    <w:basedOn w:val="0"/>
    <w:pPr>
      <w:numPr>
        <w:ilvl w:val="0"/>
        <w:numId w:val="3"/>
      </w:numPr>
    </w:pPr>
  </w:style>
  <w:style w:type="paragraph" w:styleId="20">
    <w:name w:val="annotation text"/>
    <w:basedOn w:val="0"/>
    <w:pPr>
      <w:jc w:val="left"/>
    </w:pPr>
  </w:style>
  <w:style w:type="paragraph" w:styleId="21">
    <w:name w:val="index 6"/>
    <w:basedOn w:val="0"/>
    <w:next w:val="0"/>
    <w:pPr>
      <w:ind w:left="2100"/>
    </w:pPr>
  </w:style>
  <w:style w:type="paragraph" w:styleId="22">
    <w:name w:val="footer"/>
    <w:basedOn w:val="0"/>
    <w:pPr>
      <w:tabs>
        <w:tab w:val="center" w:pos="4153"/>
        <w:tab w:val="right" w:pos="8306"/>
      </w:tabs>
      <w:snapToGrid w:val="0"/>
      <w:jc w:val="left"/>
    </w:pPr>
    <w:rPr>
      <w:sz w:val="18"/>
      <w:szCs w:val="18"/>
    </w:rPr>
  </w:style>
  <w:style w:type="paragraph" w:styleId="23">
    <w:name w:val="header"/>
    <w:basedOn w:val="0"/>
    <w:pPr>
      <w:pBdr>
        <w:bottom w:val="single" w:sz="6" w:space="1" w:color="auto"/>
      </w:pBdr>
      <w:tabs>
        <w:tab w:val="center" w:pos="4153"/>
        <w:tab w:val="right" w:pos="8306"/>
      </w:tabs>
      <w:snapToGrid w:val="0"/>
      <w:jc w:val="center"/>
    </w:pPr>
    <w:rPr>
      <w:sz w:val="18"/>
      <w:szCs w:val="18"/>
    </w:rPr>
  </w:style>
  <w:style w:type="paragraph" w:styleId="24">
    <w:name w:val="toc 1"/>
    <w:basedOn w:val="0"/>
    <w:next w:val="0"/>
  </w:style>
  <w:style w:type="paragraph" w:styleId="25">
    <w:name w:val="index 7"/>
    <w:basedOn w:val="0"/>
    <w:next w:val="0"/>
    <w:pPr>
      <w:ind w:left="2520"/>
    </w:pPr>
  </w:style>
  <w:style w:type="paragraph" w:styleId="26">
    <w:name w:val="toc 2"/>
    <w:basedOn w:val="0"/>
    <w:next w:val="0"/>
    <w:pPr>
      <w:ind w:left="420"/>
    </w:pPr>
  </w:style>
  <w:style w:type="paragraph" w:styleId="27">
    <w:name w:val="Normal (Web)"/>
    <w:basedOn w:val="0"/>
    <w:next w:val="22"/>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styleId="28">
    <w:name w:val="annotation subject"/>
    <w:basedOn w:val="20"/>
    <w:next w:val="20"/>
    <w:rPr>
      <w:b/>
      <w:bCs/>
    </w:rPr>
  </w:style>
  <w:style w:type="character" w:styleId="29">
    <w:name w:val="page number"/>
    <w:basedOn w:val="10"/>
  </w:style>
  <w:style w:type="paragraph" w:customStyle="1" w:styleId="30">
    <w:name w:val="样式 三号"/>
    <w:next w:val="3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1">
    <w:name w:val="样式 三号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2">
    <w:name w:val="样式 1 三号"/>
    <w:next w:val="24"/>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33">
    <w:name w:val="样式 小三"/>
    <w:next w:val="26"/>
    <w:pPr>
      <w:widowControl w:val="0"/>
      <w:jc w:val="both"/>
    </w:pPr>
    <w:rPr>
      <w:rFonts w:ascii="Times New Roman" w:eastAsia="宋体" w:cs="Times New Roman" w:hAnsi="Times New Roman"/>
      <w:kern w:val="2"/>
      <w:sz w:val="30"/>
      <w:szCs w:val="30"/>
      <w:lang w:val="en-US" w:eastAsia="zh-CN" w:bidi="ar-SA"/>
    </w:rPr>
  </w:style>
  <w:style w:type="paragraph" w:customStyle="1" w:styleId="34">
    <w:name w:val="样式 1 小四"/>
    <w:next w:val="3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35">
    <w:name w:val="正文5"/>
    <w:pPr>
      <w:widowControl w:val="0"/>
      <w:jc w:val="both"/>
    </w:pPr>
    <w:rPr>
      <w:rFonts w:ascii="Times New Roman" w:eastAsia="宋体" w:cs="Times New Roman" w:hAnsi="Times New Roman"/>
      <w:kern w:val="2"/>
      <w:sz w:val="32"/>
      <w:lang w:val="en-US" w:eastAsia="zh-CN" w:bidi="ar-SA"/>
    </w:rPr>
  </w:style>
  <w:style w:type="paragraph" w:customStyle="1" w:styleId="36">
    <w:name w:val="样式 6 小四"/>
    <w:next w:val="0"/>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7">
    <w:name w:val="样式 20 小四"/>
    <w:next w:val="18"/>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8">
    <w:name w:val="样式 12 三号"/>
    <w:next w:val="1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9">
    <w:name w:val="样式 50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0">
    <w:name w:val="样式 13 三号"/>
    <w:next w:val="25"/>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42">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5">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vertAlign w:val="baseline"/>
      <w:lang w:val="en-US" w:eastAsia="zh-CN" w:bidi="ar-SA"/>
    </w:rPr>
  </w:style>
  <w:style w:type="paragraph" w:customStyle="1" w:styleId="46">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7">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8">
    <w:name w:val="样式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49">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4">
    <w:name w:val="样式 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55">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6">
    <w:name w:val="样式 3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vertAlign w:val="baseline"/>
      <w:lang w:val="en-US" w:eastAsia="zh-CN" w:bidi="ar-SA"/>
    </w:rPr>
  </w:style>
  <w:style w:type="paragraph" w:customStyle="1" w:styleId="57">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74">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17 三号"/>
    <w:next w:val="1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7">
    <w:name w:val="样式 18 三号"/>
    <w:next w:val="17"/>
    <w:pPr>
      <w:widowControl w:val="0"/>
      <w:jc w:val="both"/>
    </w:pPr>
    <w:rPr>
      <w:rFonts w:ascii="Times New Roman" w:eastAsia="方正仿宋_GBK" w:cs="Times New Roman" w:hAnsi="Times New Roman"/>
      <w:kern w:val="2"/>
      <w:sz w:val="32"/>
      <w:szCs w:val="22"/>
      <w:lang w:val="en-US" w:eastAsia="zh-CN" w:bidi="ar-SA"/>
    </w:rPr>
  </w:style>
  <w:style w:type="paragraph" w:customStyle="1" w:styleId="78">
    <w:name w:val="样式 17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 w:type="paragraph" w:customStyle="1" w:styleId="79">
    <w:name w:val="样式 8 小四"/>
    <w:next w:val="72"/>
    <w:pPr>
      <w:widowControl w:val="0"/>
      <w:spacing w:line="240" w:lineRule="auto"/>
      <w:jc w:val="left"/>
    </w:pPr>
    <w:rPr>
      <w:rFonts w:ascii="宋体" w:eastAsia="宋体" w:cs="Times New Roman"/>
      <w:kern w:val="2"/>
      <w:sz w:val="24"/>
      <w:szCs w:val="21"/>
      <w:lang w:val="en-US" w:eastAsia="zh-CN" w:bidi="ar-SA"/>
    </w:rPr>
  </w:style>
  <w:style w:type="character" w:customStyle="1" w:styleId="80">
    <w:name w:val="im-content1"/>
    <w:basedOn w:val="10"/>
    <w:rPr>
      <w:color w:val="00000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128</TotalTime>
  <Application>Yozo_Office</Application>
  <Pages>7</Pages>
  <Words>2433</Words>
  <Characters>2543</Characters>
  <Lines>434</Lines>
  <Paragraphs>314</Paragraphs>
  <CharactersWithSpaces>2543</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58</cp:revision>
  <cp:lastPrinted>2020-01-26T00:43:00Z</cp:lastPrinted>
  <dcterms:created xsi:type="dcterms:W3CDTF">2008-05-13T07:46:00Z</dcterms:created>
  <dcterms:modified xsi:type="dcterms:W3CDTF">2026-01-26T00:53:17Z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