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80" w:leftChars="-200"/>
        <w:jc w:val="right"/>
        <w:rPr>
          <w:color w:val="000000"/>
          <w:szCs w:val="24"/>
        </w:rPr>
      </w:pPr>
      <w:r>
        <w:rPr>
          <w:rFonts w:hint="eastAsia"/>
          <w:color w:val="000000"/>
          <w:szCs w:val="24"/>
        </w:rPr>
        <w:t xml:space="preserve"> </w:t>
      </w:r>
    </w:p>
    <w:p>
      <w:pPr>
        <w:jc w:val="right"/>
        <w:rPr>
          <w:color w:val="000000"/>
        </w:rPr>
      </w:pPr>
    </w:p>
    <w:p>
      <w:pPr>
        <w:jc w:val="center"/>
        <w:rPr>
          <w:rFonts w:ascii="宋体" w:hAnsi="宋体"/>
          <w:color w:val="FF0000"/>
          <w:sz w:val="48"/>
          <w:szCs w:val="48"/>
        </w:rPr>
      </w:pPr>
      <w:r>
        <w:rPr>
          <w:rFonts w:hint="eastAsia" w:ascii="宋体" w:hAnsi="宋体"/>
          <w:b/>
          <w:color w:val="FF0000"/>
          <w:sz w:val="48"/>
          <w:szCs w:val="48"/>
        </w:rPr>
        <w:t>服务类项目</w:t>
      </w:r>
    </w:p>
    <w:p>
      <w:pPr>
        <w:rPr>
          <w:rFonts w:ascii="宋体" w:hAnsi="宋体"/>
          <w:color w:val="000000"/>
          <w:szCs w:val="24"/>
        </w:rPr>
      </w:pPr>
    </w:p>
    <w:p>
      <w:pPr>
        <w:rPr>
          <w:rFonts w:ascii="宋体" w:hAnsi="宋体"/>
          <w:color w:val="000000"/>
          <w:szCs w:val="24"/>
        </w:rPr>
      </w:pPr>
    </w:p>
    <w:p>
      <w:pPr>
        <w:jc w:val="center"/>
        <w:rPr>
          <w:rFonts w:ascii="宋体" w:hAnsi="宋体"/>
          <w:b/>
          <w:color w:val="000000"/>
          <w:sz w:val="96"/>
          <w:szCs w:val="96"/>
        </w:rPr>
      </w:pPr>
      <w:r>
        <w:rPr>
          <w:rFonts w:hint="eastAsia" w:ascii="宋体" w:hAnsi="宋体"/>
          <w:b/>
          <w:color w:val="000000"/>
          <w:sz w:val="96"/>
          <w:szCs w:val="96"/>
        </w:rPr>
        <w:t>竞争性磋商文件</w:t>
      </w:r>
    </w:p>
    <w:p>
      <w:pPr>
        <w:rPr>
          <w:rFonts w:ascii="宋体" w:hAnsi="宋体"/>
          <w:bCs/>
          <w:color w:val="000000"/>
          <w:szCs w:val="24"/>
        </w:rPr>
      </w:pPr>
    </w:p>
    <w:p>
      <w:pPr>
        <w:jc w:val="center"/>
        <w:rPr>
          <w:rFonts w:ascii="宋体" w:hAnsi="宋体"/>
          <w:bCs/>
          <w:color w:val="000000"/>
          <w:szCs w:val="24"/>
        </w:rPr>
      </w:pPr>
      <w:r>
        <w:rPr>
          <w:rFonts w:ascii="宋体" w:hAnsi="宋体"/>
          <w:color w:val="000000"/>
          <w:szCs w:val="24"/>
        </w:rPr>
        <w:drawing>
          <wp:inline distT="0" distB="0" distL="114300" distR="114300">
            <wp:extent cx="2522220" cy="2522220"/>
            <wp:effectExtent l="0" t="0" r="5080" b="5080"/>
            <wp:docPr id="4" name="图片 1" descr="LOGO20190523（终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LOGO20190523（终稿）.png"/>
                    <pic:cNvPicPr>
                      <a:picLocks noChangeAspect="1"/>
                    </pic:cNvPicPr>
                  </pic:nvPicPr>
                  <pic:blipFill>
                    <a:blip r:embed="rId9"/>
                    <a:stretch>
                      <a:fillRect/>
                    </a:stretch>
                  </pic:blipFill>
                  <pic:spPr>
                    <a:xfrm>
                      <a:off x="0" y="0"/>
                      <a:ext cx="2522220" cy="2522220"/>
                    </a:xfrm>
                    <a:prstGeom prst="rect">
                      <a:avLst/>
                    </a:prstGeom>
                    <a:noFill/>
                    <a:ln w="9525" cap="flat" cmpd="sng">
                      <a:noFill/>
                      <a:prstDash val="solid"/>
                      <a:round/>
                    </a:ln>
                  </pic:spPr>
                </pic:pic>
              </a:graphicData>
            </a:graphic>
          </wp:inline>
        </w:drawing>
      </w:r>
    </w:p>
    <w:p>
      <w:pPr>
        <w:rPr>
          <w:rFonts w:ascii="宋体" w:hAnsi="宋体"/>
          <w:bCs/>
          <w:color w:val="000000"/>
          <w:szCs w:val="24"/>
        </w:rPr>
      </w:pPr>
    </w:p>
    <w:p>
      <w:pPr>
        <w:rPr>
          <w:rFonts w:ascii="宋体" w:hAnsi="宋体"/>
          <w:bCs/>
          <w:color w:val="000000"/>
          <w:szCs w:val="24"/>
        </w:rPr>
      </w:pPr>
    </w:p>
    <w:p>
      <w:pPr>
        <w:jc w:val="center"/>
        <w:rPr>
          <w:rFonts w:ascii="宋体" w:hAnsi="宋体"/>
          <w:b/>
          <w:bCs/>
          <w:color w:val="000000"/>
          <w:sz w:val="30"/>
          <w:szCs w:val="30"/>
          <w:u w:val="single"/>
        </w:rPr>
      </w:pPr>
      <w:r>
        <w:rPr>
          <w:rFonts w:hint="eastAsia" w:ascii="宋体" w:hAnsi="宋体"/>
          <w:b/>
          <w:bCs/>
          <w:color w:val="000000"/>
          <w:sz w:val="30"/>
          <w:szCs w:val="30"/>
        </w:rPr>
        <w:t>采购文件编号：</w:t>
      </w:r>
      <w:r>
        <w:rPr>
          <w:rFonts w:hint="eastAsia" w:ascii="宋体" w:hAnsi="宋体"/>
          <w:b/>
          <w:bCs/>
          <w:color w:val="000000"/>
          <w:sz w:val="30"/>
          <w:szCs w:val="30"/>
          <w:u w:val="single"/>
        </w:rPr>
        <w:t xml:space="preserve"> </w:t>
      </w:r>
      <w:bookmarkStart w:id="0" w:name="OLE_LINK1"/>
      <w:bookmarkStart w:id="1" w:name="OLE_LINK10"/>
      <w:r>
        <w:rPr>
          <w:rFonts w:hint="eastAsia" w:ascii="宋体" w:hAnsi="宋体"/>
          <w:b/>
          <w:bCs/>
          <w:color w:val="000000"/>
          <w:sz w:val="30"/>
          <w:szCs w:val="30"/>
          <w:u w:val="single"/>
        </w:rPr>
        <w:t>0809-25401GJC302013801</w:t>
      </w:r>
      <w:bookmarkEnd w:id="0"/>
      <w:bookmarkEnd w:id="1"/>
      <w:r>
        <w:rPr>
          <w:rFonts w:hint="eastAsia" w:ascii="宋体" w:hAnsi="宋体"/>
          <w:b/>
          <w:bCs/>
          <w:color w:val="000000"/>
          <w:sz w:val="30"/>
          <w:szCs w:val="30"/>
          <w:u w:val="single"/>
        </w:rPr>
        <w:t xml:space="preserve"> </w:t>
      </w:r>
    </w:p>
    <w:p>
      <w:pPr>
        <w:jc w:val="center"/>
        <w:rPr>
          <w:rFonts w:ascii="宋体" w:hAnsi="宋体"/>
          <w:b/>
          <w:bCs/>
          <w:color w:val="000000"/>
          <w:sz w:val="30"/>
          <w:szCs w:val="30"/>
          <w:u w:val="single"/>
        </w:rPr>
      </w:pPr>
      <w:r>
        <w:rPr>
          <w:rFonts w:hint="eastAsia" w:ascii="宋体" w:hAnsi="宋体"/>
          <w:b/>
          <w:bCs/>
          <w:color w:val="000000"/>
          <w:sz w:val="30"/>
          <w:szCs w:val="30"/>
        </w:rPr>
        <w:t>采购项目名称：</w:t>
      </w:r>
      <w:r>
        <w:rPr>
          <w:rFonts w:hint="eastAsia" w:ascii="宋体" w:hAnsi="宋体"/>
          <w:b/>
          <w:bCs/>
          <w:color w:val="000000"/>
          <w:sz w:val="30"/>
          <w:szCs w:val="30"/>
          <w:u w:val="single"/>
        </w:rPr>
        <w:t xml:space="preserve"> 2026-2027年广州白云机场海关南1、2号楼物业管理服务 </w:t>
      </w:r>
    </w:p>
    <w:p>
      <w:pPr>
        <w:jc w:val="center"/>
        <w:rPr>
          <w:rFonts w:ascii="宋体" w:hAnsi="宋体"/>
          <w:b/>
          <w:color w:val="000000"/>
          <w:sz w:val="30"/>
          <w:szCs w:val="30"/>
          <w:u w:val="single"/>
        </w:rPr>
      </w:pPr>
      <w:r>
        <w:rPr>
          <w:rFonts w:hint="eastAsia" w:ascii="宋体" w:hAnsi="宋体"/>
          <w:b/>
          <w:bCs/>
          <w:color w:val="000000"/>
          <w:sz w:val="30"/>
          <w:szCs w:val="30"/>
        </w:rPr>
        <w:t>采购人名称：</w:t>
      </w:r>
      <w:r>
        <w:rPr>
          <w:rFonts w:hint="eastAsia" w:ascii="宋体" w:hAnsi="宋体"/>
          <w:b/>
          <w:bCs/>
          <w:color w:val="000000"/>
          <w:sz w:val="30"/>
          <w:szCs w:val="30"/>
          <w:u w:val="single"/>
        </w:rPr>
        <w:t xml:space="preserve"> 中华人民共和国广州白云机场海关 </w:t>
      </w:r>
    </w:p>
    <w:p>
      <w:pPr>
        <w:rPr>
          <w:rFonts w:ascii="宋体" w:hAnsi="宋体"/>
          <w:bCs/>
          <w:color w:val="000000"/>
          <w:szCs w:val="24"/>
        </w:rPr>
      </w:pPr>
    </w:p>
    <w:p>
      <w:pPr>
        <w:rPr>
          <w:rFonts w:ascii="宋体" w:hAnsi="宋体"/>
          <w:bCs/>
          <w:color w:val="000000"/>
          <w:szCs w:val="24"/>
        </w:rPr>
      </w:pPr>
    </w:p>
    <w:p>
      <w:pPr>
        <w:rPr>
          <w:rFonts w:ascii="宋体" w:hAnsi="宋体"/>
          <w:bCs/>
          <w:color w:val="000000"/>
          <w:szCs w:val="24"/>
        </w:rPr>
      </w:pPr>
    </w:p>
    <w:p>
      <w:pPr>
        <w:jc w:val="center"/>
        <w:rPr>
          <w:rFonts w:ascii="宋体" w:hAnsi="宋体"/>
          <w:b/>
          <w:bCs/>
          <w:color w:val="000000"/>
          <w:sz w:val="28"/>
          <w:szCs w:val="28"/>
        </w:rPr>
      </w:pPr>
      <w:r>
        <w:rPr>
          <w:rFonts w:hint="eastAsia" w:ascii="宋体" w:hAnsi="宋体"/>
          <w:b/>
          <w:bCs/>
          <w:color w:val="000000"/>
          <w:sz w:val="28"/>
          <w:szCs w:val="28"/>
        </w:rPr>
        <w:t>广东华伦招标有限公司 编制</w:t>
      </w:r>
    </w:p>
    <w:p>
      <w:pPr>
        <w:jc w:val="center"/>
        <w:rPr>
          <w:rFonts w:ascii="宋体" w:hAnsi="宋体"/>
          <w:color w:val="000000"/>
          <w:szCs w:val="24"/>
        </w:rPr>
        <w:sectPr>
          <w:headerReference r:id="rId5" w:type="default"/>
          <w:footerReference r:id="rId6" w:type="default"/>
          <w:pgSz w:w="11906" w:h="16838"/>
          <w:pgMar w:top="1134" w:right="1134" w:bottom="1134" w:left="1134" w:header="567" w:footer="737" w:gutter="454"/>
          <w:pgNumType w:fmt="numberInDash" w:start="0"/>
          <w:cols w:space="720" w:num="1"/>
          <w:titlePg/>
          <w:docGrid w:type="lines" w:linePitch="312" w:charSpace="0"/>
        </w:sectPr>
      </w:pPr>
      <w:r>
        <w:rPr>
          <w:rFonts w:hint="eastAsia" w:ascii="宋体" w:hAnsi="宋体"/>
          <w:b/>
          <w:bCs/>
          <w:color w:val="000000"/>
          <w:sz w:val="28"/>
          <w:szCs w:val="28"/>
        </w:rPr>
        <w:t xml:space="preserve">                 发布日期：2026年1月</w:t>
      </w:r>
      <w:r>
        <w:rPr>
          <w:rFonts w:ascii="宋体" w:hAnsi="宋体"/>
          <w:color w:val="000000"/>
          <w:szCs w:val="24"/>
        </w:rPr>
        <w:br w:type="page"/>
      </w:r>
    </w:p>
    <w:p>
      <w:pPr>
        <w:jc w:val="center"/>
        <w:outlineLvl w:val="0"/>
        <w:rPr>
          <w:rStyle w:val="36"/>
          <w:color w:val="000000"/>
        </w:rPr>
      </w:pPr>
      <w:bookmarkStart w:id="2" w:name="_Toc56180220"/>
      <w:r>
        <w:rPr>
          <w:rStyle w:val="36"/>
          <w:rFonts w:hint="eastAsia"/>
          <w:color w:val="000000"/>
        </w:rPr>
        <w:t>温馨提示</w:t>
      </w:r>
      <w:bookmarkEnd w:id="2"/>
    </w:p>
    <w:p>
      <w:pPr>
        <w:wordWrap/>
        <w:spacing w:line="312" w:lineRule="auto"/>
        <w:rPr>
          <w:rFonts w:ascii="宋体" w:hAnsi="宋体"/>
          <w:color w:val="000000"/>
          <w:szCs w:val="24"/>
        </w:rPr>
      </w:pPr>
      <w:r>
        <w:rPr>
          <w:rFonts w:hint="eastAsia" w:ascii="宋体" w:hAnsi="宋体"/>
          <w:color w:val="000000"/>
          <w:szCs w:val="24"/>
        </w:rPr>
        <w:t>【本提示内容非竞争性磋商文件的组成部分，仅为善意提醒。如有不一致，以竞争性磋商文件为准。本文中竞争性磋商公告简称“磋商公告”，竞争性磋商文件简称“磋商文件”】</w:t>
      </w:r>
    </w:p>
    <w:p>
      <w:pPr>
        <w:numPr>
          <w:ilvl w:val="0"/>
          <w:numId w:val="2"/>
        </w:numPr>
        <w:wordWrap/>
        <w:spacing w:line="312" w:lineRule="auto"/>
        <w:rPr>
          <w:rFonts w:ascii="宋体" w:hAnsi="宋体"/>
          <w:color w:val="000000"/>
          <w:szCs w:val="24"/>
        </w:rPr>
      </w:pPr>
      <w:r>
        <w:rPr>
          <w:rFonts w:hint="eastAsia" w:ascii="宋体" w:hAnsi="宋体"/>
          <w:color w:val="000000"/>
          <w:szCs w:val="24"/>
        </w:rPr>
        <w:t>如无另行说明，首次响应文件递交时间为响应文件</w:t>
      </w:r>
      <w:r>
        <w:rPr>
          <w:rFonts w:hint="eastAsia" w:ascii="宋体" w:hAnsi="宋体"/>
          <w:b/>
          <w:color w:val="000000"/>
          <w:szCs w:val="24"/>
          <w:u w:val="single"/>
        </w:rPr>
        <w:t>递交截止时间之前30分钟</w:t>
      </w:r>
      <w:r>
        <w:rPr>
          <w:rFonts w:hint="eastAsia" w:ascii="宋体" w:hAnsi="宋体"/>
          <w:color w:val="000000"/>
          <w:szCs w:val="24"/>
        </w:rPr>
        <w:t>内。</w:t>
      </w:r>
    </w:p>
    <w:p>
      <w:pPr>
        <w:numPr>
          <w:ilvl w:val="0"/>
          <w:numId w:val="2"/>
        </w:numPr>
        <w:wordWrap/>
        <w:spacing w:line="312" w:lineRule="auto"/>
        <w:rPr>
          <w:rStyle w:val="44"/>
          <w:rFonts w:ascii="宋体" w:hAnsi="宋体"/>
          <w:color w:val="000000"/>
          <w:sz w:val="24"/>
          <w:szCs w:val="24"/>
        </w:rPr>
      </w:pPr>
      <w:r>
        <w:rPr>
          <w:rFonts w:hint="eastAsia" w:ascii="宋体" w:hAnsi="宋体" w:cs="Arial"/>
          <w:color w:val="000000"/>
          <w:szCs w:val="24"/>
        </w:rPr>
        <w:t>对可接受分支机构参加</w:t>
      </w:r>
      <w:r>
        <w:rPr>
          <w:rFonts w:hint="eastAsia" w:ascii="宋体" w:hAnsi="宋体"/>
          <w:color w:val="000000"/>
          <w:szCs w:val="24"/>
        </w:rPr>
        <w:t>磋商的项目，</w:t>
      </w:r>
      <w:r>
        <w:rPr>
          <w:rStyle w:val="44"/>
          <w:rFonts w:hint="eastAsia" w:hAnsi="宋体"/>
          <w:color w:val="000000"/>
          <w:sz w:val="24"/>
          <w:szCs w:val="24"/>
        </w:rPr>
        <w:t>分支机构参加磋商的，须提供分支机构的营业执</w:t>
      </w:r>
      <w:r>
        <w:rPr>
          <w:rStyle w:val="44"/>
          <w:rFonts w:hint="eastAsia"/>
          <w:color w:val="000000"/>
          <w:sz w:val="24"/>
          <w:szCs w:val="24"/>
        </w:rPr>
        <w:t>照（执业许可证）复印件、</w:t>
      </w:r>
      <w:r>
        <w:rPr>
          <w:rFonts w:hint="eastAsia" w:ascii="宋体" w:hAnsi="宋体"/>
          <w:color w:val="000000"/>
          <w:szCs w:val="24"/>
        </w:rPr>
        <w:t>总公司（总所）的营业执照副本复印件</w:t>
      </w:r>
      <w:r>
        <w:rPr>
          <w:rStyle w:val="44"/>
          <w:rFonts w:hint="eastAsia"/>
          <w:color w:val="000000"/>
          <w:sz w:val="24"/>
          <w:szCs w:val="24"/>
        </w:rPr>
        <w:t>及</w:t>
      </w:r>
      <w:r>
        <w:rPr>
          <w:rStyle w:val="44"/>
          <w:rFonts w:hint="eastAsia" w:hAnsi="宋体"/>
          <w:color w:val="000000"/>
          <w:sz w:val="24"/>
          <w:szCs w:val="24"/>
        </w:rPr>
        <w:t>总公司（总所）出具给分支机构的</w:t>
      </w:r>
      <w:r>
        <w:rPr>
          <w:rStyle w:val="44"/>
          <w:rFonts w:hint="eastAsia"/>
          <w:color w:val="000000"/>
          <w:sz w:val="24"/>
          <w:szCs w:val="24"/>
        </w:rPr>
        <w:t>授</w:t>
      </w:r>
      <w:r>
        <w:rPr>
          <w:rStyle w:val="44"/>
          <w:rFonts w:hint="eastAsia" w:hAnsi="宋体"/>
          <w:color w:val="000000"/>
          <w:sz w:val="24"/>
          <w:szCs w:val="24"/>
        </w:rPr>
        <w:t>权书，</w:t>
      </w:r>
      <w:r>
        <w:rPr>
          <w:rStyle w:val="44"/>
          <w:rFonts w:hint="eastAsia" w:hAnsi="宋体"/>
          <w:b/>
          <w:color w:val="000000"/>
          <w:sz w:val="24"/>
          <w:szCs w:val="24"/>
        </w:rPr>
        <w:t>授权书须加盖总公司（总所）公章</w:t>
      </w:r>
      <w:r>
        <w:rPr>
          <w:rStyle w:val="44"/>
          <w:rFonts w:hint="eastAsia" w:hAnsi="宋体"/>
          <w:color w:val="000000"/>
          <w:sz w:val="24"/>
          <w:szCs w:val="24"/>
        </w:rPr>
        <w:t>。总公司（总所）可就本项目或此类项目在一定范围或时间内出具授权书。已由总公司（总所）授权的，总公司（总所）取得的相关资质证书对分支机构有效，法律法规或者行业另有规定的除外。</w:t>
      </w:r>
    </w:p>
    <w:p>
      <w:pPr>
        <w:numPr>
          <w:ilvl w:val="0"/>
          <w:numId w:val="2"/>
        </w:numPr>
        <w:wordWrap/>
        <w:spacing w:line="312" w:lineRule="auto"/>
        <w:rPr>
          <w:rStyle w:val="44"/>
          <w:rFonts w:ascii="宋体" w:hAnsi="宋体"/>
          <w:color w:val="000000"/>
          <w:sz w:val="24"/>
          <w:szCs w:val="24"/>
        </w:rPr>
      </w:pPr>
      <w:r>
        <w:rPr>
          <w:rStyle w:val="44"/>
          <w:rFonts w:hint="eastAsia" w:ascii="宋体" w:hAnsi="宋体"/>
          <w:color w:val="000000"/>
          <w:sz w:val="24"/>
          <w:szCs w:val="24"/>
        </w:rPr>
        <w:tab/>
      </w:r>
      <w:r>
        <w:rPr>
          <w:rStyle w:val="44"/>
          <w:rFonts w:hint="eastAsia" w:ascii="宋体" w:hAnsi="宋体"/>
          <w:color w:val="000000"/>
          <w:sz w:val="24"/>
          <w:szCs w:val="24"/>
        </w:rPr>
        <w:t>供应商请注意区分磋商保证金及采购代理服务费收款帐号的区别。如项目（采购包）要求缴纳磋商保证金的，供应商在按照磋商公告及磋商文件规定获取磋商文件后，</w:t>
      </w:r>
      <w:r>
        <w:rPr>
          <w:rStyle w:val="44"/>
          <w:rFonts w:hint="eastAsia" w:ascii="宋体" w:hAnsi="宋体"/>
          <w:b/>
          <w:color w:val="000000"/>
          <w:sz w:val="24"/>
          <w:szCs w:val="24"/>
          <w:u w:val="single"/>
        </w:rPr>
        <w:t>可在系统中获取专属的磋商保证金账户信息</w:t>
      </w:r>
      <w:r>
        <w:rPr>
          <w:rStyle w:val="44"/>
          <w:rFonts w:hint="eastAsia" w:ascii="宋体" w:hAnsi="宋体"/>
          <w:color w:val="000000"/>
          <w:sz w:val="24"/>
          <w:szCs w:val="24"/>
        </w:rPr>
        <w:t>，每个供应商每个项目（采购包）的保证金缴纳账户是唯一的，请供应商务必按要求将保证金存入所投项目（采购包）指定的保证金专用账户；</w:t>
      </w:r>
      <w:r>
        <w:rPr>
          <w:rStyle w:val="44"/>
          <w:rFonts w:hint="eastAsia" w:ascii="宋体" w:hAnsi="宋体"/>
          <w:color w:val="000000"/>
          <w:sz w:val="24"/>
          <w:szCs w:val="24"/>
        </w:rPr>
        <w:tab/>
      </w:r>
      <w:r>
        <w:rPr>
          <w:rStyle w:val="44"/>
          <w:rFonts w:hint="eastAsia" w:ascii="宋体" w:hAnsi="宋体"/>
          <w:color w:val="000000"/>
          <w:sz w:val="24"/>
          <w:szCs w:val="24"/>
        </w:rPr>
        <w:t>磋商保证金的转账当天不一定能够达账，为避免因磋商保证金未达账而导致响应被拒绝，建议在递交磋商保证金充分考虑以上因素。采购代理服务费存入指定的</w:t>
      </w:r>
      <w:r>
        <w:rPr>
          <w:rStyle w:val="44"/>
          <w:rFonts w:hint="eastAsia" w:ascii="宋体" w:hAnsi="宋体"/>
          <w:b/>
          <w:color w:val="000000"/>
          <w:sz w:val="24"/>
          <w:szCs w:val="24"/>
          <w:u w:val="single"/>
        </w:rPr>
        <w:t>采购代理服务费缴费账户</w:t>
      </w:r>
      <w:r>
        <w:rPr>
          <w:rStyle w:val="44"/>
          <w:rFonts w:hint="eastAsia" w:ascii="宋体" w:hAnsi="宋体"/>
          <w:color w:val="000000"/>
          <w:sz w:val="24"/>
          <w:szCs w:val="24"/>
        </w:rPr>
        <w:t>。</w:t>
      </w:r>
    </w:p>
    <w:p>
      <w:pPr>
        <w:numPr>
          <w:ilvl w:val="0"/>
          <w:numId w:val="2"/>
        </w:numPr>
        <w:wordWrap/>
        <w:spacing w:line="312" w:lineRule="auto"/>
        <w:rPr>
          <w:rFonts w:ascii="宋体" w:hAnsi="宋体"/>
          <w:color w:val="000000"/>
          <w:szCs w:val="24"/>
        </w:rPr>
      </w:pPr>
      <w:r>
        <w:rPr>
          <w:rFonts w:hint="eastAsia" w:ascii="宋体" w:hAnsi="宋体"/>
          <w:color w:val="000000"/>
          <w:szCs w:val="24"/>
        </w:rPr>
        <w:t>为了提高政府采购效率，节约社会交易成本与时间，本公司希望购买了磋商文件而决定不参加本次报价的供应商，在响应文件递交截止时间的3日前，按《磋商邀请》中的联系方式，</w:t>
      </w:r>
      <w:r>
        <w:rPr>
          <w:rFonts w:hint="eastAsia" w:ascii="宋体" w:hAnsi="宋体"/>
          <w:b/>
          <w:color w:val="000000"/>
          <w:szCs w:val="24"/>
          <w:u w:val="single"/>
        </w:rPr>
        <w:t>告知采购代理机构</w:t>
      </w:r>
      <w:r>
        <w:rPr>
          <w:rFonts w:hint="eastAsia" w:ascii="宋体" w:hAnsi="宋体"/>
          <w:color w:val="000000"/>
          <w:szCs w:val="24"/>
        </w:rPr>
        <w:t>。对您的支持与配合，谨此致谢。</w:t>
      </w:r>
    </w:p>
    <w:p>
      <w:pPr>
        <w:numPr>
          <w:ilvl w:val="0"/>
          <w:numId w:val="2"/>
        </w:numPr>
        <w:wordWrap/>
        <w:spacing w:line="312" w:lineRule="auto"/>
        <w:rPr>
          <w:rFonts w:ascii="宋体" w:hAnsi="宋体"/>
          <w:color w:val="000000"/>
          <w:szCs w:val="24"/>
        </w:rPr>
      </w:pPr>
      <w:r>
        <w:rPr>
          <w:rFonts w:hint="eastAsia" w:ascii="宋体" w:hAnsi="宋体"/>
          <w:color w:val="000000"/>
          <w:szCs w:val="24"/>
        </w:rPr>
        <w:t>供应商如需对项目提出书面询问或质疑，应分别按磋商文件《供应商须知》附件中的询问函、质疑函的格式在规定的时间内提交。</w:t>
      </w:r>
    </w:p>
    <w:p>
      <w:pPr>
        <w:numPr>
          <w:ilvl w:val="0"/>
          <w:numId w:val="2"/>
        </w:numPr>
        <w:wordWrap/>
        <w:spacing w:line="312" w:lineRule="auto"/>
        <w:rPr>
          <w:rFonts w:ascii="宋体" w:hAnsi="宋体"/>
          <w:color w:val="000000"/>
          <w:szCs w:val="24"/>
        </w:rPr>
      </w:pPr>
      <w:r>
        <w:rPr>
          <w:rFonts w:hint="eastAsia"/>
        </w:rPr>
        <w:t>投标（响应）供应商代表需要到达我公司现场（广仁大厦6楼）参加采购活动时，</w:t>
      </w:r>
      <w:r>
        <w:rPr>
          <w:rFonts w:hint="eastAsia"/>
          <w:b/>
          <w:bCs/>
          <w:u w:val="single"/>
        </w:rPr>
        <w:t>需在广仁大厦一楼大堂向物业管理部门提交身份证明原件进行实名登记，请确保携带有效证件</w:t>
      </w:r>
      <w:r>
        <w:rPr>
          <w:rFonts w:hint="eastAsia"/>
        </w:rPr>
        <w:t>。因登记流程及电梯等候可能耗时较长，建议投标（响应）供应商代表在投标（响应）截止时间前，至少提前30分钟到达大厦，预留充足时间完成登记并抵达交易场所。</w:t>
      </w:r>
      <w:r>
        <w:rPr>
          <w:rFonts w:hint="eastAsia"/>
          <w:b/>
          <w:bCs/>
          <w:u w:val="single"/>
        </w:rPr>
        <w:t>广仁大厦停车场设在负1到负4楼</w:t>
      </w:r>
      <w:r>
        <w:rPr>
          <w:rFonts w:hint="eastAsia"/>
        </w:rPr>
        <w:t>，周边有珠江国际大厦、广州大厦、机械大厦、五月花广场及其他对外营业的停车场，请提前规划交通方式，避免因停车问题延误时间。</w:t>
      </w:r>
    </w:p>
    <w:p>
      <w:pPr>
        <w:numPr>
          <w:ilvl w:val="0"/>
          <w:numId w:val="2"/>
        </w:numPr>
        <w:wordWrap/>
        <w:spacing w:line="312" w:lineRule="auto"/>
        <w:rPr>
          <w:rFonts w:ascii="宋体" w:hAnsi="宋体"/>
          <w:color w:val="000000"/>
          <w:szCs w:val="24"/>
        </w:rPr>
      </w:pPr>
      <w:r>
        <w:rPr>
          <w:rFonts w:hint="eastAsia" w:ascii="宋体" w:hAnsi="宋体"/>
          <w:color w:val="000000"/>
          <w:szCs w:val="24"/>
        </w:rPr>
        <w:t>本项目需进行现场磋商，请供应商的磋商代表在首次响应文件提交时间截止后按规定携带资料（法定代表人携带①身份证原件；或委托代理人携带①身份证原件和②授权委托证明书）到达磋商地点等候参加磋商（具体磋商时间由磋商小组确定）。</w:t>
      </w:r>
    </w:p>
    <w:p>
      <w:pPr>
        <w:jc w:val="center"/>
        <w:rPr>
          <w:rFonts w:ascii="宋体" w:hAnsi="宋体"/>
          <w:b/>
          <w:color w:val="000000"/>
          <w:sz w:val="28"/>
          <w:szCs w:val="28"/>
        </w:rPr>
      </w:pPr>
      <w:r>
        <w:rPr>
          <w:rFonts w:ascii="宋体" w:hAnsi="宋体"/>
          <w:color w:val="000000"/>
          <w:szCs w:val="24"/>
        </w:rPr>
        <w:br w:type="page"/>
      </w:r>
      <w:r>
        <w:rPr>
          <w:rFonts w:hint="eastAsia" w:ascii="宋体" w:hAnsi="宋体"/>
          <w:b/>
          <w:color w:val="000000"/>
          <w:sz w:val="28"/>
          <w:szCs w:val="28"/>
        </w:rPr>
        <w:t>华伦公司地理位置示意</w:t>
      </w:r>
    </w:p>
    <w:p>
      <w:pPr>
        <w:jc w:val="center"/>
        <w:rPr>
          <w:rFonts w:ascii="宋体" w:hAnsi="宋体"/>
          <w:color w:val="000000"/>
          <w:szCs w:val="24"/>
        </w:rPr>
      </w:pPr>
      <w:r>
        <w:rPr>
          <w:rFonts w:hint="eastAsia" w:ascii="宋体" w:hAnsi="宋体"/>
          <w:color w:val="000000"/>
          <w:szCs w:val="24"/>
        </w:rPr>
        <w:drawing>
          <wp:inline distT="0" distB="0" distL="114300" distR="114300">
            <wp:extent cx="5824220" cy="4718050"/>
            <wp:effectExtent l="0" t="0" r="5080" b="63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a:stretch>
                      <a:fillRect/>
                    </a:stretch>
                  </pic:blipFill>
                  <pic:spPr>
                    <a:xfrm>
                      <a:off x="0" y="0"/>
                      <a:ext cx="5824220" cy="4718050"/>
                    </a:xfrm>
                    <a:prstGeom prst="rect">
                      <a:avLst/>
                    </a:prstGeom>
                    <a:noFill/>
                    <a:ln w="9525" cap="flat" cmpd="sng">
                      <a:noFill/>
                      <a:prstDash val="solid"/>
                      <a:round/>
                    </a:ln>
                  </pic:spPr>
                </pic:pic>
              </a:graphicData>
            </a:graphic>
          </wp:inline>
        </w:drawing>
      </w:r>
    </w:p>
    <w:p>
      <w:pPr>
        <w:rPr>
          <w:rFonts w:ascii="宋体" w:hAnsi="宋体"/>
          <w:color w:val="000000"/>
          <w:szCs w:val="24"/>
        </w:rPr>
      </w:pPr>
    </w:p>
    <w:p>
      <w:pPr>
        <w:jc w:val="center"/>
        <w:rPr>
          <w:rFonts w:ascii="宋体" w:hAnsi="宋体"/>
          <w:b/>
          <w:color w:val="000000"/>
          <w:sz w:val="28"/>
          <w:szCs w:val="28"/>
        </w:rPr>
      </w:pPr>
      <w:r>
        <w:rPr>
          <w:rFonts w:hint="eastAsia" w:ascii="宋体" w:hAnsi="宋体"/>
          <w:b/>
          <w:color w:val="000000"/>
          <w:sz w:val="28"/>
          <w:szCs w:val="28"/>
        </w:rPr>
        <w:t>广仁大厦外观图</w:t>
      </w:r>
    </w:p>
    <w:p>
      <w:pPr>
        <w:jc w:val="center"/>
        <w:rPr>
          <w:rFonts w:ascii="宋体" w:hAnsi="宋体"/>
          <w:color w:val="000000"/>
          <w:szCs w:val="24"/>
        </w:rPr>
      </w:pPr>
      <w:r>
        <w:rPr>
          <w:rFonts w:hint="eastAsia" w:ascii="宋体" w:hAnsi="宋体"/>
          <w:color w:val="000000"/>
          <w:szCs w:val="24"/>
        </w:rPr>
        <w:drawing>
          <wp:inline distT="0" distB="0" distL="114300" distR="114300">
            <wp:extent cx="2137410" cy="2118995"/>
            <wp:effectExtent l="0" t="0" r="8890" b="190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a:stretch>
                      <a:fillRect/>
                    </a:stretch>
                  </pic:blipFill>
                  <pic:spPr>
                    <a:xfrm>
                      <a:off x="0" y="0"/>
                      <a:ext cx="2137410" cy="2118995"/>
                    </a:xfrm>
                    <a:prstGeom prst="rect">
                      <a:avLst/>
                    </a:prstGeom>
                    <a:noFill/>
                    <a:ln w="9525" cap="flat" cmpd="sng">
                      <a:noFill/>
                      <a:prstDash val="solid"/>
                      <a:round/>
                    </a:ln>
                  </pic:spPr>
                </pic:pic>
              </a:graphicData>
            </a:graphic>
          </wp:inline>
        </w:drawing>
      </w:r>
      <w:r>
        <w:rPr>
          <w:rFonts w:hint="eastAsia" w:ascii="宋体" w:hAnsi="宋体"/>
          <w:color w:val="000000"/>
          <w:szCs w:val="24"/>
        </w:rPr>
        <w:drawing>
          <wp:inline distT="0" distB="0" distL="114300" distR="114300">
            <wp:extent cx="3646170" cy="2128520"/>
            <wp:effectExtent l="0" t="0" r="11430" b="508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2"/>
                    <a:stretch>
                      <a:fillRect/>
                    </a:stretch>
                  </pic:blipFill>
                  <pic:spPr>
                    <a:xfrm>
                      <a:off x="0" y="0"/>
                      <a:ext cx="3646170" cy="2128520"/>
                    </a:xfrm>
                    <a:prstGeom prst="rect">
                      <a:avLst/>
                    </a:prstGeom>
                    <a:noFill/>
                    <a:ln w="9525" cap="flat" cmpd="sng">
                      <a:noFill/>
                      <a:prstDash val="solid"/>
                      <a:round/>
                    </a:ln>
                  </pic:spPr>
                </pic:pic>
              </a:graphicData>
            </a:graphic>
          </wp:inline>
        </w:drawing>
      </w:r>
    </w:p>
    <w:p>
      <w:pPr>
        <w:pStyle w:val="3"/>
        <w:spacing w:before="0" w:after="0" w:line="360" w:lineRule="auto"/>
        <w:jc w:val="center"/>
        <w:rPr>
          <w:rFonts w:ascii="宋体" w:hAnsi="宋体"/>
          <w:color w:val="000000"/>
          <w:sz w:val="24"/>
          <w:szCs w:val="24"/>
        </w:rPr>
      </w:pPr>
      <w:r>
        <w:rPr>
          <w:color w:val="000000"/>
          <w:sz w:val="24"/>
          <w:szCs w:val="24"/>
        </w:rPr>
        <w:br w:type="page"/>
      </w:r>
      <w:bookmarkStart w:id="3" w:name="_Toc56180221"/>
      <w:r>
        <w:rPr>
          <w:rFonts w:hint="eastAsia"/>
          <w:color w:val="000000"/>
        </w:rPr>
        <w:t>目  录</w:t>
      </w:r>
      <w:bookmarkEnd w:id="3"/>
    </w:p>
    <w:p>
      <w:pPr>
        <w:pStyle w:val="21"/>
        <w:tabs>
          <w:tab w:val="right" w:leader="dot" w:pos="9174"/>
        </w:tabs>
        <w:rPr>
          <w:rFonts w:ascii="宋体" w:hAnsi="宋体"/>
          <w:b w:val="0"/>
          <w:bCs w:val="0"/>
          <w:caps w:val="0"/>
          <w:smallCaps w:val="0"/>
          <w:color w:val="000000"/>
          <w:sz w:val="24"/>
          <w:szCs w:val="24"/>
        </w:rPr>
      </w:pPr>
      <w:r>
        <w:rPr>
          <w:rFonts w:hint="eastAsia"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TOC \o "1-3" \h \z \u</w:instrText>
      </w:r>
      <w:r>
        <w:rPr>
          <w:rFonts w:ascii="宋体" w:hAnsi="宋体"/>
          <w:color w:val="000000"/>
          <w:sz w:val="24"/>
          <w:szCs w:val="24"/>
        </w:rPr>
        <w:instrText xml:space="preserve"> </w:instrText>
      </w:r>
      <w:r>
        <w:rPr>
          <w:rFonts w:ascii="宋体" w:hAnsi="宋体"/>
          <w:color w:val="000000"/>
          <w:sz w:val="24"/>
          <w:szCs w:val="24"/>
        </w:rPr>
        <w:fldChar w:fldCharType="separate"/>
      </w:r>
      <w:r>
        <w:fldChar w:fldCharType="begin"/>
      </w:r>
      <w:r>
        <w:instrText xml:space="preserve"> HYPERLINK \l "_Toc56180220" </w:instrText>
      </w:r>
      <w:r>
        <w:fldChar w:fldCharType="separate"/>
      </w:r>
      <w:r>
        <w:rPr>
          <w:rFonts w:hint="eastAsia" w:ascii="宋体" w:hAnsi="宋体"/>
          <w:color w:val="000000"/>
          <w:kern w:val="44"/>
          <w:sz w:val="24"/>
          <w:szCs w:val="24"/>
        </w:rPr>
        <w:t>温馨提示</w:t>
      </w:r>
      <w:r>
        <w:rPr>
          <w:rFonts w:ascii="宋体" w:hAnsi="宋体"/>
          <w:color w:val="000000"/>
          <w:sz w:val="24"/>
          <w:szCs w:val="24"/>
        </w:rPr>
        <w:tab/>
      </w:r>
      <w:r>
        <w:rPr>
          <w:rFonts w:ascii="宋体" w:hAnsi="宋体"/>
          <w:color w:val="000000"/>
          <w:sz w:val="24"/>
          <w:szCs w:val="24"/>
        </w:rPr>
        <w:fldChar w:fldCharType="begin"/>
      </w:r>
      <w:r>
        <w:rPr>
          <w:rFonts w:ascii="宋体" w:hAnsi="宋体"/>
          <w:color w:val="000000"/>
          <w:sz w:val="24"/>
          <w:szCs w:val="24"/>
        </w:rPr>
        <w:instrText xml:space="preserve"> PAGEREF _Toc56180220 \h </w:instrText>
      </w:r>
      <w:r>
        <w:rPr>
          <w:rFonts w:ascii="宋体" w:hAnsi="宋体"/>
          <w:color w:val="000000"/>
          <w:sz w:val="24"/>
          <w:szCs w:val="24"/>
        </w:rPr>
        <w:fldChar w:fldCharType="separate"/>
      </w:r>
      <w:r>
        <w:rPr>
          <w:rFonts w:ascii="宋体" w:hAnsi="宋体"/>
          <w:color w:val="000000"/>
          <w:sz w:val="24"/>
          <w:szCs w:val="24"/>
        </w:rPr>
        <w:t>- 0 -</w:t>
      </w:r>
      <w:r>
        <w:rPr>
          <w:rFonts w:ascii="宋体" w:hAnsi="宋体"/>
          <w:color w:val="000000"/>
          <w:sz w:val="24"/>
          <w:szCs w:val="24"/>
        </w:rPr>
        <w:fldChar w:fldCharType="end"/>
      </w:r>
      <w:r>
        <w:rPr>
          <w:rFonts w:ascii="宋体" w:hAnsi="宋体"/>
          <w:color w:val="000000"/>
          <w:sz w:val="24"/>
          <w:szCs w:val="24"/>
        </w:rPr>
        <w:fldChar w:fldCharType="end"/>
      </w:r>
    </w:p>
    <w:p>
      <w:pPr>
        <w:pStyle w:val="21"/>
        <w:tabs>
          <w:tab w:val="right" w:leader="dot" w:pos="9174"/>
        </w:tabs>
        <w:rPr>
          <w:rFonts w:ascii="宋体" w:hAnsi="宋体"/>
          <w:b w:val="0"/>
          <w:bCs w:val="0"/>
          <w:caps w:val="0"/>
          <w:smallCaps w:val="0"/>
          <w:color w:val="000000"/>
          <w:sz w:val="24"/>
          <w:szCs w:val="24"/>
        </w:rPr>
      </w:pPr>
      <w:r>
        <w:fldChar w:fldCharType="begin"/>
      </w:r>
      <w:r>
        <w:instrText xml:space="preserve"> HYPERLINK \l "_Toc56180221" </w:instrText>
      </w:r>
      <w:r>
        <w:fldChar w:fldCharType="separate"/>
      </w:r>
      <w:r>
        <w:rPr>
          <w:rFonts w:hint="eastAsia" w:ascii="宋体" w:hAnsi="宋体"/>
          <w:color w:val="000000"/>
          <w:sz w:val="24"/>
          <w:szCs w:val="24"/>
        </w:rPr>
        <w:t>目</w:t>
      </w:r>
      <w:r>
        <w:rPr>
          <w:rFonts w:ascii="宋体" w:hAnsi="宋体"/>
          <w:color w:val="000000"/>
          <w:sz w:val="24"/>
          <w:szCs w:val="24"/>
        </w:rPr>
        <w:t xml:space="preserve">  </w:t>
      </w:r>
      <w:r>
        <w:rPr>
          <w:rFonts w:hint="eastAsia" w:ascii="宋体" w:hAnsi="宋体"/>
          <w:color w:val="000000"/>
          <w:sz w:val="24"/>
          <w:szCs w:val="24"/>
        </w:rPr>
        <w:t>录</w:t>
      </w:r>
      <w:r>
        <w:rPr>
          <w:rFonts w:ascii="宋体" w:hAnsi="宋体"/>
          <w:color w:val="000000"/>
          <w:sz w:val="24"/>
          <w:szCs w:val="24"/>
        </w:rPr>
        <w:tab/>
      </w:r>
      <w:r>
        <w:rPr>
          <w:rFonts w:ascii="宋体" w:hAnsi="宋体"/>
          <w:color w:val="000000"/>
          <w:sz w:val="24"/>
          <w:szCs w:val="24"/>
        </w:rPr>
        <w:fldChar w:fldCharType="begin"/>
      </w:r>
      <w:r>
        <w:rPr>
          <w:rFonts w:ascii="宋体" w:hAnsi="宋体"/>
          <w:color w:val="000000"/>
          <w:sz w:val="24"/>
          <w:szCs w:val="24"/>
        </w:rPr>
        <w:instrText xml:space="preserve"> PAGEREF _Toc56180221 \h </w:instrText>
      </w:r>
      <w:r>
        <w:rPr>
          <w:rFonts w:ascii="宋体" w:hAnsi="宋体"/>
          <w:color w:val="000000"/>
          <w:sz w:val="24"/>
          <w:szCs w:val="24"/>
        </w:rPr>
        <w:fldChar w:fldCharType="separate"/>
      </w:r>
      <w:r>
        <w:rPr>
          <w:rFonts w:ascii="宋体" w:hAnsi="宋体"/>
          <w:color w:val="000000"/>
          <w:sz w:val="24"/>
          <w:szCs w:val="24"/>
        </w:rPr>
        <w:t>- 2 -</w:t>
      </w:r>
      <w:r>
        <w:rPr>
          <w:rFonts w:ascii="宋体" w:hAnsi="宋体"/>
          <w:color w:val="000000"/>
          <w:sz w:val="24"/>
          <w:szCs w:val="24"/>
        </w:rPr>
        <w:fldChar w:fldCharType="end"/>
      </w:r>
      <w:r>
        <w:rPr>
          <w:rFonts w:ascii="宋体" w:hAnsi="宋体"/>
          <w:color w:val="000000"/>
          <w:sz w:val="24"/>
          <w:szCs w:val="24"/>
        </w:rPr>
        <w:fldChar w:fldCharType="end"/>
      </w:r>
    </w:p>
    <w:p>
      <w:pPr>
        <w:pStyle w:val="21"/>
        <w:tabs>
          <w:tab w:val="left" w:pos="1050"/>
          <w:tab w:val="right" w:leader="dot" w:pos="9174"/>
        </w:tabs>
        <w:rPr>
          <w:rFonts w:ascii="宋体" w:hAnsi="宋体"/>
          <w:b w:val="0"/>
          <w:bCs w:val="0"/>
          <w:caps w:val="0"/>
          <w:smallCaps w:val="0"/>
          <w:color w:val="000000"/>
          <w:sz w:val="24"/>
          <w:szCs w:val="24"/>
        </w:rPr>
      </w:pPr>
      <w:r>
        <w:fldChar w:fldCharType="begin"/>
      </w:r>
      <w:r>
        <w:instrText xml:space="preserve"> HYPERLINK \l "_Toc56180222" </w:instrText>
      </w:r>
      <w:r>
        <w:fldChar w:fldCharType="separate"/>
      </w:r>
      <w:r>
        <w:rPr>
          <w:rFonts w:hint="eastAsia" w:ascii="宋体" w:hAnsi="宋体"/>
          <w:color w:val="000000"/>
          <w:kern w:val="0"/>
          <w:sz w:val="24"/>
          <w:szCs w:val="24"/>
        </w:rPr>
        <w:t>第一部分</w:t>
      </w:r>
      <w:r>
        <w:rPr>
          <w:rFonts w:ascii="宋体" w:hAnsi="宋体"/>
          <w:b w:val="0"/>
          <w:bCs w:val="0"/>
          <w:caps w:val="0"/>
          <w:smallCaps w:val="0"/>
          <w:color w:val="000000"/>
          <w:sz w:val="24"/>
          <w:szCs w:val="24"/>
        </w:rPr>
        <w:tab/>
      </w:r>
      <w:r>
        <w:rPr>
          <w:rFonts w:hint="eastAsia" w:ascii="宋体" w:hAnsi="宋体"/>
          <w:color w:val="000000"/>
          <w:kern w:val="0"/>
          <w:sz w:val="24"/>
          <w:szCs w:val="24"/>
        </w:rPr>
        <w:t>磋商邀请</w:t>
      </w:r>
      <w:bookmarkStart w:id="4" w:name="_Hlt217988007"/>
      <w:bookmarkStart w:id="5" w:name="_Hlt217988008"/>
      <w:r>
        <w:rPr>
          <w:rFonts w:ascii="宋体" w:hAnsi="宋体"/>
          <w:color w:val="000000"/>
          <w:sz w:val="24"/>
          <w:szCs w:val="24"/>
        </w:rPr>
        <w:tab/>
      </w:r>
      <w:bookmarkEnd w:id="4"/>
      <w:bookmarkEnd w:id="5"/>
      <w:r>
        <w:rPr>
          <w:rFonts w:ascii="宋体" w:hAnsi="宋体"/>
          <w:color w:val="000000"/>
          <w:sz w:val="24"/>
          <w:szCs w:val="24"/>
        </w:rPr>
        <w:fldChar w:fldCharType="begin"/>
      </w:r>
      <w:r>
        <w:rPr>
          <w:rFonts w:ascii="宋体" w:hAnsi="宋体"/>
          <w:color w:val="000000"/>
          <w:sz w:val="24"/>
          <w:szCs w:val="24"/>
        </w:rPr>
        <w:instrText xml:space="preserve"> PAGEREF _Toc56180222 \h </w:instrText>
      </w:r>
      <w:r>
        <w:rPr>
          <w:rFonts w:ascii="宋体" w:hAnsi="宋体"/>
          <w:color w:val="000000"/>
          <w:sz w:val="24"/>
          <w:szCs w:val="24"/>
        </w:rPr>
        <w:fldChar w:fldCharType="separate"/>
      </w:r>
      <w:r>
        <w:rPr>
          <w:rFonts w:ascii="宋体" w:hAnsi="宋体"/>
          <w:color w:val="000000"/>
          <w:sz w:val="24"/>
          <w:szCs w:val="24"/>
        </w:rPr>
        <w:t>3</w:t>
      </w:r>
      <w:r>
        <w:rPr>
          <w:rFonts w:ascii="宋体" w:hAnsi="宋体"/>
          <w:color w:val="000000"/>
          <w:sz w:val="24"/>
          <w:szCs w:val="24"/>
        </w:rPr>
        <w:fldChar w:fldCharType="end"/>
      </w:r>
      <w:r>
        <w:rPr>
          <w:rFonts w:ascii="宋体" w:hAnsi="宋体"/>
          <w:color w:val="000000"/>
          <w:sz w:val="24"/>
          <w:szCs w:val="24"/>
        </w:rPr>
        <w:fldChar w:fldCharType="end"/>
      </w:r>
    </w:p>
    <w:p>
      <w:pPr>
        <w:pStyle w:val="21"/>
        <w:tabs>
          <w:tab w:val="left" w:pos="1050"/>
          <w:tab w:val="right" w:leader="dot" w:pos="9174"/>
        </w:tabs>
        <w:rPr>
          <w:rFonts w:ascii="宋体" w:hAnsi="宋体"/>
          <w:b w:val="0"/>
          <w:bCs w:val="0"/>
          <w:caps w:val="0"/>
          <w:smallCaps w:val="0"/>
          <w:color w:val="000000"/>
          <w:sz w:val="24"/>
          <w:szCs w:val="24"/>
        </w:rPr>
      </w:pPr>
      <w:r>
        <w:fldChar w:fldCharType="begin"/>
      </w:r>
      <w:r>
        <w:instrText xml:space="preserve"> HYPERLINK \l "_Toc56180231" </w:instrText>
      </w:r>
      <w:r>
        <w:fldChar w:fldCharType="separate"/>
      </w:r>
      <w:r>
        <w:rPr>
          <w:rFonts w:hint="eastAsia" w:ascii="宋体" w:hAnsi="宋体"/>
          <w:color w:val="000000"/>
          <w:kern w:val="0"/>
          <w:sz w:val="24"/>
          <w:szCs w:val="24"/>
        </w:rPr>
        <w:t>第二部分</w:t>
      </w:r>
      <w:r>
        <w:rPr>
          <w:rFonts w:ascii="宋体" w:hAnsi="宋体"/>
          <w:b w:val="0"/>
          <w:bCs w:val="0"/>
          <w:caps w:val="0"/>
          <w:smallCaps w:val="0"/>
          <w:color w:val="000000"/>
          <w:sz w:val="24"/>
          <w:szCs w:val="24"/>
        </w:rPr>
        <w:tab/>
      </w:r>
      <w:r>
        <w:rPr>
          <w:rFonts w:hint="eastAsia" w:ascii="宋体" w:hAnsi="宋体"/>
          <w:color w:val="000000"/>
          <w:kern w:val="0"/>
          <w:sz w:val="24"/>
          <w:szCs w:val="24"/>
        </w:rPr>
        <w:t>采购需求</w:t>
      </w:r>
      <w:r>
        <w:rPr>
          <w:rFonts w:ascii="宋体" w:hAnsi="宋体"/>
          <w:color w:val="000000"/>
          <w:sz w:val="24"/>
          <w:szCs w:val="24"/>
        </w:rPr>
        <w:tab/>
      </w:r>
      <w:r>
        <w:rPr>
          <w:rFonts w:ascii="宋体" w:hAnsi="宋体"/>
          <w:color w:val="000000"/>
          <w:sz w:val="24"/>
          <w:szCs w:val="24"/>
        </w:rPr>
        <w:fldChar w:fldCharType="begin"/>
      </w:r>
      <w:r>
        <w:rPr>
          <w:rFonts w:ascii="宋体" w:hAnsi="宋体"/>
          <w:color w:val="000000"/>
          <w:sz w:val="24"/>
          <w:szCs w:val="24"/>
        </w:rPr>
        <w:instrText xml:space="preserve"> PAGEREF _Toc56180231 \h </w:instrText>
      </w:r>
      <w:r>
        <w:rPr>
          <w:rFonts w:ascii="宋体" w:hAnsi="宋体"/>
          <w:color w:val="000000"/>
          <w:sz w:val="24"/>
          <w:szCs w:val="24"/>
        </w:rPr>
        <w:fldChar w:fldCharType="separate"/>
      </w:r>
      <w:r>
        <w:rPr>
          <w:rFonts w:ascii="宋体" w:hAnsi="宋体"/>
          <w:color w:val="000000"/>
          <w:sz w:val="24"/>
          <w:szCs w:val="24"/>
        </w:rPr>
        <w:t>8</w:t>
      </w:r>
      <w:r>
        <w:rPr>
          <w:rFonts w:ascii="宋体" w:hAnsi="宋体"/>
          <w:color w:val="000000"/>
          <w:sz w:val="24"/>
          <w:szCs w:val="24"/>
        </w:rPr>
        <w:fldChar w:fldCharType="end"/>
      </w:r>
      <w:r>
        <w:rPr>
          <w:rFonts w:ascii="宋体" w:hAnsi="宋体"/>
          <w:color w:val="000000"/>
          <w:sz w:val="24"/>
          <w:szCs w:val="24"/>
        </w:rPr>
        <w:fldChar w:fldCharType="end"/>
      </w:r>
    </w:p>
    <w:p>
      <w:pPr>
        <w:pStyle w:val="21"/>
        <w:tabs>
          <w:tab w:val="left" w:pos="1050"/>
          <w:tab w:val="right" w:leader="dot" w:pos="9174"/>
        </w:tabs>
        <w:rPr>
          <w:rFonts w:ascii="宋体" w:hAnsi="宋体"/>
          <w:b w:val="0"/>
          <w:bCs w:val="0"/>
          <w:caps w:val="0"/>
          <w:smallCaps w:val="0"/>
          <w:color w:val="000000"/>
          <w:sz w:val="24"/>
          <w:szCs w:val="24"/>
        </w:rPr>
      </w:pPr>
      <w:r>
        <w:fldChar w:fldCharType="begin"/>
      </w:r>
      <w:r>
        <w:instrText xml:space="preserve"> HYPERLINK \l "_Toc56180259" </w:instrText>
      </w:r>
      <w:r>
        <w:fldChar w:fldCharType="separate"/>
      </w:r>
      <w:r>
        <w:rPr>
          <w:rFonts w:hint="eastAsia" w:ascii="宋体" w:hAnsi="宋体"/>
          <w:color w:val="000000"/>
          <w:kern w:val="0"/>
          <w:sz w:val="24"/>
          <w:szCs w:val="24"/>
        </w:rPr>
        <w:t>第三部分</w:t>
      </w:r>
      <w:r>
        <w:rPr>
          <w:rFonts w:ascii="宋体" w:hAnsi="宋体"/>
          <w:b w:val="0"/>
          <w:bCs w:val="0"/>
          <w:caps w:val="0"/>
          <w:smallCaps w:val="0"/>
          <w:color w:val="000000"/>
          <w:sz w:val="24"/>
          <w:szCs w:val="24"/>
        </w:rPr>
        <w:tab/>
      </w:r>
      <w:r>
        <w:rPr>
          <w:rFonts w:hint="eastAsia" w:ascii="宋体" w:hAnsi="宋体"/>
          <w:color w:val="000000"/>
          <w:kern w:val="0"/>
          <w:sz w:val="24"/>
          <w:szCs w:val="24"/>
        </w:rPr>
        <w:t>供应商须知</w:t>
      </w:r>
      <w:r>
        <w:rPr>
          <w:rFonts w:ascii="宋体" w:hAnsi="宋体"/>
          <w:color w:val="000000"/>
          <w:sz w:val="24"/>
          <w:szCs w:val="24"/>
        </w:rPr>
        <w:tab/>
      </w:r>
      <w:r>
        <w:rPr>
          <w:rFonts w:ascii="宋体" w:hAnsi="宋体"/>
          <w:color w:val="000000"/>
          <w:sz w:val="24"/>
          <w:szCs w:val="24"/>
        </w:rPr>
        <w:fldChar w:fldCharType="begin"/>
      </w:r>
      <w:r>
        <w:rPr>
          <w:rFonts w:ascii="宋体" w:hAnsi="宋体"/>
          <w:color w:val="000000"/>
          <w:sz w:val="24"/>
          <w:szCs w:val="24"/>
        </w:rPr>
        <w:instrText xml:space="preserve"> PAGEREF _Toc56180259 \h </w:instrText>
      </w:r>
      <w:r>
        <w:rPr>
          <w:rFonts w:ascii="宋体" w:hAnsi="宋体"/>
          <w:color w:val="000000"/>
          <w:sz w:val="24"/>
          <w:szCs w:val="24"/>
        </w:rPr>
        <w:fldChar w:fldCharType="separate"/>
      </w:r>
      <w:r>
        <w:rPr>
          <w:rFonts w:ascii="宋体" w:hAnsi="宋体"/>
          <w:color w:val="000000"/>
          <w:sz w:val="24"/>
          <w:szCs w:val="24"/>
        </w:rPr>
        <w:t>23</w:t>
      </w:r>
      <w:r>
        <w:rPr>
          <w:rFonts w:ascii="宋体" w:hAnsi="宋体"/>
          <w:color w:val="000000"/>
          <w:sz w:val="24"/>
          <w:szCs w:val="24"/>
        </w:rPr>
        <w:fldChar w:fldCharType="end"/>
      </w:r>
      <w:r>
        <w:rPr>
          <w:rFonts w:ascii="宋体" w:hAnsi="宋体"/>
          <w:color w:val="000000"/>
          <w:sz w:val="24"/>
          <w:szCs w:val="24"/>
        </w:rPr>
        <w:fldChar w:fldCharType="end"/>
      </w:r>
    </w:p>
    <w:p>
      <w:pPr>
        <w:pStyle w:val="21"/>
        <w:tabs>
          <w:tab w:val="left" w:pos="1050"/>
          <w:tab w:val="right" w:leader="dot" w:pos="9174"/>
        </w:tabs>
        <w:rPr>
          <w:rFonts w:ascii="宋体" w:hAnsi="宋体"/>
          <w:b w:val="0"/>
          <w:bCs w:val="0"/>
          <w:caps w:val="0"/>
          <w:smallCaps w:val="0"/>
          <w:color w:val="000000"/>
          <w:sz w:val="24"/>
          <w:szCs w:val="24"/>
        </w:rPr>
      </w:pPr>
      <w:r>
        <w:fldChar w:fldCharType="begin"/>
      </w:r>
      <w:r>
        <w:instrText xml:space="preserve"> HYPERLINK \l "_Toc56180304" </w:instrText>
      </w:r>
      <w:r>
        <w:fldChar w:fldCharType="separate"/>
      </w:r>
      <w:r>
        <w:rPr>
          <w:rFonts w:hint="eastAsia" w:ascii="宋体" w:hAnsi="宋体"/>
          <w:color w:val="000000"/>
          <w:kern w:val="0"/>
          <w:sz w:val="24"/>
          <w:szCs w:val="24"/>
        </w:rPr>
        <w:t>第四部分</w:t>
      </w:r>
      <w:r>
        <w:rPr>
          <w:rFonts w:ascii="宋体" w:hAnsi="宋体"/>
          <w:b w:val="0"/>
          <w:bCs w:val="0"/>
          <w:caps w:val="0"/>
          <w:smallCaps w:val="0"/>
          <w:color w:val="000000"/>
          <w:sz w:val="24"/>
          <w:szCs w:val="24"/>
        </w:rPr>
        <w:tab/>
      </w:r>
      <w:r>
        <w:rPr>
          <w:rFonts w:hint="eastAsia" w:ascii="宋体" w:hAnsi="宋体"/>
          <w:color w:val="000000"/>
          <w:kern w:val="0"/>
          <w:sz w:val="24"/>
          <w:szCs w:val="24"/>
        </w:rPr>
        <w:t>评审办法</w:t>
      </w:r>
      <w:r>
        <w:rPr>
          <w:rFonts w:ascii="宋体" w:hAnsi="宋体"/>
          <w:color w:val="000000"/>
          <w:sz w:val="24"/>
          <w:szCs w:val="24"/>
        </w:rPr>
        <w:tab/>
      </w:r>
      <w:r>
        <w:rPr>
          <w:rFonts w:ascii="宋体" w:hAnsi="宋体"/>
          <w:color w:val="000000"/>
          <w:sz w:val="24"/>
          <w:szCs w:val="24"/>
        </w:rPr>
        <w:fldChar w:fldCharType="begin"/>
      </w:r>
      <w:r>
        <w:rPr>
          <w:rFonts w:ascii="宋体" w:hAnsi="宋体"/>
          <w:color w:val="000000"/>
          <w:sz w:val="24"/>
          <w:szCs w:val="24"/>
        </w:rPr>
        <w:instrText xml:space="preserve"> PAGEREF _Toc56180304 \h </w:instrText>
      </w:r>
      <w:r>
        <w:rPr>
          <w:rFonts w:ascii="宋体" w:hAnsi="宋体"/>
          <w:color w:val="000000"/>
          <w:sz w:val="24"/>
          <w:szCs w:val="24"/>
        </w:rPr>
        <w:fldChar w:fldCharType="separate"/>
      </w:r>
      <w:r>
        <w:rPr>
          <w:rFonts w:ascii="宋体" w:hAnsi="宋体"/>
          <w:color w:val="000000"/>
          <w:sz w:val="24"/>
          <w:szCs w:val="24"/>
        </w:rPr>
        <w:t>48</w:t>
      </w:r>
      <w:r>
        <w:rPr>
          <w:rFonts w:ascii="宋体" w:hAnsi="宋体"/>
          <w:color w:val="000000"/>
          <w:sz w:val="24"/>
          <w:szCs w:val="24"/>
        </w:rPr>
        <w:fldChar w:fldCharType="end"/>
      </w:r>
      <w:r>
        <w:rPr>
          <w:rFonts w:ascii="宋体" w:hAnsi="宋体"/>
          <w:color w:val="000000"/>
          <w:sz w:val="24"/>
          <w:szCs w:val="24"/>
        </w:rPr>
        <w:fldChar w:fldCharType="end"/>
      </w:r>
    </w:p>
    <w:p>
      <w:pPr>
        <w:pStyle w:val="21"/>
        <w:tabs>
          <w:tab w:val="left" w:pos="1050"/>
          <w:tab w:val="right" w:leader="dot" w:pos="9174"/>
        </w:tabs>
        <w:rPr>
          <w:rFonts w:ascii="宋体" w:hAnsi="宋体"/>
          <w:b w:val="0"/>
          <w:bCs w:val="0"/>
          <w:caps w:val="0"/>
          <w:smallCaps w:val="0"/>
          <w:color w:val="000000"/>
          <w:sz w:val="24"/>
          <w:szCs w:val="24"/>
        </w:rPr>
      </w:pPr>
      <w:r>
        <w:fldChar w:fldCharType="begin"/>
      </w:r>
      <w:r>
        <w:instrText xml:space="preserve"> HYPERLINK \l "_Toc56180332" </w:instrText>
      </w:r>
      <w:r>
        <w:fldChar w:fldCharType="separate"/>
      </w:r>
      <w:r>
        <w:rPr>
          <w:rFonts w:hint="eastAsia" w:ascii="宋体" w:hAnsi="宋体"/>
          <w:color w:val="000000"/>
          <w:kern w:val="0"/>
          <w:sz w:val="24"/>
          <w:szCs w:val="24"/>
        </w:rPr>
        <w:t>第五部分</w:t>
      </w:r>
      <w:r>
        <w:rPr>
          <w:rFonts w:ascii="宋体" w:hAnsi="宋体"/>
          <w:b w:val="0"/>
          <w:bCs w:val="0"/>
          <w:caps w:val="0"/>
          <w:smallCaps w:val="0"/>
          <w:color w:val="000000"/>
          <w:sz w:val="24"/>
          <w:szCs w:val="24"/>
        </w:rPr>
        <w:tab/>
      </w:r>
      <w:r>
        <w:rPr>
          <w:rFonts w:hint="eastAsia" w:ascii="宋体" w:hAnsi="宋体"/>
          <w:color w:val="000000"/>
          <w:kern w:val="0"/>
          <w:sz w:val="24"/>
          <w:szCs w:val="24"/>
        </w:rPr>
        <w:t>拟签订的合同文本</w:t>
      </w:r>
      <w:r>
        <w:rPr>
          <w:rFonts w:ascii="宋体" w:hAnsi="宋体"/>
          <w:color w:val="000000"/>
          <w:sz w:val="24"/>
          <w:szCs w:val="24"/>
        </w:rPr>
        <w:tab/>
      </w:r>
      <w:r>
        <w:rPr>
          <w:rFonts w:ascii="宋体" w:hAnsi="宋体"/>
          <w:color w:val="000000"/>
          <w:sz w:val="24"/>
          <w:szCs w:val="24"/>
        </w:rPr>
        <w:fldChar w:fldCharType="begin"/>
      </w:r>
      <w:r>
        <w:rPr>
          <w:rFonts w:ascii="宋体" w:hAnsi="宋体"/>
          <w:color w:val="000000"/>
          <w:sz w:val="24"/>
          <w:szCs w:val="24"/>
        </w:rPr>
        <w:instrText xml:space="preserve"> PAGEREF _Toc56180332 \h </w:instrText>
      </w:r>
      <w:r>
        <w:rPr>
          <w:rFonts w:ascii="宋体" w:hAnsi="宋体"/>
          <w:color w:val="000000"/>
          <w:sz w:val="24"/>
          <w:szCs w:val="24"/>
        </w:rPr>
        <w:fldChar w:fldCharType="separate"/>
      </w:r>
      <w:r>
        <w:rPr>
          <w:rFonts w:ascii="宋体" w:hAnsi="宋体"/>
          <w:color w:val="000000"/>
          <w:sz w:val="24"/>
          <w:szCs w:val="24"/>
        </w:rPr>
        <w:t>74</w:t>
      </w:r>
      <w:r>
        <w:rPr>
          <w:rFonts w:ascii="宋体" w:hAnsi="宋体"/>
          <w:color w:val="000000"/>
          <w:sz w:val="24"/>
          <w:szCs w:val="24"/>
        </w:rPr>
        <w:fldChar w:fldCharType="end"/>
      </w:r>
      <w:r>
        <w:rPr>
          <w:rFonts w:ascii="宋体" w:hAnsi="宋体"/>
          <w:color w:val="000000"/>
          <w:sz w:val="24"/>
          <w:szCs w:val="24"/>
        </w:rPr>
        <w:fldChar w:fldCharType="end"/>
      </w:r>
    </w:p>
    <w:p>
      <w:pPr>
        <w:pStyle w:val="21"/>
        <w:tabs>
          <w:tab w:val="left" w:pos="1050"/>
          <w:tab w:val="right" w:leader="dot" w:pos="9174"/>
        </w:tabs>
        <w:rPr>
          <w:rFonts w:ascii="宋体" w:hAnsi="宋体"/>
          <w:b w:val="0"/>
          <w:bCs w:val="0"/>
          <w:caps w:val="0"/>
          <w:smallCaps w:val="0"/>
          <w:color w:val="000000"/>
          <w:sz w:val="24"/>
          <w:szCs w:val="24"/>
        </w:rPr>
      </w:pPr>
      <w:r>
        <w:fldChar w:fldCharType="begin"/>
      </w:r>
      <w:r>
        <w:instrText xml:space="preserve"> HYPERLINK \l "_Toc56180346" </w:instrText>
      </w:r>
      <w:r>
        <w:fldChar w:fldCharType="separate"/>
      </w:r>
      <w:r>
        <w:rPr>
          <w:rFonts w:hint="eastAsia" w:ascii="宋体" w:hAnsi="宋体"/>
          <w:color w:val="000000"/>
          <w:kern w:val="0"/>
          <w:sz w:val="24"/>
          <w:szCs w:val="24"/>
        </w:rPr>
        <w:t>第六部分</w:t>
      </w:r>
      <w:r>
        <w:rPr>
          <w:rFonts w:ascii="宋体" w:hAnsi="宋体"/>
          <w:b w:val="0"/>
          <w:bCs w:val="0"/>
          <w:caps w:val="0"/>
          <w:smallCaps w:val="0"/>
          <w:color w:val="000000"/>
          <w:sz w:val="24"/>
          <w:szCs w:val="24"/>
        </w:rPr>
        <w:tab/>
      </w:r>
      <w:r>
        <w:rPr>
          <w:rFonts w:hint="eastAsia" w:ascii="宋体" w:hAnsi="宋体"/>
          <w:color w:val="000000"/>
          <w:kern w:val="0"/>
          <w:sz w:val="24"/>
          <w:szCs w:val="24"/>
        </w:rPr>
        <w:t>响应文件格式</w:t>
      </w:r>
      <w:bookmarkStart w:id="6" w:name="_Hlt217917316"/>
      <w:bookmarkStart w:id="7" w:name="_Hlt217917315"/>
      <w:r>
        <w:rPr>
          <w:rFonts w:ascii="宋体" w:hAnsi="宋体"/>
          <w:color w:val="000000"/>
          <w:sz w:val="24"/>
          <w:szCs w:val="24"/>
        </w:rPr>
        <w:tab/>
      </w:r>
      <w:bookmarkEnd w:id="6"/>
      <w:bookmarkEnd w:id="7"/>
      <w:r>
        <w:rPr>
          <w:rFonts w:ascii="宋体" w:hAnsi="宋体"/>
          <w:color w:val="000000"/>
          <w:sz w:val="24"/>
          <w:szCs w:val="24"/>
        </w:rPr>
        <w:fldChar w:fldCharType="begin"/>
      </w:r>
      <w:r>
        <w:rPr>
          <w:rFonts w:ascii="宋体" w:hAnsi="宋体"/>
          <w:color w:val="000000"/>
          <w:sz w:val="24"/>
          <w:szCs w:val="24"/>
        </w:rPr>
        <w:instrText xml:space="preserve"> PAGEREF _Toc56180346 \h </w:instrText>
      </w:r>
      <w:r>
        <w:rPr>
          <w:rFonts w:ascii="宋体" w:hAnsi="宋体"/>
          <w:color w:val="000000"/>
          <w:sz w:val="24"/>
          <w:szCs w:val="24"/>
        </w:rPr>
        <w:fldChar w:fldCharType="separate"/>
      </w:r>
      <w:r>
        <w:rPr>
          <w:rFonts w:ascii="宋体" w:hAnsi="宋体"/>
          <w:color w:val="000000"/>
          <w:sz w:val="24"/>
          <w:szCs w:val="24"/>
        </w:rPr>
        <w:t>87</w:t>
      </w:r>
      <w:r>
        <w:rPr>
          <w:rFonts w:ascii="宋体" w:hAnsi="宋体"/>
          <w:color w:val="000000"/>
          <w:sz w:val="24"/>
          <w:szCs w:val="24"/>
        </w:rPr>
        <w:fldChar w:fldCharType="end"/>
      </w:r>
      <w:r>
        <w:rPr>
          <w:rFonts w:ascii="宋体" w:hAnsi="宋体"/>
          <w:color w:val="000000"/>
          <w:sz w:val="24"/>
          <w:szCs w:val="24"/>
        </w:rPr>
        <w:fldChar w:fldCharType="end"/>
      </w:r>
    </w:p>
    <w:p>
      <w:pPr>
        <w:pStyle w:val="13"/>
        <w:tabs>
          <w:tab w:val="left" w:pos="1050"/>
          <w:tab w:val="right" w:leader="dot" w:pos="9174"/>
        </w:tabs>
        <w:rPr>
          <w:rFonts w:ascii="宋体" w:hAnsi="宋体"/>
          <w:color w:val="000000"/>
          <w:sz w:val="24"/>
          <w:szCs w:val="24"/>
        </w:rPr>
      </w:pPr>
      <w:r>
        <w:rPr>
          <w:rFonts w:ascii="宋体" w:hAnsi="宋体"/>
          <w:i w:val="0"/>
          <w:color w:val="000000"/>
          <w:sz w:val="24"/>
          <w:szCs w:val="24"/>
        </w:rPr>
        <w:fldChar w:fldCharType="end"/>
      </w:r>
    </w:p>
    <w:p>
      <w:pPr>
        <w:rPr>
          <w:rFonts w:ascii="宋体" w:hAnsi="宋体"/>
          <w:color w:val="000000"/>
          <w:szCs w:val="24"/>
        </w:rPr>
        <w:sectPr>
          <w:type w:val="continuous"/>
          <w:pgSz w:w="11906" w:h="16838"/>
          <w:pgMar w:top="1134" w:right="1134" w:bottom="1134" w:left="1134" w:header="567" w:footer="737" w:gutter="454"/>
          <w:pgNumType w:fmt="numberInDash" w:start="0"/>
          <w:cols w:space="720" w:num="1"/>
          <w:titlePg/>
          <w:docGrid w:type="lines" w:linePitch="312" w:charSpace="0"/>
        </w:sectPr>
      </w:pPr>
    </w:p>
    <w:p>
      <w:pPr>
        <w:rPr>
          <w:rFonts w:ascii="宋体" w:hAnsi="宋体"/>
          <w:color w:val="000000"/>
          <w:szCs w:val="24"/>
        </w:rPr>
      </w:pPr>
    </w:p>
    <w:p>
      <w:pPr>
        <w:rPr>
          <w:rFonts w:ascii="宋体" w:hAnsi="宋体"/>
          <w:color w:val="000000"/>
          <w:szCs w:val="24"/>
        </w:rPr>
      </w:pPr>
    </w:p>
    <w:p>
      <w:pPr>
        <w:rPr>
          <w:rFonts w:ascii="宋体" w:hAnsi="宋体"/>
          <w:color w:val="000000"/>
          <w:szCs w:val="24"/>
        </w:rPr>
      </w:pPr>
    </w:p>
    <w:p>
      <w:pPr>
        <w:rPr>
          <w:rFonts w:ascii="宋体" w:hAnsi="宋体"/>
          <w:color w:val="000000"/>
          <w:szCs w:val="24"/>
        </w:rPr>
      </w:pPr>
    </w:p>
    <w:p>
      <w:pPr>
        <w:rPr>
          <w:rFonts w:ascii="宋体" w:hAnsi="宋体"/>
          <w:color w:val="000000"/>
          <w:szCs w:val="24"/>
        </w:rPr>
      </w:pPr>
    </w:p>
    <w:p>
      <w:pPr>
        <w:rPr>
          <w:rFonts w:ascii="宋体" w:hAnsi="宋体"/>
          <w:color w:val="000000"/>
          <w:szCs w:val="24"/>
        </w:rPr>
      </w:pPr>
    </w:p>
    <w:p>
      <w:pPr>
        <w:rPr>
          <w:rFonts w:ascii="宋体" w:hAnsi="宋体"/>
          <w:color w:val="000000"/>
          <w:szCs w:val="24"/>
        </w:rPr>
      </w:pPr>
    </w:p>
    <w:p>
      <w:pPr>
        <w:rPr>
          <w:rFonts w:ascii="宋体" w:hAnsi="宋体"/>
          <w:color w:val="000000"/>
          <w:szCs w:val="24"/>
        </w:rPr>
      </w:pPr>
    </w:p>
    <w:p>
      <w:pPr>
        <w:rPr>
          <w:rFonts w:ascii="宋体" w:hAnsi="宋体"/>
          <w:color w:val="000000"/>
          <w:szCs w:val="24"/>
        </w:rPr>
      </w:pPr>
    </w:p>
    <w:p>
      <w:pPr>
        <w:rPr>
          <w:rFonts w:ascii="宋体" w:hAnsi="宋体"/>
          <w:color w:val="000000"/>
          <w:szCs w:val="24"/>
        </w:rPr>
      </w:pPr>
    </w:p>
    <w:p>
      <w:pPr>
        <w:pStyle w:val="3"/>
        <w:numPr>
          <w:ilvl w:val="0"/>
          <w:numId w:val="3"/>
        </w:numPr>
        <w:spacing w:before="0" w:after="0" w:line="360" w:lineRule="auto"/>
        <w:ind w:left="0" w:firstLine="0"/>
        <w:jc w:val="center"/>
        <w:rPr>
          <w:rFonts w:ascii="宋体" w:hAnsi="宋体"/>
          <w:color w:val="000000"/>
          <w:kern w:val="0"/>
          <w:sz w:val="36"/>
          <w:szCs w:val="36"/>
        </w:rPr>
      </w:pPr>
      <w:bookmarkStart w:id="8" w:name="_Toc22806081"/>
      <w:r>
        <w:rPr>
          <w:rFonts w:hint="eastAsia" w:ascii="宋体" w:hAnsi="宋体"/>
          <w:color w:val="000000"/>
          <w:kern w:val="0"/>
          <w:sz w:val="36"/>
          <w:szCs w:val="36"/>
        </w:rPr>
        <w:t xml:space="preserve">  </w:t>
      </w:r>
      <w:bookmarkStart w:id="9" w:name="_Toc56180222"/>
      <w:r>
        <w:rPr>
          <w:rFonts w:hint="eastAsia" w:ascii="宋体" w:hAnsi="宋体"/>
          <w:color w:val="000000"/>
          <w:kern w:val="0"/>
          <w:sz w:val="36"/>
          <w:szCs w:val="36"/>
        </w:rPr>
        <w:t>磋商邀请</w:t>
      </w:r>
      <w:bookmarkEnd w:id="8"/>
      <w:bookmarkEnd w:id="9"/>
    </w:p>
    <w:p>
      <w:pPr>
        <w:jc w:val="center"/>
        <w:rPr>
          <w:rFonts w:ascii="宋体" w:hAnsi="宋体"/>
          <w:b/>
          <w:color w:val="000000"/>
          <w:sz w:val="32"/>
          <w:szCs w:val="32"/>
        </w:rPr>
      </w:pPr>
      <w:r>
        <w:rPr>
          <w:rFonts w:ascii="宋体" w:hAnsi="宋体"/>
          <w:color w:val="000000"/>
          <w:szCs w:val="24"/>
        </w:rPr>
        <w:br w:type="page"/>
      </w:r>
      <w:r>
        <w:rPr>
          <w:rFonts w:hint="eastAsia" w:ascii="宋体" w:hAnsi="宋体"/>
          <w:b/>
          <w:color w:val="000000"/>
          <w:sz w:val="32"/>
          <w:szCs w:val="32"/>
        </w:rPr>
        <w:t>磋商邀请</w:t>
      </w:r>
    </w:p>
    <w:p>
      <w:pPr>
        <w:ind w:firstLine="480" w:firstLineChars="200"/>
        <w:rPr>
          <w:rFonts w:ascii="宋体" w:hAnsi="宋体"/>
          <w:szCs w:val="24"/>
        </w:rPr>
      </w:pPr>
      <w:r>
        <w:rPr>
          <w:rFonts w:hint="eastAsia" w:ascii="宋体" w:hAnsi="宋体"/>
          <w:szCs w:val="24"/>
          <w:u w:val="single"/>
        </w:rPr>
        <w:t>2026-2027年广州白云机场海关南1、2号楼物业管理服务</w:t>
      </w:r>
      <w:r>
        <w:rPr>
          <w:rFonts w:hint="eastAsia" w:ascii="宋体" w:hAnsi="宋体"/>
          <w:szCs w:val="24"/>
        </w:rPr>
        <w:t>的潜在供应商应在</w:t>
      </w:r>
      <w:r>
        <w:rPr>
          <w:rFonts w:hint="eastAsia" w:ascii="宋体" w:hAnsi="宋体"/>
          <w:szCs w:val="24"/>
          <w:u w:val="single"/>
        </w:rPr>
        <w:t>广东华伦招标有限公司网站“供应商在线服务” （https://www.gdhualun.com.cn/）</w:t>
      </w:r>
      <w:r>
        <w:rPr>
          <w:rFonts w:hint="eastAsia" w:ascii="宋体" w:hAnsi="宋体"/>
          <w:szCs w:val="24"/>
        </w:rPr>
        <w:t>获取采购文件，欢迎符合资格条件的供应商参加磋商。</w:t>
      </w:r>
    </w:p>
    <w:p>
      <w:pPr>
        <w:ind w:firstLine="6480" w:firstLineChars="2700"/>
        <w:jc w:val="center"/>
        <w:rPr>
          <w:rFonts w:ascii="宋体" w:hAnsi="宋体"/>
          <w:szCs w:val="24"/>
        </w:rPr>
      </w:pPr>
    </w:p>
    <w:p>
      <w:pPr>
        <w:pStyle w:val="4"/>
        <w:spacing w:before="0" w:after="0" w:line="360" w:lineRule="auto"/>
        <w:rPr>
          <w:rFonts w:ascii="宋体" w:hAnsi="宋体" w:cs="宋体"/>
          <w:sz w:val="24"/>
          <w:szCs w:val="24"/>
        </w:rPr>
      </w:pPr>
      <w:bookmarkStart w:id="10" w:name="_Toc35393790"/>
      <w:bookmarkStart w:id="11" w:name="_Toc28359079"/>
      <w:bookmarkStart w:id="12" w:name="_Toc35393621"/>
      <w:bookmarkStart w:id="13" w:name="_Toc56180223"/>
      <w:bookmarkStart w:id="14" w:name="_Toc55398627"/>
      <w:bookmarkStart w:id="15" w:name="_Toc28359002"/>
      <w:bookmarkStart w:id="16" w:name="_Hlk24379207"/>
      <w:r>
        <w:rPr>
          <w:rFonts w:hint="eastAsia" w:ascii="宋体" w:hAnsi="宋体" w:cs="宋体"/>
          <w:sz w:val="24"/>
          <w:szCs w:val="24"/>
        </w:rPr>
        <w:t>一、项目基本情况</w:t>
      </w:r>
      <w:bookmarkEnd w:id="10"/>
      <w:bookmarkEnd w:id="11"/>
      <w:bookmarkEnd w:id="12"/>
      <w:bookmarkEnd w:id="13"/>
      <w:bookmarkEnd w:id="14"/>
      <w:bookmarkEnd w:id="15"/>
    </w:p>
    <w:p>
      <w:pPr>
        <w:wordWrap/>
        <w:ind w:firstLine="482" w:firstLineChars="200"/>
        <w:rPr>
          <w:rFonts w:ascii="宋体" w:hAnsi="宋体"/>
          <w:szCs w:val="24"/>
        </w:rPr>
      </w:pPr>
      <w:r>
        <w:rPr>
          <w:rFonts w:hint="eastAsia" w:ascii="宋体" w:hAnsi="宋体"/>
          <w:b/>
          <w:szCs w:val="24"/>
        </w:rPr>
        <w:t>项目编号</w:t>
      </w:r>
      <w:r>
        <w:rPr>
          <w:rFonts w:hint="eastAsia" w:ascii="宋体" w:hAnsi="宋体"/>
          <w:szCs w:val="24"/>
        </w:rPr>
        <w:t>：</w:t>
      </w:r>
      <w:r>
        <w:rPr>
          <w:rFonts w:hint="eastAsia" w:ascii="宋体" w:hAnsi="宋体"/>
          <w:szCs w:val="24"/>
          <w:u w:val="single"/>
        </w:rPr>
        <w:t>0809-25401GJC302013801</w:t>
      </w:r>
    </w:p>
    <w:p>
      <w:pPr>
        <w:wordWrap/>
        <w:ind w:firstLine="482" w:firstLineChars="200"/>
        <w:rPr>
          <w:rFonts w:ascii="宋体" w:hAnsi="宋体"/>
          <w:szCs w:val="24"/>
          <w:u w:val="single"/>
        </w:rPr>
      </w:pPr>
      <w:r>
        <w:rPr>
          <w:rFonts w:hint="eastAsia" w:ascii="宋体" w:hAnsi="宋体"/>
          <w:b/>
          <w:szCs w:val="24"/>
        </w:rPr>
        <w:t>项目名称：</w:t>
      </w:r>
      <w:r>
        <w:rPr>
          <w:rFonts w:hint="eastAsia" w:ascii="宋体" w:hAnsi="宋体"/>
          <w:szCs w:val="24"/>
          <w:u w:val="single"/>
        </w:rPr>
        <w:t>2026-2027年广州白云机场海关南1、2号楼物业管理服务</w:t>
      </w:r>
    </w:p>
    <w:bookmarkEnd w:id="16"/>
    <w:p>
      <w:pPr>
        <w:wordWrap/>
        <w:ind w:firstLine="482" w:firstLineChars="200"/>
        <w:rPr>
          <w:rFonts w:ascii="宋体" w:hAnsi="宋体"/>
          <w:szCs w:val="24"/>
        </w:rPr>
      </w:pPr>
      <w:r>
        <w:rPr>
          <w:rFonts w:hint="eastAsia" w:ascii="宋体" w:hAnsi="宋体"/>
          <w:b/>
          <w:szCs w:val="24"/>
        </w:rPr>
        <w:t>采购方式：</w:t>
      </w:r>
      <w:r>
        <w:rPr>
          <w:rFonts w:hint="eastAsia" w:ascii="宋体" w:hAnsi="宋体"/>
          <w:szCs w:val="24"/>
        </w:rPr>
        <w:t>竞争性磋商</w:t>
      </w:r>
    </w:p>
    <w:p>
      <w:pPr>
        <w:wordWrap/>
        <w:ind w:firstLine="482" w:firstLineChars="200"/>
        <w:rPr>
          <w:rFonts w:ascii="宋体" w:hAnsi="宋体"/>
          <w:szCs w:val="24"/>
        </w:rPr>
      </w:pPr>
      <w:r>
        <w:rPr>
          <w:rFonts w:hint="eastAsia" w:ascii="宋体" w:hAnsi="宋体"/>
          <w:b/>
          <w:szCs w:val="24"/>
        </w:rPr>
        <w:t>预算金额：</w:t>
      </w:r>
      <w:r>
        <w:rPr>
          <w:rFonts w:hint="eastAsia" w:ascii="宋体" w:hAnsi="宋体"/>
          <w:szCs w:val="24"/>
          <w:u w:val="single"/>
        </w:rPr>
        <w:t xml:space="preserve"> 人民币</w:t>
      </w:r>
      <w:bookmarkStart w:id="17" w:name="OLE_LINK4"/>
      <w:bookmarkStart w:id="18" w:name="OLE_LINK5"/>
      <w:r>
        <w:rPr>
          <w:rFonts w:hint="eastAsia" w:ascii="宋体" w:hAnsi="宋体"/>
          <w:szCs w:val="24"/>
          <w:u w:val="single"/>
        </w:rPr>
        <w:t xml:space="preserve">952,000.00 </w:t>
      </w:r>
      <w:bookmarkEnd w:id="17"/>
      <w:bookmarkEnd w:id="18"/>
      <w:r>
        <w:rPr>
          <w:rFonts w:ascii="宋体" w:hAnsi="宋体"/>
          <w:szCs w:val="24"/>
          <w:u w:val="single"/>
        </w:rPr>
        <w:t>元</w:t>
      </w:r>
    </w:p>
    <w:p>
      <w:pPr>
        <w:wordWrap/>
        <w:ind w:firstLine="482" w:firstLineChars="200"/>
        <w:rPr>
          <w:rFonts w:ascii="宋体" w:hAnsi="宋体"/>
          <w:szCs w:val="24"/>
          <w:u w:val="single"/>
        </w:rPr>
      </w:pPr>
      <w:r>
        <w:rPr>
          <w:rFonts w:hint="eastAsia" w:ascii="宋体" w:hAnsi="宋体"/>
          <w:b/>
          <w:szCs w:val="24"/>
        </w:rPr>
        <w:t>采购需求：</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4"/>
        <w:gridCol w:w="1201"/>
        <w:gridCol w:w="2086"/>
        <w:gridCol w:w="1441"/>
        <w:gridCol w:w="1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4" w:type="dxa"/>
          </w:tcPr>
          <w:p>
            <w:pPr>
              <w:widowControl/>
              <w:jc w:val="center"/>
              <w:rPr>
                <w:rFonts w:ascii="宋体" w:hAnsi="宋体" w:cs="宋体"/>
                <w:kern w:val="0"/>
                <w:szCs w:val="24"/>
              </w:rPr>
            </w:pPr>
            <w:r>
              <w:rPr>
                <w:rFonts w:hint="eastAsia" w:ascii="宋体" w:hAnsi="宋体" w:cs="宋体"/>
                <w:kern w:val="0"/>
                <w:szCs w:val="24"/>
              </w:rPr>
              <w:t>采购标的</w:t>
            </w:r>
          </w:p>
        </w:tc>
        <w:tc>
          <w:tcPr>
            <w:tcW w:w="1201" w:type="dxa"/>
          </w:tcPr>
          <w:p>
            <w:pPr>
              <w:widowControl/>
              <w:jc w:val="center"/>
              <w:rPr>
                <w:rFonts w:ascii="宋体" w:hAnsi="宋体" w:cs="宋体"/>
                <w:kern w:val="0"/>
                <w:szCs w:val="24"/>
              </w:rPr>
            </w:pPr>
            <w:r>
              <w:rPr>
                <w:rFonts w:hint="eastAsia" w:ascii="宋体" w:hAnsi="宋体" w:cs="宋体"/>
                <w:kern w:val="0"/>
                <w:szCs w:val="24"/>
              </w:rPr>
              <w:t>数量（单位）</w:t>
            </w:r>
          </w:p>
        </w:tc>
        <w:tc>
          <w:tcPr>
            <w:tcW w:w="2086" w:type="dxa"/>
            <w:vAlign w:val="center"/>
          </w:tcPr>
          <w:p>
            <w:pPr>
              <w:widowControl/>
              <w:jc w:val="center"/>
              <w:rPr>
                <w:rFonts w:ascii="宋体" w:hAnsi="宋体" w:cs="宋体"/>
                <w:kern w:val="0"/>
                <w:szCs w:val="24"/>
              </w:rPr>
            </w:pPr>
            <w:r>
              <w:rPr>
                <w:rFonts w:hint="eastAsia" w:ascii="宋体" w:hAnsi="宋体" w:cs="宋体"/>
                <w:kern w:val="0"/>
                <w:szCs w:val="24"/>
              </w:rPr>
              <w:t>技术规格、参数及要求</w:t>
            </w:r>
          </w:p>
        </w:tc>
        <w:tc>
          <w:tcPr>
            <w:tcW w:w="1441" w:type="dxa"/>
            <w:vAlign w:val="center"/>
          </w:tcPr>
          <w:p>
            <w:pPr>
              <w:widowControl/>
              <w:jc w:val="center"/>
              <w:rPr>
                <w:rFonts w:ascii="宋体" w:hAnsi="宋体" w:cs="宋体"/>
                <w:kern w:val="0"/>
                <w:szCs w:val="24"/>
              </w:rPr>
            </w:pPr>
            <w:r>
              <w:rPr>
                <w:rFonts w:hint="eastAsia" w:ascii="宋体" w:hAnsi="宋体" w:cs="宋体"/>
                <w:kern w:val="0"/>
                <w:szCs w:val="24"/>
              </w:rPr>
              <w:t>品目预算（元）</w:t>
            </w:r>
          </w:p>
        </w:tc>
        <w:tc>
          <w:tcPr>
            <w:tcW w:w="1442" w:type="dxa"/>
            <w:vAlign w:val="center"/>
          </w:tcPr>
          <w:p>
            <w:pPr>
              <w:widowControl/>
              <w:jc w:val="center"/>
              <w:rPr>
                <w:rFonts w:ascii="宋体" w:hAnsi="宋体" w:cs="宋体"/>
                <w:kern w:val="0"/>
                <w:szCs w:val="24"/>
              </w:rPr>
            </w:pPr>
            <w:r>
              <w:rPr>
                <w:rFonts w:hint="eastAsia" w:ascii="宋体" w:hAnsi="宋体" w:cs="宋体"/>
                <w:kern w:val="0"/>
                <w:szCs w:val="24"/>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4" w:type="dxa"/>
          </w:tcPr>
          <w:p>
            <w:pPr>
              <w:widowControl/>
              <w:jc w:val="left"/>
              <w:rPr>
                <w:rFonts w:ascii="宋体" w:hAnsi="宋体" w:cs="宋体"/>
                <w:kern w:val="0"/>
                <w:szCs w:val="24"/>
              </w:rPr>
            </w:pPr>
            <w:r>
              <w:rPr>
                <w:rFonts w:hint="eastAsia" w:ascii="宋体" w:hAnsi="宋体" w:cs="宋体"/>
                <w:kern w:val="0"/>
                <w:szCs w:val="24"/>
              </w:rPr>
              <w:t>2026-2027年广州白云机场海关南1、2号楼物业管理服务</w:t>
            </w:r>
          </w:p>
        </w:tc>
        <w:tc>
          <w:tcPr>
            <w:tcW w:w="1201" w:type="dxa"/>
            <w:tcBorders>
              <w:top w:val="single" w:color="auto" w:sz="4" w:space="0"/>
              <w:left w:val="single" w:color="auto" w:sz="4" w:space="0"/>
              <w:right w:val="single" w:color="auto" w:sz="4" w:space="0"/>
            </w:tcBorders>
          </w:tcPr>
          <w:p>
            <w:pPr>
              <w:widowControl/>
              <w:jc w:val="left"/>
              <w:rPr>
                <w:rFonts w:ascii="宋体" w:hAnsi="宋体" w:cs="宋体"/>
                <w:kern w:val="0"/>
                <w:szCs w:val="24"/>
              </w:rPr>
            </w:pPr>
            <w:r>
              <w:rPr>
                <w:rFonts w:hint="eastAsia" w:ascii="宋体" w:hAnsi="宋体" w:cs="宋体"/>
                <w:kern w:val="0"/>
                <w:szCs w:val="24"/>
              </w:rPr>
              <w:t>1项</w:t>
            </w:r>
          </w:p>
        </w:tc>
        <w:tc>
          <w:tcPr>
            <w:tcW w:w="2086" w:type="dxa"/>
            <w:tcBorders>
              <w:top w:val="single" w:color="auto" w:sz="4" w:space="0"/>
              <w:left w:val="single" w:color="auto" w:sz="4" w:space="0"/>
              <w:right w:val="single" w:color="auto" w:sz="4" w:space="0"/>
            </w:tcBorders>
          </w:tcPr>
          <w:p>
            <w:pPr>
              <w:widowControl/>
              <w:jc w:val="left"/>
              <w:rPr>
                <w:rFonts w:ascii="宋体" w:hAnsi="宋体" w:cs="宋体"/>
                <w:kern w:val="0"/>
                <w:szCs w:val="24"/>
              </w:rPr>
            </w:pPr>
            <w:r>
              <w:rPr>
                <w:rFonts w:ascii="宋体" w:hAnsi="宋体" w:cs="宋体"/>
                <w:kern w:val="0"/>
                <w:szCs w:val="24"/>
              </w:rPr>
              <w:t>详见“</w:t>
            </w:r>
            <w:r>
              <w:rPr>
                <w:rFonts w:hint="eastAsia" w:ascii="宋体" w:hAnsi="宋体" w:cs="宋体"/>
                <w:kern w:val="0"/>
                <w:szCs w:val="24"/>
              </w:rPr>
              <w:t>第二部分</w:t>
            </w:r>
            <w:r>
              <w:rPr>
                <w:rFonts w:hint="eastAsia" w:ascii="宋体" w:hAnsi="宋体" w:cs="宋体"/>
                <w:kern w:val="0"/>
                <w:szCs w:val="24"/>
              </w:rPr>
              <w:tab/>
            </w:r>
            <w:r>
              <w:rPr>
                <w:rFonts w:hint="eastAsia" w:ascii="宋体" w:hAnsi="宋体" w:cs="宋体"/>
                <w:kern w:val="0"/>
                <w:szCs w:val="24"/>
              </w:rPr>
              <w:t xml:space="preserve">  采购需求</w:t>
            </w:r>
            <w:r>
              <w:rPr>
                <w:rFonts w:ascii="宋体" w:hAnsi="宋体" w:cs="宋体"/>
                <w:kern w:val="0"/>
                <w:szCs w:val="24"/>
              </w:rPr>
              <w:t>”</w:t>
            </w:r>
          </w:p>
        </w:tc>
        <w:tc>
          <w:tcPr>
            <w:tcW w:w="1441" w:type="dxa"/>
            <w:tcBorders>
              <w:top w:val="single" w:color="auto" w:sz="4" w:space="0"/>
              <w:left w:val="single" w:color="auto" w:sz="4" w:space="0"/>
              <w:right w:val="single" w:color="auto" w:sz="4" w:space="0"/>
            </w:tcBorders>
          </w:tcPr>
          <w:p>
            <w:pPr>
              <w:widowControl/>
              <w:jc w:val="left"/>
              <w:rPr>
                <w:rFonts w:ascii="宋体" w:hAnsi="宋体" w:cs="宋体"/>
                <w:kern w:val="0"/>
                <w:szCs w:val="24"/>
              </w:rPr>
            </w:pPr>
            <w:r>
              <w:rPr>
                <w:rFonts w:hint="eastAsia" w:ascii="宋体" w:hAnsi="宋体"/>
                <w:szCs w:val="24"/>
              </w:rPr>
              <w:t>952,000.00</w:t>
            </w:r>
          </w:p>
        </w:tc>
        <w:tc>
          <w:tcPr>
            <w:tcW w:w="1442" w:type="dxa"/>
          </w:tcPr>
          <w:p>
            <w:pPr>
              <w:widowControl/>
              <w:jc w:val="left"/>
              <w:rPr>
                <w:rFonts w:ascii="宋体" w:hAnsi="宋体" w:cs="宋体"/>
                <w:kern w:val="0"/>
                <w:szCs w:val="24"/>
              </w:rPr>
            </w:pPr>
            <w:r>
              <w:rPr>
                <w:rFonts w:hint="eastAsia" w:ascii="宋体" w:hAnsi="宋体"/>
                <w:szCs w:val="24"/>
              </w:rPr>
              <w:t>952,000.00</w:t>
            </w:r>
          </w:p>
        </w:tc>
      </w:tr>
    </w:tbl>
    <w:p>
      <w:pPr>
        <w:widowControl/>
        <w:ind w:firstLine="560"/>
        <w:jc w:val="left"/>
        <w:rPr>
          <w:rFonts w:ascii="宋体" w:hAnsi="宋体" w:cs="宋体"/>
          <w:kern w:val="0"/>
          <w:szCs w:val="24"/>
        </w:rPr>
      </w:pPr>
      <w:r>
        <w:rPr>
          <w:rFonts w:hint="eastAsia" w:ascii="宋体" w:hAnsi="宋体" w:cs="宋体"/>
          <w:kern w:val="0"/>
          <w:szCs w:val="24"/>
        </w:rPr>
        <w:t>详细要求请参阅“采购需求”。</w:t>
      </w:r>
    </w:p>
    <w:p>
      <w:pPr>
        <w:ind w:firstLine="482" w:firstLineChars="200"/>
        <w:rPr>
          <w:rFonts w:ascii="宋体" w:hAnsi="宋体"/>
          <w:bCs/>
          <w:i/>
          <w:szCs w:val="24"/>
          <w:u w:val="single"/>
        </w:rPr>
      </w:pPr>
      <w:r>
        <w:rPr>
          <w:rFonts w:hint="eastAsia" w:ascii="宋体" w:hAnsi="宋体"/>
          <w:b/>
          <w:szCs w:val="24"/>
        </w:rPr>
        <w:t>合同履行期限：</w:t>
      </w:r>
      <w:r>
        <w:rPr>
          <w:rFonts w:ascii="宋体" w:hAnsi="宋体"/>
          <w:szCs w:val="24"/>
          <w:u w:val="single"/>
        </w:rPr>
        <w:t>2026年3月1日至2027年2月28日。</w:t>
      </w:r>
    </w:p>
    <w:p>
      <w:pPr>
        <w:pStyle w:val="4"/>
        <w:spacing w:before="0" w:after="0" w:line="360" w:lineRule="auto"/>
        <w:rPr>
          <w:rFonts w:ascii="宋体" w:hAnsi="宋体" w:cs="宋体"/>
          <w:sz w:val="24"/>
          <w:szCs w:val="24"/>
        </w:rPr>
      </w:pPr>
      <w:bookmarkStart w:id="19" w:name="_Toc55398628"/>
      <w:bookmarkStart w:id="20" w:name="_Toc28359080"/>
      <w:bookmarkStart w:id="21" w:name="_Toc28359003"/>
      <w:bookmarkStart w:id="22" w:name="_Toc56180224"/>
      <w:bookmarkStart w:id="23" w:name="_Toc35393622"/>
      <w:bookmarkStart w:id="24" w:name="_Toc35393791"/>
      <w:r>
        <w:rPr>
          <w:rFonts w:hint="eastAsia" w:ascii="宋体" w:hAnsi="宋体" w:cs="宋体"/>
          <w:sz w:val="24"/>
          <w:szCs w:val="24"/>
        </w:rPr>
        <w:t>二、申请人的资格要求</w:t>
      </w:r>
      <w:bookmarkEnd w:id="19"/>
      <w:bookmarkEnd w:id="20"/>
      <w:bookmarkEnd w:id="21"/>
      <w:bookmarkEnd w:id="22"/>
      <w:bookmarkEnd w:id="23"/>
      <w:bookmarkEnd w:id="24"/>
    </w:p>
    <w:p>
      <w:pPr>
        <w:ind w:firstLine="482" w:firstLineChars="200"/>
        <w:rPr>
          <w:rFonts w:ascii="宋体" w:hAnsi="宋体"/>
          <w:b/>
          <w:szCs w:val="24"/>
        </w:rPr>
      </w:pPr>
      <w:bookmarkStart w:id="25" w:name="_Toc28359004"/>
      <w:bookmarkStart w:id="26" w:name="_Toc28359081"/>
      <w:r>
        <w:rPr>
          <w:rFonts w:hint="eastAsia" w:ascii="宋体" w:hAnsi="宋体"/>
          <w:b/>
          <w:szCs w:val="24"/>
        </w:rPr>
        <w:t>1.满足《中华人民共和国政府采购法》第二十二条规定；</w:t>
      </w:r>
    </w:p>
    <w:p>
      <w:pPr>
        <w:widowControl/>
        <w:shd w:val="clear" w:color="auto" w:fill="FFFFFF"/>
        <w:ind w:firstLine="480"/>
        <w:textAlignment w:val="baseline"/>
        <w:rPr>
          <w:rFonts w:ascii="宋体" w:hAnsi="宋体"/>
          <w:b/>
          <w:szCs w:val="24"/>
          <w:u w:val="single"/>
        </w:rPr>
      </w:pPr>
      <w:r>
        <w:rPr>
          <w:rFonts w:hint="eastAsia" w:ascii="宋体" w:hAnsi="宋体"/>
          <w:b/>
          <w:szCs w:val="24"/>
        </w:rPr>
        <w:t>2.落实政府采购政策需满足的资格要求：</w:t>
      </w:r>
    </w:p>
    <w:p>
      <w:pPr>
        <w:ind w:firstLine="482" w:firstLineChars="200"/>
        <w:rPr>
          <w:rFonts w:ascii="宋体" w:hAnsi="宋体"/>
          <w:bCs/>
          <w:szCs w:val="24"/>
        </w:rPr>
      </w:pPr>
      <w:r>
        <w:rPr>
          <w:rFonts w:hint="eastAsia" w:ascii="宋体" w:hAnsi="宋体"/>
          <w:b/>
          <w:szCs w:val="24"/>
        </w:rPr>
        <w:t>【不属于专门面向中小企业采购的项目】</w:t>
      </w:r>
      <w:r>
        <w:rPr>
          <w:rFonts w:hint="eastAsia" w:ascii="宋体" w:hAnsi="宋体"/>
          <w:bCs/>
          <w:szCs w:val="24"/>
        </w:rPr>
        <w:t>无，不属于专门面向中小企业采购的项目。本项目采购标的对应的中小企业划分标准所属行业为：</w:t>
      </w:r>
      <w:r>
        <w:rPr>
          <w:rFonts w:hint="eastAsia" w:ascii="宋体" w:hAnsi="宋体"/>
          <w:bCs/>
          <w:szCs w:val="24"/>
          <w:u w:val="single"/>
        </w:rPr>
        <w:t xml:space="preserve">  物业管理 </w:t>
      </w:r>
      <w:r>
        <w:rPr>
          <w:rFonts w:hint="eastAsia" w:ascii="宋体" w:hAnsi="宋体"/>
          <w:bCs/>
          <w:szCs w:val="24"/>
        </w:rPr>
        <w:t xml:space="preserve"> ，划分标准详见《关于印发中小企业划型标准规定的通知》（http://www.ccgp.gov.cn/zcfg/mof/201310/t20131029_3587674.htm）。 </w:t>
      </w:r>
    </w:p>
    <w:p>
      <w:pPr>
        <w:ind w:firstLine="482" w:firstLineChars="200"/>
        <w:rPr>
          <w:rFonts w:ascii="宋体" w:hAnsi="宋体"/>
          <w:b/>
          <w:i/>
          <w:iCs/>
          <w:szCs w:val="24"/>
          <w:u w:val="single"/>
        </w:rPr>
      </w:pPr>
      <w:r>
        <w:rPr>
          <w:rFonts w:hint="eastAsia" w:ascii="宋体" w:hAnsi="宋体"/>
          <w:b/>
          <w:szCs w:val="24"/>
        </w:rPr>
        <w:t>3.本项目的特定资格要求：</w:t>
      </w:r>
    </w:p>
    <w:p>
      <w:pPr>
        <w:ind w:firstLine="482" w:firstLineChars="200"/>
        <w:rPr>
          <w:rFonts w:ascii="宋体" w:hAnsi="宋体"/>
          <w:szCs w:val="24"/>
        </w:rPr>
      </w:pPr>
      <w:r>
        <w:rPr>
          <w:rFonts w:hint="eastAsia" w:ascii="宋体" w:hAnsi="宋体"/>
          <w:b/>
          <w:szCs w:val="24"/>
        </w:rPr>
        <w:t>（1）响应供应商应具备《中华人民共和国政府采购法》第二十二条规定的条件，提供下列材料：</w:t>
      </w:r>
    </w:p>
    <w:p>
      <w:pPr>
        <w:ind w:firstLine="480" w:firstLineChars="200"/>
        <w:rPr>
          <w:rFonts w:ascii="宋体" w:hAnsi="宋体"/>
          <w:szCs w:val="24"/>
        </w:rPr>
      </w:pPr>
      <w:r>
        <w:rPr>
          <w:rFonts w:hint="eastAsia" w:ascii="宋体" w:hAnsi="宋体"/>
          <w:szCs w:val="24"/>
        </w:rPr>
        <w:t>1）</w:t>
      </w:r>
      <w:r>
        <w:rPr>
          <w:rFonts w:hint="eastAsia" w:ascii="宋体" w:hAnsi="宋体"/>
          <w:b/>
          <w:bCs/>
          <w:szCs w:val="24"/>
        </w:rPr>
        <w:t>具有独立承担民事责任的能力：</w:t>
      </w:r>
      <w:r>
        <w:rPr>
          <w:rFonts w:hint="eastAsia" w:ascii="宋体" w:hAnsi="宋体"/>
          <w:szCs w:val="24"/>
        </w:rPr>
        <w:t>提供在中华人民共和国境内注册的法人或其他组织的营业执照或事业单位法人证书或社会团体法人登记证书复印件，如响应供应商为自然人的提供自然人身份证明复印件；如国家另有规定的，则从其规定。（如供应商为分支机构，须取得具有法人资格的总公司（总所）出具给分支机构的授权书，并提供总公司（总所）和分支机构的营业执照（执业许可证）扫描件；已由总公司（总所）授权的，总公司（总所）取得的相关资质证书对分支机构有效，法律法规或者行业另有规定的除外）</w:t>
      </w:r>
    </w:p>
    <w:p>
      <w:pPr>
        <w:ind w:firstLine="480" w:firstLineChars="200"/>
        <w:rPr>
          <w:rFonts w:ascii="宋体" w:hAnsi="宋体"/>
          <w:iCs/>
          <w:szCs w:val="24"/>
        </w:rPr>
      </w:pPr>
      <w:r>
        <w:rPr>
          <w:rFonts w:hint="eastAsia" w:ascii="宋体" w:hAnsi="宋体"/>
          <w:szCs w:val="24"/>
        </w:rPr>
        <w:t>2）</w:t>
      </w:r>
      <w:r>
        <w:rPr>
          <w:rFonts w:hint="eastAsia" w:ascii="宋体" w:hAnsi="宋体"/>
          <w:b/>
          <w:bCs/>
          <w:szCs w:val="24"/>
        </w:rPr>
        <w:t>具有良好的商业信誉和健全的财务会计制度：</w:t>
      </w:r>
      <w:r>
        <w:rPr>
          <w:rFonts w:hint="eastAsia" w:ascii="宋体" w:hAnsi="宋体"/>
          <w:iCs/>
          <w:szCs w:val="24"/>
        </w:rPr>
        <w:t>提供《供应商资格声明函》。</w:t>
      </w:r>
    </w:p>
    <w:p>
      <w:pPr>
        <w:numPr>
          <w:ilvl w:val="0"/>
          <w:numId w:val="4"/>
        </w:numPr>
        <w:ind w:left="0" w:firstLine="482" w:firstLineChars="200"/>
        <w:rPr>
          <w:rFonts w:ascii="宋体" w:hAnsi="宋体"/>
          <w:iCs/>
          <w:szCs w:val="24"/>
        </w:rPr>
      </w:pPr>
      <w:r>
        <w:rPr>
          <w:rFonts w:hint="eastAsia" w:ascii="宋体" w:hAnsi="宋体"/>
          <w:b/>
          <w:bCs/>
          <w:szCs w:val="24"/>
        </w:rPr>
        <w:t>具有依法缴纳税收和社会保障资金的良好记录：</w:t>
      </w:r>
      <w:r>
        <w:rPr>
          <w:rFonts w:hint="eastAsia" w:ascii="宋体" w:hAnsi="宋体"/>
          <w:iCs/>
          <w:szCs w:val="24"/>
        </w:rPr>
        <w:t>提供《供应商资格声明函》。</w:t>
      </w:r>
    </w:p>
    <w:p>
      <w:pPr>
        <w:ind w:firstLine="480" w:firstLineChars="200"/>
        <w:rPr>
          <w:rFonts w:ascii="宋体" w:hAnsi="宋体"/>
          <w:szCs w:val="24"/>
        </w:rPr>
      </w:pPr>
      <w:r>
        <w:rPr>
          <w:rFonts w:hint="eastAsia" w:ascii="宋体" w:hAnsi="宋体"/>
          <w:szCs w:val="24"/>
        </w:rPr>
        <w:t>4）</w:t>
      </w:r>
      <w:r>
        <w:rPr>
          <w:rFonts w:hint="eastAsia" w:ascii="宋体" w:hAnsi="宋体"/>
          <w:b/>
          <w:bCs/>
          <w:szCs w:val="24"/>
        </w:rPr>
        <w:t>具有履行合同所必需的设备和专业技术能力：</w:t>
      </w:r>
      <w:r>
        <w:rPr>
          <w:rFonts w:hint="eastAsia" w:ascii="宋体" w:hAnsi="宋体"/>
          <w:szCs w:val="24"/>
        </w:rPr>
        <w:t>提供《供应商资格声明函》</w:t>
      </w:r>
      <w:r>
        <w:rPr>
          <w:rFonts w:hint="eastAsia" w:ascii="宋体" w:hAnsi="宋体"/>
          <w:iCs/>
          <w:szCs w:val="24"/>
        </w:rPr>
        <w:t>。</w:t>
      </w:r>
    </w:p>
    <w:p>
      <w:pPr>
        <w:ind w:firstLine="480" w:firstLineChars="200"/>
        <w:rPr>
          <w:rFonts w:ascii="宋体" w:hAnsi="宋体"/>
          <w:szCs w:val="24"/>
        </w:rPr>
      </w:pPr>
      <w:r>
        <w:rPr>
          <w:rFonts w:hint="eastAsia" w:ascii="宋体" w:hAnsi="宋体"/>
          <w:szCs w:val="24"/>
        </w:rPr>
        <w:t>5）</w:t>
      </w:r>
      <w:r>
        <w:rPr>
          <w:rFonts w:hint="eastAsia" w:ascii="宋体" w:hAnsi="宋体"/>
          <w:b/>
          <w:bCs/>
          <w:szCs w:val="24"/>
        </w:rPr>
        <w:t>参加采购活动前三年内，在经营活动中没有重大违法记录：</w:t>
      </w:r>
      <w:r>
        <w:rPr>
          <w:rFonts w:hint="eastAsia" w:ascii="宋体" w:hAnsi="宋体"/>
          <w:szCs w:val="24"/>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供应商资格声明函》。</w:t>
      </w:r>
    </w:p>
    <w:p>
      <w:pPr>
        <w:wordWrap/>
        <w:rPr>
          <w:rFonts w:ascii="宋体" w:hAnsi="宋体"/>
          <w:i/>
          <w:iCs/>
          <w:szCs w:val="24"/>
        </w:rPr>
      </w:pPr>
      <w:r>
        <w:rPr>
          <w:rFonts w:hint="eastAsia" w:ascii="宋体" w:hAnsi="宋体"/>
          <w:b/>
          <w:bCs/>
          <w:szCs w:val="24"/>
        </w:rPr>
        <w:t>（2）信用记录：</w:t>
      </w:r>
      <w:r>
        <w:rPr>
          <w:rFonts w:hint="eastAsia" w:ascii="宋体" w:hAnsi="宋体"/>
          <w:szCs w:val="24"/>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响应截止时间当天在“信用中国”网站（www.creditchina.gov.cn）及中国政府采购网（http://www.ccgp.gov.cn/）查询结果为准，如相关失信记录已失效，供应商需提供相关证明资料）。</w:t>
      </w:r>
    </w:p>
    <w:p>
      <w:pPr>
        <w:pStyle w:val="8"/>
        <w:wordWrap/>
        <w:ind w:firstLine="0"/>
        <w:rPr>
          <w:rFonts w:ascii="宋体" w:hAnsi="宋体"/>
          <w:b/>
          <w:bCs/>
          <w:szCs w:val="24"/>
        </w:rPr>
      </w:pPr>
      <w:r>
        <w:rPr>
          <w:rFonts w:hint="eastAsia" w:ascii="宋体" w:hAnsi="宋体"/>
          <w:b/>
          <w:bCs/>
          <w:szCs w:val="24"/>
        </w:rPr>
        <w:t>（3）供应商必须符合法律、行政法规规定的其他条件：</w:t>
      </w:r>
    </w:p>
    <w:p>
      <w:pPr>
        <w:pStyle w:val="8"/>
        <w:wordWrap/>
        <w:ind w:firstLine="480" w:firstLineChars="200"/>
        <w:rPr>
          <w:rFonts w:ascii="宋体" w:hAnsi="宋体"/>
          <w:i/>
          <w:iCs/>
          <w:szCs w:val="24"/>
        </w:rPr>
      </w:pPr>
      <w:r>
        <w:rPr>
          <w:rFonts w:hint="eastAsia" w:ascii="宋体" w:hAnsi="宋体"/>
          <w:szCs w:val="24"/>
        </w:rPr>
        <w:t>1）单位负责人为同一人或者存在直接控股、管理关系的不同供应商，不得同时参加本采购项目（采购包）响应。提供《供应商资格声明函》。</w:t>
      </w:r>
    </w:p>
    <w:p>
      <w:pPr>
        <w:pStyle w:val="8"/>
        <w:wordWrap/>
        <w:ind w:firstLine="480" w:firstLineChars="200"/>
      </w:pPr>
      <w:r>
        <w:rPr>
          <w:rFonts w:hint="eastAsia" w:ascii="宋体" w:hAnsi="宋体"/>
          <w:szCs w:val="24"/>
        </w:rPr>
        <w:t>2）为本项目提供整体设计、规范编制或者项目管理、监理、检测等服务的供应商，不得再参与本项目（采购包）响应。提供《供应商资格声明函》。</w:t>
      </w:r>
    </w:p>
    <w:p>
      <w:pPr>
        <w:wordWrap/>
        <w:rPr>
          <w:rFonts w:ascii="宋体" w:hAnsi="宋体"/>
          <w:b/>
          <w:bCs/>
          <w:szCs w:val="24"/>
        </w:rPr>
      </w:pPr>
      <w:r>
        <w:rPr>
          <w:rFonts w:hint="eastAsia" w:ascii="宋体" w:hAnsi="宋体"/>
          <w:b/>
          <w:bCs/>
          <w:szCs w:val="24"/>
        </w:rPr>
        <w:t>（4）供应商</w:t>
      </w:r>
      <w:r>
        <w:rPr>
          <w:rFonts w:hint="eastAsia" w:ascii="宋体" w:hAnsi="宋体"/>
          <w:b/>
          <w:bCs/>
          <w:szCs w:val="24"/>
        </w:rPr>
        <w:tab/>
      </w:r>
      <w:r>
        <w:rPr>
          <w:rFonts w:hint="eastAsia" w:ascii="宋体" w:hAnsi="宋体"/>
          <w:b/>
          <w:bCs/>
          <w:szCs w:val="24"/>
        </w:rPr>
        <w:t>已按磋商公告及磋商文件的规定获取了磋商文件。</w:t>
      </w:r>
    </w:p>
    <w:p>
      <w:pPr>
        <w:wordWrap/>
        <w:rPr>
          <w:rFonts w:ascii="宋体" w:hAnsi="宋体"/>
          <w:szCs w:val="24"/>
        </w:rPr>
      </w:pPr>
      <w:r>
        <w:rPr>
          <w:rFonts w:hint="eastAsia" w:ascii="宋体" w:hAnsi="宋体"/>
          <w:b/>
          <w:bCs/>
          <w:szCs w:val="24"/>
        </w:rPr>
        <w:t>（5）本项目</w:t>
      </w:r>
      <w:r>
        <w:rPr>
          <w:rFonts w:hint="eastAsia" w:ascii="宋体" w:hAnsi="宋体"/>
          <w:b/>
          <w:bCs/>
          <w:iCs/>
          <w:szCs w:val="24"/>
        </w:rPr>
        <w:t>不接受</w:t>
      </w:r>
      <w:r>
        <w:rPr>
          <w:rFonts w:hint="eastAsia" w:ascii="宋体" w:hAnsi="宋体"/>
          <w:b/>
          <w:bCs/>
          <w:szCs w:val="24"/>
        </w:rPr>
        <w:t>联合体响应。</w:t>
      </w:r>
    </w:p>
    <w:p>
      <w:pPr>
        <w:pStyle w:val="38"/>
        <w:rPr>
          <w:rFonts w:ascii="宋体" w:hAnsi="宋体"/>
          <w:i/>
          <w:szCs w:val="24"/>
        </w:rPr>
      </w:pPr>
      <w:r>
        <w:rPr>
          <w:rFonts w:hint="eastAsia" w:ascii="宋体" w:hAnsi="宋体"/>
          <w:b/>
          <w:szCs w:val="24"/>
        </w:rPr>
        <w:t>注：响应供应商应于提交首次响应文件时提交相关资格证明文件。</w:t>
      </w:r>
    </w:p>
    <w:p>
      <w:pPr>
        <w:pStyle w:val="4"/>
        <w:spacing w:before="0" w:after="0" w:line="360" w:lineRule="auto"/>
        <w:rPr>
          <w:rFonts w:ascii="宋体" w:hAnsi="宋体" w:cs="宋体"/>
          <w:sz w:val="24"/>
          <w:szCs w:val="24"/>
        </w:rPr>
      </w:pPr>
      <w:bookmarkStart w:id="27" w:name="_Toc35393623"/>
      <w:bookmarkStart w:id="28" w:name="_Toc56180225"/>
      <w:bookmarkStart w:id="29" w:name="_Toc35393792"/>
      <w:bookmarkStart w:id="30" w:name="_Toc55398629"/>
      <w:r>
        <w:rPr>
          <w:rFonts w:hint="eastAsia" w:ascii="宋体" w:hAnsi="宋体" w:cs="宋体"/>
          <w:sz w:val="24"/>
          <w:szCs w:val="24"/>
        </w:rPr>
        <w:t>三、获取采购文件</w:t>
      </w:r>
      <w:bookmarkEnd w:id="25"/>
      <w:bookmarkEnd w:id="26"/>
      <w:bookmarkEnd w:id="27"/>
      <w:bookmarkEnd w:id="28"/>
      <w:bookmarkEnd w:id="29"/>
      <w:bookmarkEnd w:id="30"/>
    </w:p>
    <w:p>
      <w:pPr>
        <w:ind w:firstLine="540"/>
        <w:rPr>
          <w:rFonts w:ascii="宋体" w:hAnsi="宋体" w:cs="宋体"/>
          <w:szCs w:val="24"/>
        </w:rPr>
      </w:pPr>
      <w:r>
        <w:rPr>
          <w:rFonts w:hint="eastAsia" w:ascii="宋体" w:hAnsi="宋体" w:cs="宋体"/>
          <w:szCs w:val="24"/>
        </w:rPr>
        <w:t>时间：</w:t>
      </w:r>
      <w:r>
        <w:rPr>
          <w:rFonts w:hint="eastAsia" w:ascii="宋体" w:hAnsi="宋体" w:cs="宋体"/>
          <w:szCs w:val="24"/>
          <w:u w:val="single"/>
        </w:rPr>
        <w:t>2026年</w:t>
      </w:r>
      <w:r>
        <w:rPr>
          <w:rFonts w:hint="default" w:ascii="宋体" w:hAnsi="宋体" w:cs="宋体"/>
          <w:szCs w:val="24"/>
          <w:u w:val="single"/>
          <w:lang w:val="en-US"/>
        </w:rPr>
        <w:t>1</w:t>
      </w:r>
      <w:r>
        <w:rPr>
          <w:rFonts w:hint="eastAsia" w:ascii="宋体" w:hAnsi="宋体" w:cs="宋体"/>
          <w:szCs w:val="24"/>
          <w:u w:val="single"/>
        </w:rPr>
        <w:t>月</w:t>
      </w:r>
      <w:r>
        <w:rPr>
          <w:rFonts w:hint="default" w:ascii="宋体" w:hAnsi="宋体" w:cs="宋体"/>
          <w:szCs w:val="24"/>
          <w:u w:val="single"/>
          <w:lang w:val="en-US"/>
        </w:rPr>
        <w:t>22</w:t>
      </w:r>
      <w:r>
        <w:rPr>
          <w:rFonts w:hint="eastAsia" w:ascii="宋体" w:hAnsi="宋体" w:cs="宋体"/>
          <w:szCs w:val="24"/>
          <w:u w:val="single"/>
        </w:rPr>
        <w:t>日</w:t>
      </w:r>
      <w:r>
        <w:rPr>
          <w:rFonts w:hint="eastAsia" w:ascii="宋体" w:hAnsi="宋体" w:cs="宋体"/>
          <w:szCs w:val="24"/>
        </w:rPr>
        <w:t>至</w:t>
      </w:r>
      <w:r>
        <w:rPr>
          <w:rFonts w:hint="eastAsia" w:ascii="宋体" w:hAnsi="宋体" w:cs="宋体"/>
          <w:szCs w:val="24"/>
          <w:u w:val="single"/>
        </w:rPr>
        <w:t>2026年</w:t>
      </w:r>
      <w:r>
        <w:rPr>
          <w:rFonts w:hint="default" w:ascii="宋体" w:hAnsi="宋体" w:cs="宋体"/>
          <w:szCs w:val="24"/>
          <w:u w:val="single"/>
          <w:lang w:val="en-US"/>
        </w:rPr>
        <w:t>1</w:t>
      </w:r>
      <w:r>
        <w:rPr>
          <w:rFonts w:hint="eastAsia" w:ascii="宋体" w:hAnsi="宋体" w:cs="宋体"/>
          <w:szCs w:val="24"/>
          <w:u w:val="single"/>
        </w:rPr>
        <w:t>月</w:t>
      </w:r>
      <w:r>
        <w:rPr>
          <w:rFonts w:hint="default" w:ascii="宋体" w:hAnsi="宋体" w:cs="宋体"/>
          <w:szCs w:val="24"/>
          <w:u w:val="single"/>
          <w:lang w:val="en-US"/>
        </w:rPr>
        <w:t>28</w:t>
      </w:r>
      <w:r>
        <w:rPr>
          <w:rFonts w:hint="eastAsia" w:ascii="宋体" w:hAnsi="宋体" w:cs="宋体"/>
          <w:szCs w:val="24"/>
          <w:u w:val="single"/>
        </w:rPr>
        <w:t>日</w:t>
      </w:r>
      <w:r>
        <w:rPr>
          <w:rFonts w:hint="eastAsia" w:ascii="宋体" w:hAnsi="宋体" w:cs="宋体"/>
          <w:iCs/>
          <w:szCs w:val="24"/>
          <w:u w:val="single"/>
        </w:rPr>
        <w:t>（</w:t>
      </w:r>
      <w:r>
        <w:rPr>
          <w:rFonts w:hint="eastAsia" w:ascii="宋体" w:hAnsi="宋体" w:cs="宋体"/>
          <w:i/>
          <w:szCs w:val="24"/>
          <w:u w:val="single"/>
        </w:rPr>
        <w:t>磋商文件的发售期限自开始之日起不得少于5个工作日</w:t>
      </w:r>
      <w:r>
        <w:rPr>
          <w:rFonts w:hint="eastAsia" w:ascii="宋体" w:hAnsi="宋体" w:cs="宋体"/>
          <w:iCs/>
          <w:szCs w:val="24"/>
          <w:u w:val="single"/>
        </w:rPr>
        <w:t>）</w:t>
      </w:r>
      <w:r>
        <w:rPr>
          <w:rFonts w:hint="eastAsia" w:ascii="宋体" w:hAnsi="宋体" w:cs="宋体"/>
          <w:szCs w:val="24"/>
        </w:rPr>
        <w:t>，每天</w:t>
      </w:r>
      <w:r>
        <w:rPr>
          <w:rFonts w:hint="eastAsia" w:ascii="宋体" w:hAnsi="宋体" w:cs="宋体"/>
          <w:szCs w:val="24"/>
          <w:u w:val="single"/>
        </w:rPr>
        <w:t>00</w:t>
      </w:r>
      <w:r>
        <w:rPr>
          <w:rFonts w:ascii="宋体" w:hAnsi="宋体" w:cs="宋体"/>
          <w:szCs w:val="24"/>
          <w:u w:val="single"/>
        </w:rPr>
        <w:t>:00</w:t>
      </w:r>
      <w:r>
        <w:rPr>
          <w:rFonts w:hint="eastAsia" w:ascii="宋体" w:hAnsi="宋体" w:cs="宋体"/>
          <w:szCs w:val="24"/>
        </w:rPr>
        <w:t>至</w:t>
      </w:r>
      <w:r>
        <w:rPr>
          <w:rFonts w:hint="eastAsia" w:ascii="宋体" w:hAnsi="宋体" w:cs="宋体"/>
          <w:szCs w:val="24"/>
          <w:u w:val="single"/>
        </w:rPr>
        <w:t>23</w:t>
      </w:r>
      <w:r>
        <w:rPr>
          <w:rFonts w:ascii="宋体" w:hAnsi="宋体" w:cs="宋体"/>
          <w:szCs w:val="24"/>
          <w:u w:val="single"/>
        </w:rPr>
        <w:t>:</w:t>
      </w:r>
      <w:r>
        <w:rPr>
          <w:rFonts w:hint="eastAsia" w:ascii="宋体" w:hAnsi="宋体" w:cs="宋体"/>
          <w:szCs w:val="24"/>
          <w:u w:val="single"/>
        </w:rPr>
        <w:t>59</w:t>
      </w:r>
      <w:r>
        <w:rPr>
          <w:rFonts w:hint="eastAsia" w:ascii="宋体" w:hAnsi="宋体" w:cs="宋体"/>
          <w:szCs w:val="24"/>
        </w:rPr>
        <w:t>（北京时间，</w:t>
      </w:r>
      <w:r>
        <w:rPr>
          <w:rFonts w:ascii="宋体" w:hAnsi="宋体" w:cs="宋体"/>
          <w:szCs w:val="24"/>
        </w:rPr>
        <w:t>法定节假日</w:t>
      </w:r>
      <w:r>
        <w:rPr>
          <w:rFonts w:hint="eastAsia" w:ascii="宋体" w:hAnsi="宋体" w:cs="宋体"/>
          <w:szCs w:val="24"/>
        </w:rPr>
        <w:t>除外）</w:t>
      </w:r>
    </w:p>
    <w:p>
      <w:pPr>
        <w:ind w:firstLine="540"/>
        <w:rPr>
          <w:rFonts w:ascii="宋体" w:hAnsi="宋体" w:cs="宋体"/>
          <w:szCs w:val="24"/>
        </w:rPr>
      </w:pPr>
      <w:r>
        <w:rPr>
          <w:rFonts w:hint="eastAsia" w:ascii="宋体" w:hAnsi="宋体" w:cs="宋体"/>
          <w:szCs w:val="24"/>
        </w:rPr>
        <w:t>地点：广东华伦招标有限公司网站“供应商在线服务”。</w:t>
      </w:r>
    </w:p>
    <w:p>
      <w:pPr>
        <w:pStyle w:val="2"/>
        <w:tabs>
          <w:tab w:val="left" w:pos="7238"/>
          <w:tab w:val="left" w:pos="8393"/>
        </w:tabs>
        <w:ind w:firstLine="600" w:firstLineChars="250"/>
        <w:rPr>
          <w:rFonts w:hAnsi="宋体"/>
          <w:szCs w:val="24"/>
          <w:u w:val="single"/>
        </w:rPr>
      </w:pPr>
      <w:r>
        <w:rPr>
          <w:rFonts w:hint="eastAsia" w:hAnsi="宋体"/>
          <w:szCs w:val="24"/>
        </w:rPr>
        <w:t>方式：</w:t>
      </w:r>
      <w:r>
        <w:rPr>
          <w:rFonts w:hAnsi="宋体"/>
          <w:szCs w:val="24"/>
        </w:rPr>
        <w:t>网上获取方式（只接受网上支付）。</w:t>
      </w:r>
      <w:r>
        <w:rPr>
          <w:rFonts w:hint="eastAsia" w:hAnsi="宋体"/>
          <w:szCs w:val="24"/>
        </w:rPr>
        <w:t>供应商可在上述日期内登录我公司网站“中招联合电子招标平台供应商在线服务”（https://www.gdhualun.com.cn/）购买磋商文件。平台操作相关问题请查询网站“通知公告”栏目（https://www.gdhualun.com.cn/）中《供应商操作指南》或咨询我公司”（或咨询我公司020-83172166转800、020-83527049；QQ：2127233298）。本公司只接受通过以上方式正式获取磋商文件的供应商参加磋商</w:t>
      </w:r>
    </w:p>
    <w:p>
      <w:pPr>
        <w:ind w:firstLine="540"/>
        <w:rPr>
          <w:rFonts w:ascii="宋体" w:hAnsi="宋体" w:cs="宋体"/>
          <w:szCs w:val="24"/>
        </w:rPr>
      </w:pPr>
      <w:r>
        <w:rPr>
          <w:rFonts w:hint="eastAsia" w:ascii="宋体" w:hAnsi="宋体" w:cs="宋体"/>
          <w:b/>
          <w:szCs w:val="24"/>
        </w:rPr>
        <w:t>售价：</w:t>
      </w:r>
      <w:r>
        <w:rPr>
          <w:rFonts w:hint="eastAsia" w:ascii="宋体" w:hAnsi="宋体" w:cs="宋体"/>
          <w:szCs w:val="24"/>
          <w:u w:val="single"/>
        </w:rPr>
        <w:t>300</w:t>
      </w:r>
      <w:r>
        <w:rPr>
          <w:rFonts w:hint="eastAsia" w:ascii="宋体" w:hAnsi="宋体" w:cs="宋体"/>
          <w:szCs w:val="24"/>
        </w:rPr>
        <w:t>元</w:t>
      </w:r>
    </w:p>
    <w:p>
      <w:pPr>
        <w:pStyle w:val="4"/>
        <w:spacing w:before="0" w:after="0" w:line="360" w:lineRule="auto"/>
        <w:rPr>
          <w:rFonts w:ascii="宋体" w:hAnsi="宋体" w:cs="宋体"/>
          <w:sz w:val="24"/>
          <w:szCs w:val="24"/>
        </w:rPr>
      </w:pPr>
      <w:bookmarkStart w:id="31" w:name="_Toc28359005"/>
      <w:bookmarkStart w:id="32" w:name="_Toc28359082"/>
      <w:bookmarkStart w:id="33" w:name="_Toc55398630"/>
      <w:bookmarkStart w:id="34" w:name="_Toc35393793"/>
      <w:bookmarkStart w:id="35" w:name="_Toc56180226"/>
      <w:bookmarkStart w:id="36" w:name="_Toc35393624"/>
      <w:r>
        <w:rPr>
          <w:rFonts w:hint="eastAsia" w:ascii="宋体" w:hAnsi="宋体" w:cs="宋体"/>
          <w:sz w:val="24"/>
          <w:szCs w:val="24"/>
        </w:rPr>
        <w:t>四、响应文件</w:t>
      </w:r>
      <w:bookmarkEnd w:id="31"/>
      <w:bookmarkEnd w:id="32"/>
      <w:r>
        <w:rPr>
          <w:rFonts w:hint="eastAsia" w:ascii="宋体" w:hAnsi="宋体" w:cs="宋体"/>
          <w:sz w:val="24"/>
          <w:szCs w:val="24"/>
        </w:rPr>
        <w:t>提交</w:t>
      </w:r>
      <w:bookmarkEnd w:id="33"/>
      <w:bookmarkEnd w:id="34"/>
      <w:bookmarkEnd w:id="35"/>
      <w:bookmarkEnd w:id="36"/>
    </w:p>
    <w:p>
      <w:pPr>
        <w:ind w:firstLine="480" w:firstLineChars="200"/>
        <w:rPr>
          <w:rFonts w:ascii="宋体" w:hAnsi="宋体"/>
          <w:bCs/>
          <w:szCs w:val="24"/>
          <w:u w:val="single"/>
        </w:rPr>
      </w:pPr>
      <w:r>
        <w:rPr>
          <w:rFonts w:hint="eastAsia" w:ascii="宋体" w:hAnsi="宋体"/>
          <w:szCs w:val="24"/>
        </w:rPr>
        <w:t>截止时间：</w:t>
      </w:r>
      <w:bookmarkStart w:id="37" w:name="OLE_LINK6"/>
      <w:r>
        <w:rPr>
          <w:rFonts w:hint="eastAsia" w:ascii="宋体" w:hAnsi="宋体"/>
          <w:szCs w:val="24"/>
          <w:u w:val="single"/>
        </w:rPr>
        <w:t>2026</w:t>
      </w:r>
      <w:r>
        <w:rPr>
          <w:rFonts w:hint="eastAsia" w:ascii="宋体" w:hAnsi="宋体"/>
          <w:bCs/>
          <w:szCs w:val="24"/>
          <w:u w:val="single"/>
        </w:rPr>
        <w:t>年</w:t>
      </w:r>
      <w:bookmarkEnd w:id="37"/>
      <w:r>
        <w:rPr>
          <w:rFonts w:hint="default" w:ascii="宋体" w:hAnsi="宋体"/>
          <w:bCs/>
          <w:szCs w:val="24"/>
          <w:u w:val="single"/>
          <w:lang w:val="en-US"/>
        </w:rPr>
        <w:t>2</w:t>
      </w:r>
      <w:r>
        <w:rPr>
          <w:rFonts w:hint="eastAsia" w:ascii="宋体" w:hAnsi="宋体"/>
          <w:bCs/>
          <w:szCs w:val="24"/>
          <w:u w:val="single"/>
        </w:rPr>
        <w:t xml:space="preserve">月 </w:t>
      </w:r>
      <w:r>
        <w:rPr>
          <w:rFonts w:hint="default" w:ascii="宋体" w:hAnsi="宋体"/>
          <w:bCs/>
          <w:szCs w:val="24"/>
          <w:u w:val="single"/>
          <w:lang w:val="en-US"/>
        </w:rPr>
        <w:t>2</w:t>
      </w:r>
      <w:r>
        <w:rPr>
          <w:rFonts w:hint="eastAsia" w:ascii="宋体" w:hAnsi="宋体"/>
          <w:bCs/>
          <w:szCs w:val="24"/>
          <w:u w:val="single"/>
        </w:rPr>
        <w:t>日</w:t>
      </w:r>
      <w:r>
        <w:rPr>
          <w:rFonts w:hint="default" w:ascii="宋体" w:hAnsi="宋体"/>
          <w:bCs/>
          <w:szCs w:val="24"/>
          <w:u w:val="single"/>
          <w:lang w:val="en-US"/>
        </w:rPr>
        <w:t>14</w:t>
      </w:r>
      <w:r>
        <w:rPr>
          <w:rFonts w:hint="eastAsia" w:ascii="宋体" w:hAnsi="宋体"/>
          <w:bCs/>
          <w:szCs w:val="24"/>
          <w:u w:val="single"/>
        </w:rPr>
        <w:t xml:space="preserve"> 点</w:t>
      </w:r>
      <w:r>
        <w:rPr>
          <w:rFonts w:hint="default" w:ascii="宋体" w:hAnsi="宋体"/>
          <w:bCs/>
          <w:szCs w:val="24"/>
          <w:u w:val="single"/>
          <w:lang w:val="en-US"/>
        </w:rPr>
        <w:t>30</w:t>
      </w:r>
      <w:r>
        <w:rPr>
          <w:rFonts w:hint="eastAsia" w:ascii="宋体" w:hAnsi="宋体"/>
          <w:bCs/>
          <w:szCs w:val="24"/>
          <w:u w:val="single"/>
        </w:rPr>
        <w:t>分</w:t>
      </w:r>
      <w:r>
        <w:rPr>
          <w:rFonts w:hint="eastAsia" w:ascii="宋体" w:hAnsi="宋体"/>
          <w:bCs/>
          <w:szCs w:val="24"/>
        </w:rPr>
        <w:t>（北京时间）</w:t>
      </w:r>
      <w:r>
        <w:rPr>
          <w:rFonts w:hint="eastAsia" w:ascii="宋体" w:hAnsi="宋体" w:cs="宋体"/>
          <w:iCs/>
          <w:szCs w:val="24"/>
          <w:u w:val="single"/>
        </w:rPr>
        <w:t>（</w:t>
      </w:r>
      <w:r>
        <w:rPr>
          <w:rFonts w:hint="eastAsia" w:ascii="宋体" w:hAnsi="宋体" w:cs="宋体"/>
          <w:i/>
          <w:szCs w:val="24"/>
          <w:u w:val="single"/>
        </w:rPr>
        <w:t>从磋商文件开始发出之日起至供应商提交首次响应文件截止之日止不得少于10日</w:t>
      </w:r>
      <w:r>
        <w:rPr>
          <w:rFonts w:hint="eastAsia" w:ascii="宋体" w:hAnsi="宋体" w:cs="宋体"/>
          <w:iCs/>
          <w:szCs w:val="24"/>
          <w:u w:val="single"/>
        </w:rPr>
        <w:t>）</w:t>
      </w:r>
    </w:p>
    <w:p>
      <w:pPr>
        <w:ind w:firstLine="480" w:firstLineChars="200"/>
        <w:rPr>
          <w:rFonts w:ascii="宋体" w:hAnsi="宋体"/>
          <w:bCs/>
          <w:szCs w:val="24"/>
          <w:u w:val="single"/>
        </w:rPr>
      </w:pPr>
      <w:r>
        <w:rPr>
          <w:rFonts w:hint="eastAsia" w:ascii="宋体" w:hAnsi="宋体"/>
          <w:szCs w:val="24"/>
        </w:rPr>
        <w:t>地点：</w:t>
      </w:r>
      <w:r>
        <w:rPr>
          <w:rFonts w:hint="eastAsia" w:ascii="宋体" w:hAnsi="宋体"/>
          <w:szCs w:val="24"/>
          <w:u w:val="single"/>
        </w:rPr>
        <w:t>广州市越秀区广仁路1号广仁大厦6楼（广东华伦招标有限公司开标室）</w:t>
      </w:r>
    </w:p>
    <w:p>
      <w:pPr>
        <w:pStyle w:val="4"/>
        <w:spacing w:before="0" w:after="0" w:line="360" w:lineRule="auto"/>
        <w:rPr>
          <w:rFonts w:ascii="宋体" w:hAnsi="宋体" w:cs="宋体"/>
          <w:b w:val="0"/>
          <w:sz w:val="24"/>
          <w:szCs w:val="24"/>
        </w:rPr>
      </w:pPr>
      <w:bookmarkStart w:id="38" w:name="_Toc56180227"/>
      <w:bookmarkStart w:id="39" w:name="_Toc55398631"/>
      <w:bookmarkStart w:id="40" w:name="_Toc28359007"/>
      <w:bookmarkStart w:id="41" w:name="_Toc35393794"/>
      <w:bookmarkStart w:id="42" w:name="_Toc35393625"/>
      <w:bookmarkStart w:id="43" w:name="_Toc28359084"/>
      <w:r>
        <w:rPr>
          <w:rFonts w:hint="eastAsia" w:ascii="宋体" w:hAnsi="宋体" w:cs="宋体"/>
          <w:sz w:val="24"/>
          <w:szCs w:val="24"/>
        </w:rPr>
        <w:t>五、</w:t>
      </w:r>
      <w:r>
        <w:rPr>
          <w:rFonts w:hint="eastAsia" w:ascii="宋体" w:hAnsi="宋体" w:cs="宋体"/>
          <w:b w:val="0"/>
          <w:sz w:val="24"/>
          <w:szCs w:val="24"/>
        </w:rPr>
        <w:t>开启</w:t>
      </w:r>
      <w:bookmarkEnd w:id="38"/>
      <w:bookmarkEnd w:id="39"/>
    </w:p>
    <w:p>
      <w:pPr>
        <w:ind w:firstLine="480" w:firstLineChars="200"/>
        <w:rPr>
          <w:rFonts w:ascii="宋体" w:hAnsi="宋体"/>
          <w:bCs/>
          <w:szCs w:val="24"/>
          <w:u w:val="single"/>
        </w:rPr>
      </w:pPr>
      <w:r>
        <w:rPr>
          <w:rFonts w:hint="eastAsia" w:ascii="宋体" w:hAnsi="宋体"/>
          <w:szCs w:val="24"/>
        </w:rPr>
        <w:t>时间：</w:t>
      </w:r>
      <w:r>
        <w:rPr>
          <w:rFonts w:hint="eastAsia" w:ascii="宋体" w:hAnsi="宋体"/>
          <w:szCs w:val="24"/>
          <w:u w:val="single"/>
        </w:rPr>
        <w:t>2026</w:t>
      </w:r>
      <w:r>
        <w:rPr>
          <w:rFonts w:hint="eastAsia" w:ascii="宋体" w:hAnsi="宋体"/>
          <w:bCs/>
          <w:szCs w:val="24"/>
          <w:u w:val="single"/>
        </w:rPr>
        <w:t>年</w:t>
      </w:r>
      <w:r>
        <w:rPr>
          <w:rFonts w:hint="default" w:ascii="宋体" w:hAnsi="宋体"/>
          <w:bCs/>
          <w:szCs w:val="24"/>
          <w:u w:val="single"/>
          <w:lang w:val="en-US"/>
        </w:rPr>
        <w:t>2</w:t>
      </w:r>
      <w:r>
        <w:rPr>
          <w:rFonts w:hint="eastAsia" w:ascii="宋体" w:hAnsi="宋体"/>
          <w:bCs/>
          <w:szCs w:val="24"/>
          <w:u w:val="single"/>
        </w:rPr>
        <w:t>月</w:t>
      </w:r>
      <w:r>
        <w:rPr>
          <w:rFonts w:hint="default" w:ascii="宋体" w:hAnsi="宋体"/>
          <w:bCs/>
          <w:szCs w:val="24"/>
          <w:u w:val="single"/>
          <w:lang w:val="en-US"/>
        </w:rPr>
        <w:t>2</w:t>
      </w:r>
      <w:r>
        <w:rPr>
          <w:rFonts w:hint="eastAsia" w:ascii="宋体" w:hAnsi="宋体"/>
          <w:bCs/>
          <w:szCs w:val="24"/>
          <w:u w:val="single"/>
        </w:rPr>
        <w:t>日</w:t>
      </w:r>
      <w:r>
        <w:rPr>
          <w:rFonts w:hint="default" w:ascii="宋体" w:hAnsi="宋体"/>
          <w:bCs/>
          <w:szCs w:val="24"/>
          <w:u w:val="single"/>
          <w:lang w:val="en-US"/>
        </w:rPr>
        <w:t>14</w:t>
      </w:r>
      <w:r>
        <w:rPr>
          <w:rFonts w:hint="eastAsia" w:ascii="宋体" w:hAnsi="宋体"/>
          <w:bCs/>
          <w:szCs w:val="24"/>
          <w:u w:val="single"/>
        </w:rPr>
        <w:t>点</w:t>
      </w:r>
      <w:r>
        <w:rPr>
          <w:rFonts w:hint="default" w:ascii="宋体" w:hAnsi="宋体"/>
          <w:bCs/>
          <w:szCs w:val="24"/>
          <w:u w:val="single"/>
          <w:lang w:val="en-US"/>
        </w:rPr>
        <w:t>30</w:t>
      </w:r>
      <w:r>
        <w:rPr>
          <w:rFonts w:hint="eastAsia" w:ascii="宋体" w:hAnsi="宋体"/>
          <w:bCs/>
          <w:szCs w:val="24"/>
          <w:u w:val="single"/>
        </w:rPr>
        <w:t>分</w:t>
      </w:r>
      <w:r>
        <w:rPr>
          <w:rFonts w:hint="eastAsia" w:ascii="宋体" w:hAnsi="宋体"/>
          <w:bCs/>
          <w:szCs w:val="24"/>
        </w:rPr>
        <w:t>（北京时间）</w:t>
      </w:r>
    </w:p>
    <w:p>
      <w:pPr>
        <w:ind w:firstLine="480" w:firstLineChars="200"/>
        <w:rPr>
          <w:rFonts w:ascii="宋体" w:hAnsi="宋体"/>
          <w:szCs w:val="24"/>
          <w:u w:val="single"/>
        </w:rPr>
      </w:pPr>
      <w:r>
        <w:rPr>
          <w:rFonts w:hint="eastAsia" w:ascii="宋体" w:hAnsi="宋体"/>
          <w:szCs w:val="24"/>
        </w:rPr>
        <w:t>地点：</w:t>
      </w:r>
      <w:r>
        <w:rPr>
          <w:rFonts w:hint="eastAsia" w:ascii="宋体" w:hAnsi="宋体"/>
          <w:szCs w:val="24"/>
          <w:u w:val="single"/>
        </w:rPr>
        <w:t>广州市越秀区广仁路1号广仁大厦6楼（广东华伦招标有限公司）</w:t>
      </w:r>
    </w:p>
    <w:p>
      <w:pPr>
        <w:wordWrap/>
        <w:ind w:firstLine="480" w:firstLineChars="200"/>
        <w:rPr>
          <w:rFonts w:ascii="宋体" w:hAnsi="宋体"/>
          <w:szCs w:val="24"/>
          <w:u w:val="single"/>
        </w:rPr>
      </w:pPr>
      <w:r>
        <w:rPr>
          <w:rFonts w:hint="eastAsia" w:ascii="宋体" w:hAnsi="宋体"/>
          <w:bCs/>
          <w:szCs w:val="24"/>
        </w:rPr>
        <w:t>详见磋商公告及其变更公告（如有）。</w:t>
      </w:r>
    </w:p>
    <w:p>
      <w:pPr>
        <w:pStyle w:val="4"/>
        <w:spacing w:before="0" w:after="0" w:line="360" w:lineRule="auto"/>
        <w:rPr>
          <w:rFonts w:ascii="宋体" w:hAnsi="宋体" w:cs="宋体"/>
          <w:sz w:val="24"/>
          <w:szCs w:val="24"/>
        </w:rPr>
      </w:pPr>
      <w:bookmarkStart w:id="44" w:name="_Toc55398632"/>
      <w:bookmarkStart w:id="45" w:name="_Toc56180228"/>
      <w:r>
        <w:rPr>
          <w:rFonts w:hint="eastAsia" w:ascii="宋体" w:hAnsi="宋体" w:cs="宋体"/>
          <w:sz w:val="24"/>
          <w:szCs w:val="24"/>
        </w:rPr>
        <w:t>六、公告期限</w:t>
      </w:r>
      <w:bookmarkEnd w:id="40"/>
      <w:bookmarkEnd w:id="41"/>
      <w:bookmarkEnd w:id="42"/>
      <w:bookmarkEnd w:id="43"/>
      <w:bookmarkEnd w:id="44"/>
      <w:bookmarkEnd w:id="45"/>
    </w:p>
    <w:p>
      <w:pPr>
        <w:ind w:firstLine="480" w:firstLineChars="200"/>
        <w:rPr>
          <w:rFonts w:ascii="宋体" w:hAnsi="宋体" w:cs="宋体"/>
          <w:kern w:val="0"/>
          <w:szCs w:val="24"/>
        </w:rPr>
      </w:pPr>
      <w:r>
        <w:rPr>
          <w:rFonts w:hint="eastAsia" w:ascii="宋体" w:hAnsi="宋体" w:cs="宋体"/>
          <w:kern w:val="0"/>
          <w:szCs w:val="24"/>
        </w:rPr>
        <w:t>自本公告发布之日起3个工作日。</w:t>
      </w:r>
    </w:p>
    <w:p>
      <w:pPr>
        <w:pStyle w:val="4"/>
        <w:spacing w:before="0" w:after="0" w:line="360" w:lineRule="auto"/>
        <w:rPr>
          <w:rFonts w:ascii="宋体" w:hAnsi="宋体" w:cs="宋体"/>
          <w:sz w:val="24"/>
          <w:szCs w:val="24"/>
        </w:rPr>
      </w:pPr>
      <w:bookmarkStart w:id="46" w:name="_Toc55398633"/>
      <w:bookmarkStart w:id="47" w:name="_Toc35393795"/>
      <w:bookmarkStart w:id="48" w:name="_Toc35393626"/>
      <w:bookmarkStart w:id="49" w:name="_Toc56180229"/>
      <w:r>
        <w:rPr>
          <w:rFonts w:hint="eastAsia" w:ascii="宋体" w:hAnsi="宋体" w:cs="宋体"/>
          <w:sz w:val="24"/>
          <w:szCs w:val="24"/>
        </w:rPr>
        <w:t>七、其他补充事宜</w:t>
      </w:r>
      <w:bookmarkEnd w:id="46"/>
      <w:bookmarkEnd w:id="47"/>
      <w:bookmarkEnd w:id="48"/>
      <w:bookmarkEnd w:id="49"/>
    </w:p>
    <w:p>
      <w:pPr>
        <w:pStyle w:val="2"/>
        <w:tabs>
          <w:tab w:val="left" w:pos="7238"/>
          <w:tab w:val="left" w:pos="8393"/>
        </w:tabs>
        <w:ind w:firstLine="600" w:firstLineChars="250"/>
        <w:rPr>
          <w:rFonts w:hAnsi="宋体"/>
          <w:szCs w:val="24"/>
        </w:rPr>
      </w:pPr>
      <w:r>
        <w:rPr>
          <w:rFonts w:hint="eastAsia" w:hAnsi="宋体"/>
          <w:szCs w:val="24"/>
        </w:rPr>
        <w:t>我公司可提供纸质竞争性磋商文件和购买磋商文件的电子发票。有需要的供应商成功获取网上磋商文件后，可在规定的获取磋商文件时间段内到我公司现场（广州市广仁路1号广仁大厦7楼）领取纸质磋商文件，购买磋商文件的电子发票将以短信方式发送到供应商在我公司平台的预留手机号码。联系人：华伦前台，联系电话：020-83172166转0。磋商文件一经售出，概不退还。</w:t>
      </w:r>
    </w:p>
    <w:p>
      <w:pPr>
        <w:pStyle w:val="4"/>
        <w:spacing w:before="0" w:after="0" w:line="360" w:lineRule="auto"/>
        <w:rPr>
          <w:rFonts w:ascii="宋体" w:hAnsi="宋体" w:cs="宋体"/>
          <w:sz w:val="24"/>
          <w:szCs w:val="24"/>
        </w:rPr>
      </w:pPr>
      <w:bookmarkStart w:id="50" w:name="_Toc56180230"/>
      <w:bookmarkStart w:id="51" w:name="_Toc28359085"/>
      <w:bookmarkStart w:id="52" w:name="_Toc55398634"/>
      <w:bookmarkStart w:id="53" w:name="_Toc35393627"/>
      <w:bookmarkStart w:id="54" w:name="_Toc28359008"/>
      <w:bookmarkStart w:id="55" w:name="_Toc35393796"/>
      <w:r>
        <w:rPr>
          <w:rFonts w:hint="eastAsia" w:ascii="宋体" w:hAnsi="宋体" w:cs="宋体"/>
          <w:sz w:val="24"/>
          <w:szCs w:val="24"/>
        </w:rPr>
        <w:t>八、凡对本次采购提出询问，请按</w:t>
      </w:r>
      <w:r>
        <w:rPr>
          <w:rFonts w:ascii="宋体" w:hAnsi="宋体" w:cs="宋体"/>
          <w:sz w:val="24"/>
          <w:szCs w:val="24"/>
        </w:rPr>
        <w:t>以下方式</w:t>
      </w:r>
      <w:r>
        <w:rPr>
          <w:rFonts w:hint="eastAsia" w:ascii="宋体" w:hAnsi="宋体" w:cs="宋体"/>
          <w:sz w:val="24"/>
          <w:szCs w:val="24"/>
        </w:rPr>
        <w:t>联系。</w:t>
      </w:r>
      <w:bookmarkEnd w:id="50"/>
      <w:bookmarkEnd w:id="51"/>
      <w:bookmarkEnd w:id="52"/>
      <w:bookmarkEnd w:id="53"/>
      <w:bookmarkEnd w:id="54"/>
      <w:bookmarkEnd w:id="55"/>
    </w:p>
    <w:p>
      <w:pPr>
        <w:widowControl/>
        <w:jc w:val="left"/>
        <w:rPr>
          <w:rFonts w:ascii="宋体" w:hAnsi="宋体"/>
          <w:szCs w:val="24"/>
        </w:rPr>
      </w:pPr>
      <w:r>
        <w:rPr>
          <w:rFonts w:hint="eastAsia" w:ascii="宋体" w:hAnsi="宋体" w:cs="宋体"/>
          <w:szCs w:val="24"/>
        </w:rPr>
        <w:t>　　　1.采购人信息</w:t>
      </w:r>
    </w:p>
    <w:p>
      <w:pPr>
        <w:ind w:firstLine="720" w:firstLineChars="300"/>
        <w:jc w:val="left"/>
        <w:rPr>
          <w:rFonts w:ascii="宋体" w:hAnsi="宋体"/>
          <w:szCs w:val="24"/>
        </w:rPr>
      </w:pPr>
      <w:r>
        <w:rPr>
          <w:rFonts w:hint="eastAsia" w:ascii="宋体" w:hAnsi="宋体"/>
          <w:szCs w:val="24"/>
        </w:rPr>
        <w:t>名 称：</w:t>
      </w:r>
      <w:r>
        <w:rPr>
          <w:rFonts w:hint="eastAsia" w:ascii="宋体" w:hAnsi="宋体"/>
          <w:szCs w:val="24"/>
          <w:u w:val="single"/>
        </w:rPr>
        <w:t>中华人民共和国广州白云机场海关</w:t>
      </w:r>
    </w:p>
    <w:p>
      <w:pPr>
        <w:ind w:firstLine="720" w:firstLineChars="300"/>
        <w:jc w:val="left"/>
        <w:rPr>
          <w:rFonts w:ascii="宋体" w:hAnsi="宋体"/>
          <w:szCs w:val="24"/>
        </w:rPr>
      </w:pPr>
      <w:r>
        <w:rPr>
          <w:rFonts w:hint="eastAsia" w:ascii="宋体" w:hAnsi="宋体"/>
          <w:szCs w:val="24"/>
        </w:rPr>
        <w:t>地址：</w:t>
      </w:r>
      <w:r>
        <w:rPr>
          <w:rFonts w:hint="eastAsia" w:ascii="宋体" w:hAnsi="宋体"/>
          <w:szCs w:val="24"/>
          <w:u w:val="single"/>
        </w:rPr>
        <w:t>广州市白云区人和镇广州白云国际机场空港四路横一路</w:t>
      </w:r>
    </w:p>
    <w:p>
      <w:pPr>
        <w:ind w:firstLine="720" w:firstLineChars="300"/>
        <w:jc w:val="left"/>
        <w:rPr>
          <w:rFonts w:ascii="宋体" w:hAnsi="宋体"/>
          <w:szCs w:val="24"/>
          <w:u w:val="single"/>
        </w:rPr>
      </w:pPr>
      <w:r>
        <w:rPr>
          <w:rFonts w:hint="eastAsia" w:ascii="宋体" w:hAnsi="宋体"/>
          <w:szCs w:val="24"/>
        </w:rPr>
        <w:t>联系方式：</w:t>
      </w:r>
      <w:r>
        <w:rPr>
          <w:rFonts w:hint="eastAsia" w:ascii="宋体" w:hAnsi="宋体"/>
          <w:szCs w:val="24"/>
          <w:u w:val="single"/>
        </w:rPr>
        <w:t>何小姐，020-</w:t>
      </w:r>
      <w:bookmarkStart w:id="56" w:name="_Toc28359086"/>
      <w:bookmarkStart w:id="57" w:name="_Toc28359009"/>
      <w:r>
        <w:rPr>
          <w:rFonts w:ascii="宋体" w:hAnsi="宋体"/>
          <w:szCs w:val="24"/>
          <w:u w:val="single"/>
        </w:rPr>
        <w:t>81135702</w:t>
      </w:r>
    </w:p>
    <w:p>
      <w:pPr>
        <w:ind w:firstLine="720" w:firstLineChars="300"/>
        <w:jc w:val="left"/>
        <w:rPr>
          <w:rFonts w:ascii="宋体" w:hAnsi="宋体"/>
          <w:szCs w:val="24"/>
        </w:rPr>
      </w:pPr>
      <w:r>
        <w:rPr>
          <w:rFonts w:hint="eastAsia" w:ascii="宋体" w:hAnsi="宋体" w:cs="宋体"/>
          <w:szCs w:val="24"/>
        </w:rPr>
        <w:t>2.采购代理机构信息</w:t>
      </w:r>
      <w:bookmarkEnd w:id="56"/>
      <w:bookmarkEnd w:id="57"/>
    </w:p>
    <w:p>
      <w:pPr>
        <w:ind w:firstLine="720" w:firstLineChars="300"/>
        <w:rPr>
          <w:rFonts w:ascii="宋体" w:hAnsi="宋体"/>
          <w:szCs w:val="24"/>
        </w:rPr>
      </w:pPr>
      <w:r>
        <w:rPr>
          <w:rFonts w:hint="eastAsia" w:ascii="宋体" w:hAnsi="宋体"/>
          <w:szCs w:val="24"/>
        </w:rPr>
        <w:t>名 称：</w:t>
      </w:r>
      <w:r>
        <w:rPr>
          <w:rFonts w:hint="eastAsia" w:ascii="宋体" w:hAnsi="宋体"/>
          <w:szCs w:val="24"/>
          <w:u w:val="single"/>
        </w:rPr>
        <w:t>广东华伦招标有限公司</w:t>
      </w:r>
      <w:r>
        <w:rPr>
          <w:rFonts w:hint="eastAsia" w:ascii="宋体" w:hAnsi="宋体"/>
          <w:szCs w:val="24"/>
          <w:u w:val="single"/>
        </w:rPr>
        <w:tab/>
      </w:r>
    </w:p>
    <w:p>
      <w:pPr>
        <w:ind w:firstLine="720" w:firstLineChars="300"/>
        <w:rPr>
          <w:rFonts w:ascii="宋体" w:hAnsi="宋体"/>
          <w:szCs w:val="24"/>
        </w:rPr>
      </w:pPr>
      <w:r>
        <w:rPr>
          <w:rFonts w:hint="eastAsia" w:ascii="宋体" w:hAnsi="宋体"/>
          <w:szCs w:val="24"/>
        </w:rPr>
        <w:t>地　址：</w:t>
      </w:r>
      <w:r>
        <w:rPr>
          <w:rFonts w:hint="eastAsia" w:ascii="宋体" w:hAnsi="宋体"/>
          <w:szCs w:val="24"/>
          <w:u w:val="single"/>
        </w:rPr>
        <w:t>广州市广仁路1号广仁大厦6、7层</w:t>
      </w:r>
    </w:p>
    <w:p>
      <w:pPr>
        <w:ind w:firstLine="720" w:firstLineChars="300"/>
        <w:rPr>
          <w:rFonts w:ascii="宋体" w:hAnsi="宋体"/>
          <w:szCs w:val="24"/>
        </w:rPr>
      </w:pPr>
      <w:r>
        <w:rPr>
          <w:rFonts w:hint="eastAsia" w:ascii="宋体" w:hAnsi="宋体"/>
          <w:szCs w:val="24"/>
        </w:rPr>
        <w:t>联系方式：</w:t>
      </w:r>
      <w:bookmarkStart w:id="58" w:name="OLE_LINK7"/>
      <w:bookmarkStart w:id="59" w:name="_Toc28359010"/>
      <w:bookmarkStart w:id="60" w:name="_Toc28359087"/>
      <w:r>
        <w:rPr>
          <w:rFonts w:hint="eastAsia" w:ascii="宋体" w:hAnsi="宋体"/>
          <w:szCs w:val="24"/>
          <w:u w:val="single"/>
        </w:rPr>
        <w:t>陈先生</w:t>
      </w:r>
      <w:bookmarkEnd w:id="58"/>
      <w:r>
        <w:rPr>
          <w:rFonts w:hint="eastAsia" w:ascii="宋体" w:hAnsi="宋体"/>
          <w:szCs w:val="24"/>
          <w:u w:val="single"/>
        </w:rPr>
        <w:t>，</w:t>
      </w:r>
      <w:bookmarkStart w:id="61" w:name="OLE_LINK8"/>
      <w:r>
        <w:rPr>
          <w:rFonts w:hint="eastAsia" w:ascii="宋体" w:hAnsi="宋体"/>
          <w:szCs w:val="24"/>
          <w:u w:val="single"/>
        </w:rPr>
        <w:t>020-83172166-822</w:t>
      </w:r>
      <w:bookmarkEnd w:id="61"/>
    </w:p>
    <w:p>
      <w:pPr>
        <w:ind w:firstLine="720" w:firstLineChars="300"/>
        <w:rPr>
          <w:rFonts w:ascii="宋体" w:hAnsi="宋体"/>
          <w:szCs w:val="24"/>
          <w:u w:val="single"/>
        </w:rPr>
      </w:pPr>
      <w:r>
        <w:rPr>
          <w:rFonts w:hint="eastAsia" w:ascii="宋体" w:hAnsi="宋体" w:cs="宋体"/>
          <w:szCs w:val="24"/>
        </w:rPr>
        <w:t>3.项目</w:t>
      </w:r>
      <w:r>
        <w:rPr>
          <w:rFonts w:ascii="宋体" w:hAnsi="宋体" w:cs="宋体"/>
          <w:szCs w:val="24"/>
        </w:rPr>
        <w:t>联系方式</w:t>
      </w:r>
      <w:bookmarkEnd w:id="59"/>
      <w:bookmarkEnd w:id="60"/>
    </w:p>
    <w:p>
      <w:pPr>
        <w:pStyle w:val="14"/>
        <w:ind w:firstLine="720" w:firstLineChars="300"/>
        <w:rPr>
          <w:rFonts w:hAnsi="宋体"/>
          <w:szCs w:val="24"/>
        </w:rPr>
      </w:pPr>
      <w:r>
        <w:rPr>
          <w:rFonts w:hint="eastAsia" w:hAnsi="宋体"/>
          <w:szCs w:val="24"/>
        </w:rPr>
        <w:t>项目联系人：</w:t>
      </w:r>
      <w:r>
        <w:rPr>
          <w:rFonts w:hint="eastAsia" w:hAnsi="宋体"/>
          <w:szCs w:val="24"/>
          <w:u w:val="single"/>
        </w:rPr>
        <w:t>陈先生</w:t>
      </w:r>
    </w:p>
    <w:p>
      <w:pPr>
        <w:ind w:firstLine="720" w:firstLineChars="300"/>
        <w:rPr>
          <w:rFonts w:ascii="宋体" w:hAnsi="宋体"/>
          <w:szCs w:val="24"/>
          <w:u w:val="single"/>
        </w:rPr>
      </w:pPr>
      <w:r>
        <w:rPr>
          <w:rFonts w:hint="eastAsia" w:ascii="宋体" w:hAnsi="宋体"/>
          <w:szCs w:val="24"/>
        </w:rPr>
        <w:t>电　话：</w:t>
      </w:r>
      <w:r>
        <w:rPr>
          <w:rFonts w:hint="eastAsia" w:ascii="宋体" w:hAnsi="宋体"/>
          <w:szCs w:val="24"/>
          <w:u w:val="single"/>
        </w:rPr>
        <w:t>020-83172166-822</w:t>
      </w:r>
    </w:p>
    <w:p>
      <w:pPr>
        <w:ind w:firstLine="6480" w:firstLineChars="2700"/>
        <w:jc w:val="center"/>
        <w:rPr>
          <w:rFonts w:ascii="宋体" w:hAnsi="宋体"/>
          <w:szCs w:val="24"/>
        </w:rPr>
      </w:pPr>
    </w:p>
    <w:p>
      <w:pPr>
        <w:rPr>
          <w:rFonts w:ascii="宋体" w:hAnsi="宋体"/>
          <w:szCs w:val="24"/>
        </w:rPr>
      </w:pPr>
      <w:r>
        <w:rPr>
          <w:rFonts w:ascii="宋体" w:hAnsi="宋体"/>
          <w:szCs w:val="24"/>
        </w:rPr>
        <w:br w:type="page"/>
      </w: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pStyle w:val="3"/>
        <w:numPr>
          <w:ilvl w:val="0"/>
          <w:numId w:val="3"/>
        </w:numPr>
        <w:spacing w:before="0" w:after="0" w:line="360" w:lineRule="auto"/>
        <w:ind w:left="0" w:firstLine="0"/>
        <w:jc w:val="center"/>
        <w:rPr>
          <w:rFonts w:ascii="宋体" w:hAnsi="宋体"/>
          <w:kern w:val="0"/>
          <w:sz w:val="36"/>
          <w:szCs w:val="36"/>
        </w:rPr>
      </w:pPr>
      <w:bookmarkStart w:id="62" w:name="_Toc22806091"/>
      <w:r>
        <w:rPr>
          <w:rFonts w:hint="eastAsia" w:ascii="宋体" w:hAnsi="宋体"/>
          <w:kern w:val="0"/>
          <w:sz w:val="36"/>
          <w:szCs w:val="36"/>
        </w:rPr>
        <w:t xml:space="preserve">  </w:t>
      </w:r>
      <w:bookmarkStart w:id="63" w:name="_Toc56180231"/>
      <w:r>
        <w:rPr>
          <w:rFonts w:hint="eastAsia" w:ascii="宋体" w:hAnsi="宋体"/>
          <w:kern w:val="0"/>
          <w:sz w:val="36"/>
          <w:szCs w:val="36"/>
        </w:rPr>
        <w:t>采购需求</w:t>
      </w:r>
      <w:bookmarkEnd w:id="62"/>
      <w:bookmarkEnd w:id="63"/>
    </w:p>
    <w:p>
      <w:pPr>
        <w:jc w:val="center"/>
        <w:rPr>
          <w:rFonts w:ascii="宋体" w:hAnsi="宋体"/>
          <w:b/>
          <w:sz w:val="32"/>
          <w:szCs w:val="32"/>
        </w:rPr>
      </w:pPr>
      <w:r>
        <w:rPr>
          <w:rFonts w:ascii="宋体" w:hAnsi="宋体"/>
          <w:szCs w:val="24"/>
        </w:rPr>
        <w:br w:type="page"/>
      </w:r>
      <w:r>
        <w:rPr>
          <w:rFonts w:hint="eastAsia" w:ascii="宋体" w:hAnsi="宋体"/>
          <w:b/>
          <w:sz w:val="32"/>
          <w:szCs w:val="32"/>
        </w:rPr>
        <w:t>采购需求</w:t>
      </w:r>
    </w:p>
    <w:p>
      <w:pPr>
        <w:pStyle w:val="4"/>
        <w:wordWrap/>
        <w:spacing w:before="0" w:after="0" w:line="360" w:lineRule="auto"/>
        <w:rPr>
          <w:rFonts w:ascii="宋体" w:hAnsi="宋体" w:cs="宋体"/>
          <w:sz w:val="24"/>
          <w:szCs w:val="24"/>
        </w:rPr>
      </w:pPr>
      <w:bookmarkStart w:id="64" w:name="_Toc54335356"/>
      <w:bookmarkStart w:id="65" w:name="_Toc22806092"/>
      <w:r>
        <w:rPr>
          <w:rFonts w:hint="eastAsia" w:ascii="宋体" w:hAnsi="宋体" w:cs="宋体"/>
          <w:sz w:val="24"/>
          <w:szCs w:val="24"/>
        </w:rPr>
        <w:t>项目说明</w:t>
      </w:r>
    </w:p>
    <w:p>
      <w:pPr>
        <w:numPr>
          <w:ilvl w:val="0"/>
          <w:numId w:val="5"/>
        </w:numPr>
        <w:wordWrap/>
        <w:ind w:left="0" w:firstLine="0"/>
        <w:rPr>
          <w:rFonts w:ascii="宋体" w:hAnsi="宋体" w:cs="宋体"/>
          <w:szCs w:val="24"/>
        </w:rPr>
      </w:pPr>
      <w:r>
        <w:rPr>
          <w:rFonts w:hint="eastAsia" w:ascii="宋体" w:hAnsi="宋体" w:cs="宋体"/>
          <w:szCs w:val="24"/>
        </w:rPr>
        <w:t>本采购需求中标注符号的说明</w:t>
      </w:r>
    </w:p>
    <w:p>
      <w:pPr>
        <w:numPr>
          <w:ilvl w:val="0"/>
          <w:numId w:val="6"/>
        </w:numPr>
        <w:wordWrap/>
        <w:ind w:left="240" w:hanging="240" w:hangingChars="100"/>
        <w:rPr>
          <w:rFonts w:ascii="宋体" w:hAnsi="宋体" w:cs="宋体"/>
          <w:szCs w:val="24"/>
        </w:rPr>
      </w:pPr>
      <w:r>
        <w:rPr>
          <w:rFonts w:hint="eastAsia" w:ascii="宋体" w:hAnsi="宋体" w:cs="宋体"/>
          <w:szCs w:val="24"/>
        </w:rPr>
        <w:t>凡标记“★”号的条款（如有）为必须实质性响应的要求，供应商任何负偏离（不满足要求）或不响应均导致其响应无效。</w:t>
      </w:r>
    </w:p>
    <w:p>
      <w:pPr>
        <w:numPr>
          <w:ilvl w:val="0"/>
          <w:numId w:val="6"/>
        </w:numPr>
        <w:wordWrap/>
        <w:ind w:left="240" w:hanging="240" w:hangingChars="100"/>
        <w:rPr>
          <w:rFonts w:ascii="宋体" w:hAnsi="宋体" w:cs="宋体"/>
          <w:szCs w:val="24"/>
        </w:rPr>
      </w:pPr>
      <w:r>
        <w:rPr>
          <w:rFonts w:hint="eastAsia" w:ascii="宋体" w:hAnsi="宋体" w:cs="宋体"/>
          <w:szCs w:val="24"/>
        </w:rPr>
        <w:t>凡标记“▲”号的条款（如有）为重要的要求，供应商任何负偏离（不满足要求）或不响应不导致其投响应无效，但可能对其评审产生重大的影响。</w:t>
      </w:r>
    </w:p>
    <w:p>
      <w:pPr>
        <w:numPr>
          <w:ilvl w:val="0"/>
          <w:numId w:val="5"/>
        </w:numPr>
        <w:wordWrap/>
        <w:ind w:left="0" w:firstLine="0"/>
        <w:rPr>
          <w:rFonts w:ascii="宋体" w:hAnsi="宋体" w:cs="宋体"/>
          <w:szCs w:val="24"/>
        </w:rPr>
      </w:pPr>
      <w:r>
        <w:rPr>
          <w:rFonts w:hint="eastAsia" w:ascii="宋体" w:hAnsi="宋体" w:cs="宋体"/>
          <w:szCs w:val="24"/>
        </w:rPr>
        <w:t>项目名称：2026-2027年广州白云机场海关南1、2号楼物业管理服务。</w:t>
      </w:r>
    </w:p>
    <w:p>
      <w:pPr>
        <w:numPr>
          <w:ilvl w:val="0"/>
          <w:numId w:val="5"/>
        </w:numPr>
        <w:wordWrap/>
        <w:ind w:left="0" w:firstLine="0"/>
        <w:rPr>
          <w:rFonts w:ascii="宋体" w:hAnsi="宋体" w:cs="宋体"/>
          <w:szCs w:val="24"/>
        </w:rPr>
      </w:pPr>
      <w:r>
        <w:rPr>
          <w:rFonts w:hint="eastAsia" w:ascii="宋体" w:hAnsi="宋体" w:cs="宋体"/>
          <w:szCs w:val="24"/>
        </w:rPr>
        <w:t>项目属性：本项目为</w:t>
      </w:r>
      <w:r>
        <w:rPr>
          <w:rFonts w:hint="eastAsia" w:ascii="宋体" w:hAnsi="宋体"/>
          <w:szCs w:val="24"/>
        </w:rPr>
        <w:t>服务类</w:t>
      </w:r>
      <w:r>
        <w:rPr>
          <w:rFonts w:hint="eastAsia" w:ascii="宋体" w:hAnsi="宋体" w:cs="宋体"/>
          <w:szCs w:val="24"/>
        </w:rPr>
        <w:t>采购项目。</w:t>
      </w:r>
    </w:p>
    <w:p>
      <w:pPr>
        <w:numPr>
          <w:ilvl w:val="0"/>
          <w:numId w:val="5"/>
        </w:numPr>
        <w:wordWrap/>
        <w:ind w:left="0" w:firstLine="0"/>
        <w:rPr>
          <w:rFonts w:ascii="宋体" w:hAnsi="宋体" w:cs="宋体"/>
          <w:szCs w:val="24"/>
        </w:rPr>
      </w:pPr>
      <w:r>
        <w:rPr>
          <w:rFonts w:hint="eastAsia" w:ascii="宋体" w:hAnsi="宋体" w:cs="宋体"/>
          <w:szCs w:val="24"/>
        </w:rPr>
        <w:t>根据《关于印发中小企业划型标准规定的通知》（工信部联企业〔2011〕300号）规定，本项目采购标的对应的中小企业划分标准所属行业为：</w:t>
      </w:r>
      <w:r>
        <w:rPr>
          <w:rFonts w:hint="eastAsia" w:ascii="宋体" w:hAnsi="宋体" w:cs="宋体"/>
          <w:szCs w:val="24"/>
          <w:u w:val="single"/>
        </w:rPr>
        <w:t xml:space="preserve">  物业管理 </w:t>
      </w:r>
      <w:r>
        <w:rPr>
          <w:rFonts w:hint="eastAsia" w:ascii="宋体" w:hAnsi="宋体" w:cs="宋体"/>
          <w:szCs w:val="24"/>
        </w:rPr>
        <w:t xml:space="preserve">  。</w:t>
      </w:r>
    </w:p>
    <w:p>
      <w:pPr>
        <w:numPr>
          <w:ilvl w:val="0"/>
          <w:numId w:val="5"/>
        </w:numPr>
        <w:wordWrap/>
        <w:ind w:left="0" w:firstLine="0"/>
        <w:rPr>
          <w:rFonts w:ascii="宋体" w:hAnsi="宋体" w:cs="宋体"/>
          <w:iCs/>
          <w:szCs w:val="24"/>
        </w:rPr>
      </w:pPr>
      <w:r>
        <w:rPr>
          <w:rFonts w:hint="eastAsia" w:ascii="宋体" w:hAnsi="宋体" w:cs="宋体"/>
          <w:iCs/>
          <w:szCs w:val="24"/>
        </w:rPr>
        <w:t>本项目（采购包）不属于专门面向中小微企业预留采购份额的项目（采购包）。原因：</w:t>
      </w:r>
      <w:r>
        <w:rPr>
          <w:rFonts w:hint="eastAsia" w:ascii="宋体" w:hAnsi="宋体" w:cs="宋体"/>
          <w:iCs/>
          <w:szCs w:val="24"/>
          <w:u w:val="single"/>
        </w:rPr>
        <w:t>预留采购份额无法确保充分供应、充分竞争，或者存在可能影响政府采购目标实现的情形。</w:t>
      </w:r>
    </w:p>
    <w:p>
      <w:pPr>
        <w:numPr>
          <w:ilvl w:val="0"/>
          <w:numId w:val="5"/>
        </w:numPr>
        <w:wordWrap/>
        <w:ind w:left="0" w:firstLine="0"/>
        <w:rPr>
          <w:rFonts w:ascii="宋体" w:hAnsi="宋体" w:cs="宋体"/>
          <w:szCs w:val="24"/>
        </w:rPr>
      </w:pPr>
      <w:r>
        <w:rPr>
          <w:rFonts w:hint="eastAsia" w:ascii="宋体" w:hAnsi="宋体" w:cs="宋体"/>
          <w:szCs w:val="24"/>
        </w:rPr>
        <w:t>需要落实的政府采购政策：《政府采购促进中小企业发展管理办法》的通知（财库[2020]46号）、《关于政府采购支持监狱企业发展有关问题的通知》（财库〔2014〕68号）、《关于促进残疾人就业政府采购政策的通知》（财库〔2017〕141号）、《关于环境标志产品政府采购实施的意见》（财库[2006]90号）、《节能产品政府采购实施意见》（财库［2004］185号）、《关于调整优化节能产品、环境标志产品政府采购执行机制的通知》（财库〔2019〕9号）、《关于印发节能产品政府采购品目清单的通知》（财库〔2019〕19号）、《关于印发环境标志产品政府采购品目清单的通知》（财库〔2019〕18号）、《商品包装政府采购需求标准（试行）》及《快递包装政府采购需求标准（试行）》（财办库〔2020〕123号）等。</w:t>
      </w:r>
    </w:p>
    <w:p>
      <w:pPr>
        <w:numPr>
          <w:ilvl w:val="0"/>
          <w:numId w:val="5"/>
        </w:numPr>
        <w:wordWrap/>
        <w:ind w:left="0" w:firstLine="0"/>
        <w:rPr>
          <w:rFonts w:ascii="宋体" w:hAnsi="宋体" w:cs="宋体"/>
          <w:szCs w:val="24"/>
        </w:rPr>
      </w:pPr>
      <w:r>
        <w:rPr>
          <w:rFonts w:hint="eastAsia" w:ascii="宋体" w:hAnsi="宋体" w:cs="宋体"/>
          <w:szCs w:val="24"/>
        </w:rPr>
        <w:t>★本项目要求响应报价（含分项/单价报价，如有要求）确定且未超过采购文件中相应的预算金额或者最高限价。</w:t>
      </w:r>
    </w:p>
    <w:p>
      <w:pPr>
        <w:numPr>
          <w:ilvl w:val="0"/>
          <w:numId w:val="5"/>
        </w:numPr>
        <w:wordWrap/>
        <w:ind w:left="0" w:firstLine="0"/>
        <w:rPr>
          <w:rFonts w:ascii="宋体" w:hAnsi="宋体" w:cs="宋体"/>
          <w:szCs w:val="24"/>
        </w:rPr>
      </w:pPr>
      <w:r>
        <w:rPr>
          <w:rFonts w:hint="eastAsia" w:ascii="宋体" w:hAnsi="宋体" w:cs="宋体"/>
          <w:szCs w:val="24"/>
        </w:rPr>
        <w:t>响应供应商须对本项目（有划分采购包的，则以采购包为单位）进行整体响应，任何只对其中一部分内容进行的响应都被视为无效响应。</w:t>
      </w:r>
    </w:p>
    <w:p>
      <w:pPr>
        <w:numPr>
          <w:ilvl w:val="0"/>
          <w:numId w:val="5"/>
        </w:numPr>
        <w:wordWrap/>
        <w:ind w:left="0" w:firstLine="0"/>
        <w:rPr>
          <w:rFonts w:ascii="宋体" w:hAnsi="宋体" w:cs="宋体"/>
          <w:iCs/>
          <w:szCs w:val="24"/>
        </w:rPr>
      </w:pPr>
      <w:r>
        <w:rPr>
          <w:rFonts w:hint="eastAsia" w:ascii="宋体" w:hAnsi="宋体" w:cs="宋体"/>
          <w:iCs/>
          <w:szCs w:val="24"/>
        </w:rPr>
        <w:t>★采购文件第五部分中的“拟签订的合同文本”的合同条款内容均为不可偏离条款内容，任何负偏离响应将导致响应无效，请供应商谨慎响应。</w:t>
      </w:r>
      <w:bookmarkEnd w:id="64"/>
      <w:bookmarkEnd w:id="65"/>
    </w:p>
    <w:p>
      <w:pPr>
        <w:pStyle w:val="2"/>
      </w:pPr>
    </w:p>
    <w:p>
      <w:pPr>
        <w:pStyle w:val="2"/>
      </w:pPr>
    </w:p>
    <w:p>
      <w:pPr>
        <w:pStyle w:val="2"/>
        <w:rPr>
          <w:b/>
        </w:rPr>
      </w:pPr>
      <w:r>
        <w:rPr>
          <w:rFonts w:hint="eastAsia"/>
          <w:b/>
        </w:rPr>
        <w:t>一、技术/服务要求</w:t>
      </w:r>
    </w:p>
    <w:p>
      <w:pPr>
        <w:rPr>
          <w:b/>
        </w:rPr>
      </w:pPr>
      <w:r>
        <w:rPr>
          <w:rFonts w:hint="eastAsia"/>
          <w:b/>
        </w:rPr>
        <w:t>（一）总体要求</w:t>
      </w:r>
    </w:p>
    <w:p>
      <w:pPr>
        <w:ind w:firstLine="480" w:firstLineChars="200"/>
      </w:pPr>
      <w:r>
        <w:rPr>
          <w:rFonts w:hint="eastAsia"/>
        </w:rPr>
        <w:t>1.供应商须具有良好的社会信誉，注重职业道德及行为规范，牢固树立“服务第一”的宗旨，积极主动配合采购人做好各项物业服务工作。</w:t>
      </w:r>
    </w:p>
    <w:p>
      <w:pPr>
        <w:ind w:firstLine="480" w:firstLineChars="200"/>
      </w:pPr>
      <w:r>
        <w:rPr>
          <w:rFonts w:hint="eastAsia"/>
        </w:rPr>
        <w:t>2.未经采购人书面同意，供应商不得将本物业的服务责任转让给第三方，不得分包、转包、外委采购人委托的任何服务事宜。</w:t>
      </w:r>
    </w:p>
    <w:p>
      <w:pPr>
        <w:ind w:firstLine="480" w:firstLineChars="200"/>
      </w:pPr>
      <w:r>
        <w:rPr>
          <w:rFonts w:hint="eastAsia"/>
        </w:rPr>
        <w:t>3.采购人对岗位设置、人员选用与日常管理具有监督权和协调权，供应商应遵从采购人的意见。</w:t>
      </w:r>
    </w:p>
    <w:p>
      <w:pPr>
        <w:ind w:firstLine="480" w:firstLineChars="200"/>
      </w:pPr>
      <w:r>
        <w:rPr>
          <w:rFonts w:hint="eastAsia"/>
        </w:rPr>
        <w:t>4.供应商在日常物业服务过程中对无法解决的问题，或物业设施需要请专业维保公司维修、保养的问题应及时向采购人反映，并请求采购人协助解决。属日常例行维护的，需做好相关登记，并及时告知采购人。</w:t>
      </w:r>
    </w:p>
    <w:p>
      <w:pPr>
        <w:ind w:firstLine="480" w:firstLineChars="200"/>
      </w:pPr>
      <w:r>
        <w:rPr>
          <w:rFonts w:hint="eastAsia"/>
        </w:rPr>
        <w:t>5.供应商物业管理服务的组织机构需完整。</w:t>
      </w:r>
    </w:p>
    <w:p>
      <w:pPr>
        <w:ind w:firstLine="480" w:firstLineChars="200"/>
      </w:pPr>
      <w:r>
        <w:rPr>
          <w:rFonts w:hint="eastAsia"/>
        </w:rPr>
        <w:t>6.供应商应按照《中华人民共和国劳动法》的相关规定发放</w:t>
      </w:r>
      <w:bookmarkStart w:id="66" w:name="OLE_LINK11"/>
      <w:r>
        <w:rPr>
          <w:rFonts w:hint="eastAsia"/>
        </w:rPr>
        <w:t>员工工资</w:t>
      </w:r>
      <w:bookmarkEnd w:id="66"/>
      <w:r>
        <w:rPr>
          <w:rFonts w:hint="eastAsia"/>
        </w:rPr>
        <w:t>，服务人员工资不得低于广州市企业职工最低工资标准（工资不含按国家规定供应商必须支付的社会保险及其他应付费用）。</w:t>
      </w:r>
    </w:p>
    <w:p>
      <w:pPr>
        <w:ind w:firstLine="480" w:firstLineChars="200"/>
      </w:pPr>
      <w:r>
        <w:rPr>
          <w:rFonts w:hint="eastAsia"/>
        </w:rPr>
        <w:t>7.供应商应按照《中华人民共和国社会保险法》和《住房公积金管理条例》的相关规定，支付国家规定必须购买的社会保险费用和缴存住房公积金、员工意外保险等。</w:t>
      </w:r>
    </w:p>
    <w:p>
      <w:pPr>
        <w:ind w:firstLine="480" w:firstLineChars="200"/>
      </w:pPr>
      <w:r>
        <w:rPr>
          <w:rFonts w:hint="eastAsia"/>
        </w:rPr>
        <w:t>8.供应商应有完善的员工权益保障机制，能妥善处理各种员工劳务纠纷，具有劳务纠纷调解的能力。</w:t>
      </w:r>
    </w:p>
    <w:p>
      <w:pPr>
        <w:ind w:firstLine="480" w:firstLineChars="200"/>
      </w:pPr>
      <w:r>
        <w:rPr>
          <w:rFonts w:hint="eastAsia"/>
        </w:rPr>
        <w:t>9.供应商有应对企业信用风险防范、控制的管理技术，具有履行合同约定和交付承诺方面的能力达到有关国家标准，并具有相应的管理能力。</w:t>
      </w:r>
    </w:p>
    <w:p>
      <w:pPr>
        <w:ind w:firstLine="480" w:firstLineChars="200"/>
      </w:pPr>
      <w:r>
        <w:rPr>
          <w:rFonts w:hint="eastAsia"/>
        </w:rPr>
        <w:t>10.供应商能运用各类智能管理软件或系统，对人员管理、服务品质进行核查、提升服务质量，具有相关物业管理类应用软件著作权。</w:t>
      </w:r>
    </w:p>
    <w:p>
      <w:pPr>
        <w:ind w:firstLine="480" w:firstLineChars="200"/>
      </w:pPr>
      <w:r>
        <w:rPr>
          <w:rFonts w:hint="eastAsia"/>
        </w:rPr>
        <w:t>11.供应商投入人员数量不少于11人，其中安防主管1人，安防员7人，保洁员2人（含1名保洁主管），工程技术员1人，人员管理统一由采购方分配。</w:t>
      </w:r>
    </w:p>
    <w:p>
      <w:pPr>
        <w:pStyle w:val="2"/>
        <w:rPr>
          <w:b/>
        </w:rPr>
      </w:pPr>
      <w:r>
        <w:rPr>
          <w:rFonts w:hint="eastAsia"/>
          <w:b/>
        </w:rPr>
        <w:t>（二）具体服务内容</w:t>
      </w:r>
    </w:p>
    <w:p>
      <w:pPr>
        <w:ind w:firstLine="480" w:firstLineChars="200"/>
      </w:pPr>
      <w:r>
        <w:rPr>
          <w:rFonts w:hint="eastAsia"/>
        </w:rPr>
        <w:t>总体情况：服务地点位于广州白云国际机场空港四路南横二路口岸综合楼内的广州白云机场海关南办公区所属南1、2号楼及圆楼2-3楼（南1、2号楼各为六层，楼内总面积约13600平方米，绿化面积约1000平方米，圆楼2-3楼总面积约1400平方米。总计16000平方米。）负责南1、2号楼及圆楼2-3楼的日常巡查与保洁服务，并承担南1、2号楼的物业主体、配套设施及机电设备的管理服务工作。</w:t>
      </w:r>
    </w:p>
    <w:p>
      <w:r>
        <w:rPr>
          <w:rFonts w:hint="eastAsia"/>
        </w:rPr>
        <w:t>一）</w:t>
      </w:r>
      <w:r>
        <w:rPr>
          <w:rFonts w:hint="eastAsia"/>
        </w:rPr>
        <w:tab/>
      </w:r>
      <w:r>
        <w:rPr>
          <w:rFonts w:hint="eastAsia"/>
        </w:rPr>
        <w:t>安全保卫服务（安防主管1名，安防员7名）</w:t>
      </w:r>
    </w:p>
    <w:p>
      <w:pPr>
        <w:ind w:firstLine="480" w:firstLineChars="200"/>
      </w:pPr>
      <w:r>
        <w:rPr>
          <w:rFonts w:hint="eastAsia"/>
        </w:rPr>
        <w:t>1.负责物业辖内的安全保卫，维护正常办公秩序和处置突发应急事件。制定特殊敏感时期和处置重大突发事件的安保应急预案。</w:t>
      </w:r>
    </w:p>
    <w:p>
      <w:pPr>
        <w:ind w:firstLine="480" w:firstLineChars="200"/>
      </w:pPr>
      <w:r>
        <w:rPr>
          <w:rFonts w:hint="eastAsia"/>
        </w:rPr>
        <w:t>2.供应商不得擅自使用、占用采购人所有的物件、设备，不得擅自改变其用途和功能。</w:t>
      </w:r>
    </w:p>
    <w:p>
      <w:pPr>
        <w:ind w:firstLine="480" w:firstLineChars="200"/>
      </w:pPr>
      <w:r>
        <w:rPr>
          <w:rFonts w:hint="eastAsia"/>
        </w:rPr>
        <w:t>3.全天24小时对物业辖区范围治安情况进行巡查和保卫监控。</w:t>
      </w:r>
    </w:p>
    <w:p>
      <w:pPr>
        <w:ind w:firstLine="480" w:firstLineChars="200"/>
      </w:pPr>
      <w:r>
        <w:rPr>
          <w:rFonts w:hint="eastAsia"/>
        </w:rPr>
        <w:t>4.全天24小时对出入大堂、停车场、地下室的人员及车辆进行监控，视情况及时进行指引、登记和检查。</w:t>
      </w:r>
    </w:p>
    <w:p>
      <w:pPr>
        <w:ind w:firstLine="480" w:firstLineChars="200"/>
      </w:pPr>
      <w:r>
        <w:rPr>
          <w:rFonts w:hint="eastAsia"/>
        </w:rPr>
        <w:t>5.加强对周边环境的监控，严防外来人员从车库及外围直接进入办公楼，密切监视可疑人员出入动态。</w:t>
      </w:r>
    </w:p>
    <w:p>
      <w:pPr>
        <w:ind w:firstLine="480" w:firstLineChars="200"/>
      </w:pPr>
      <w:r>
        <w:rPr>
          <w:rFonts w:hint="eastAsia"/>
        </w:rPr>
        <w:t>6.办公或非办公时间，都要对进入非对外办公区域的人员进行出入登记，严格控制外来人员进入非对外办公区域。</w:t>
      </w:r>
    </w:p>
    <w:p>
      <w:pPr>
        <w:ind w:firstLine="480" w:firstLineChars="200"/>
      </w:pPr>
      <w:r>
        <w:rPr>
          <w:rFonts w:hint="eastAsia"/>
        </w:rPr>
        <w:t>7.物业建筑范围内发生的侵犯工作人员事件或者出现扰乱采购人正常工作秩序情况时，保安人员应当予以制止并注意保护自身及大楼工作人员和财产安全，同时积极采取救助行动，报告相关部门领导，必要时拨打110报警。</w:t>
      </w:r>
    </w:p>
    <w:p>
      <w:pPr>
        <w:ind w:firstLine="480" w:firstLineChars="200"/>
      </w:pPr>
      <w:r>
        <w:rPr>
          <w:rFonts w:hint="eastAsia"/>
        </w:rPr>
        <w:t>8.熟练并灵活运用监视控制系统，充分发挥本办公楼的技防优势，实行24小时全天候对重点部位监控点进行监控及录像。</w:t>
      </w:r>
    </w:p>
    <w:p>
      <w:pPr>
        <w:ind w:firstLine="480" w:firstLineChars="200"/>
      </w:pPr>
      <w:r>
        <w:rPr>
          <w:rFonts w:hint="eastAsia"/>
        </w:rPr>
        <w:t>9.每周7天均需要进行巡查，办公时间（09:00-17:00）内，当班保安人员负责对整个办公楼进行安全巡查不得少于2次,发现进入办公区域可疑的陌生人员，要及时摸清来人的身份和目的，以排除隐患。非办公时间（17:00-次日09:00）,当班保安人员巡查不得少于6次，重点检查办公楼内重点部位电梯机房及各层门、窗、水、电、消防等情况，避免出现长明灯、长流水现象，及时排除入室盗窃及火灾隐患。其中圆楼2-3楼的巡查频次为日间、夜间各一次。并将巡查时间、巡查情况记录在案，以作为采购人考评依据。</w:t>
      </w:r>
    </w:p>
    <w:p>
      <w:pPr>
        <w:ind w:firstLine="480" w:firstLineChars="200"/>
      </w:pPr>
      <w:r>
        <w:rPr>
          <w:rFonts w:hint="eastAsia"/>
        </w:rPr>
        <w:t>10.禁止外来人员未经许可携带大件物品进入办公楼。对携带大件物品离开大楼的外来人员要提供采购人开具的“放行条”，经值班保安核对无误后，方可放行。内部工作人员携带大件物品出办公楼也要实行登记放行制度。</w:t>
      </w:r>
    </w:p>
    <w:p>
      <w:pPr>
        <w:ind w:firstLine="480" w:firstLineChars="200"/>
      </w:pPr>
      <w:r>
        <w:rPr>
          <w:rFonts w:hint="eastAsia"/>
        </w:rPr>
        <w:t>11.做好办公楼大堂的安全保卫和人流疏导工作。办公时间内，在大堂负责咨询的物管服务员要热情、耐心地回答外来办事人员提出的问题，涉及来访的指引其到相应等候区等待，联系被访部门或人员进行对接，期间，对伤残、高龄、行动不便的人员给予必要的帮助。</w:t>
      </w:r>
    </w:p>
    <w:p>
      <w:pPr>
        <w:ind w:firstLine="480" w:firstLineChars="200"/>
      </w:pPr>
      <w:r>
        <w:rPr>
          <w:rFonts w:hint="eastAsia"/>
        </w:rPr>
        <w:t>12.做好各项安全保卫工作。</w:t>
      </w:r>
    </w:p>
    <w:p>
      <w:pPr>
        <w:ind w:firstLine="480" w:firstLineChars="200"/>
      </w:pPr>
      <w:r>
        <w:rPr>
          <w:rFonts w:hint="eastAsia"/>
        </w:rPr>
        <w:t>13.协助采购人组织各类活动的开展及临时接待任务的安全保卫工作，随时提供人力支援。</w:t>
      </w:r>
    </w:p>
    <w:p>
      <w:pPr>
        <w:ind w:firstLine="480" w:firstLineChars="200"/>
      </w:pPr>
      <w:r>
        <w:rPr>
          <w:rFonts w:hint="eastAsia"/>
        </w:rPr>
        <w:t>14.负责组织保安员进行安保行动演练，当遇有重大突发事件或特殊敏感时期，根据采购人的要求，及时启动特殊敏感时期和处置重大突发事件的安保应急预案，确保对大楼实施全面有效的安全、防护、保卫工作。</w:t>
      </w:r>
    </w:p>
    <w:p>
      <w:pPr>
        <w:ind w:firstLine="480" w:firstLineChars="200"/>
      </w:pPr>
      <w:r>
        <w:rPr>
          <w:rFonts w:hint="eastAsia"/>
        </w:rPr>
        <w:t>15.协助采购人要求的临时性物品拆装、搬运及清理、快递收发工作。</w:t>
      </w:r>
    </w:p>
    <w:p>
      <w:pPr>
        <w:ind w:firstLine="480" w:firstLineChars="200"/>
      </w:pPr>
      <w:r>
        <w:rPr>
          <w:rFonts w:hint="eastAsia"/>
        </w:rPr>
        <w:t>16.掌握急救知识，要求至少有4名保安员具有专业急救知识，掌握体外除颤器(AED)的使用，具备应急救援能力。</w:t>
      </w:r>
    </w:p>
    <w:p>
      <w:r>
        <w:rPr>
          <w:rFonts w:hint="eastAsia"/>
        </w:rPr>
        <w:t>二）卫生保洁服务（保洁员2名）</w:t>
      </w:r>
    </w:p>
    <w:p>
      <w:pPr>
        <w:ind w:firstLine="480" w:firstLineChars="200"/>
      </w:pPr>
      <w:r>
        <w:rPr>
          <w:rFonts w:hint="eastAsia"/>
        </w:rPr>
        <w:t>1.负责南1、2号楼的台阶、空地、铝质天花、石膏板天花、墙、地面、木质地板、地毯、对外办公场所、办公室、大堂、会议室、公共场所（卫生间、厕具、楼梯、电梯、走廊、走火通道等）、水池、停车场、各种设备、设施等的日常卫生清洁，以及采购人临时要求的突击清洁任务，如清洁会场、大扫除等。（对大楼公区及关一级领导办公室进行每日清洁；其他办公室保洁工作，每周进行一次）；圆楼2-3楼公共区域及部分公共用房的保洁服务。</w:t>
      </w:r>
    </w:p>
    <w:p>
      <w:pPr>
        <w:ind w:firstLine="480" w:firstLineChars="200"/>
      </w:pPr>
      <w:r>
        <w:rPr>
          <w:rFonts w:hint="eastAsia"/>
        </w:rPr>
        <w:t>（1）关键办公区域的清洁卫生应安排专人跟进并保证质量，其他楼层的保洁人员亦应相应固定。铝质天花清洁和维护，可外包由专业清洁公司负责（外包费用由供应商负责，采购人不再另外支付）。清洁养护用品选用须经采购人同意，符合环保要求，并有专人负责监督清洁养护过程的安全操作及验收工作。一切有关清洁所需工具、材料及损耗品（如：厕纸、擦手纸、洗手液、扫把等），由供应商负责提供，费用包括在投标总报价中。</w:t>
      </w:r>
    </w:p>
    <w:p>
      <w:pPr>
        <w:ind w:firstLine="480" w:firstLineChars="200"/>
      </w:pPr>
      <w:r>
        <w:rPr>
          <w:rFonts w:hint="eastAsia"/>
        </w:rPr>
        <w:t>（2）进场后须对大楼进行一次全面大清扫。清洁时间应尽量避免打扰办公室的正常工作，对大堂、公共区域等采取每天循环保洁方式，周末要有一次大扫除、全面清洗。</w:t>
      </w:r>
    </w:p>
    <w:p>
      <w:pPr>
        <w:ind w:firstLine="480" w:firstLineChars="200"/>
      </w:pPr>
      <w:r>
        <w:rPr>
          <w:rFonts w:hint="eastAsia"/>
        </w:rPr>
        <w:t>（3）清洁时所选用的清洁用品应保证不损害被清洁物品本身：</w:t>
      </w:r>
    </w:p>
    <w:p>
      <w:pPr>
        <w:ind w:firstLine="480" w:firstLineChars="200"/>
      </w:pPr>
      <w:r>
        <w:rPr>
          <w:rFonts w:hint="eastAsia"/>
        </w:rPr>
        <w:t>各办公室：会议室台面、沙发选用专业清洁剂；</w:t>
      </w:r>
    </w:p>
    <w:p>
      <w:pPr>
        <w:ind w:firstLine="480" w:firstLineChars="200"/>
      </w:pPr>
      <w:r>
        <w:rPr>
          <w:rFonts w:hint="eastAsia"/>
        </w:rPr>
        <w:t>玻璃：选用玻璃清洁剂或全能水；</w:t>
      </w:r>
    </w:p>
    <w:p>
      <w:pPr>
        <w:ind w:firstLine="480" w:firstLineChars="200"/>
      </w:pPr>
      <w:r>
        <w:rPr>
          <w:rFonts w:hint="eastAsia"/>
        </w:rPr>
        <w:t>垃圾桶：选用全能水；</w:t>
      </w:r>
    </w:p>
    <w:p>
      <w:pPr>
        <w:ind w:firstLine="480" w:firstLineChars="200"/>
      </w:pPr>
      <w:r>
        <w:rPr>
          <w:rFonts w:hint="eastAsia"/>
        </w:rPr>
        <w:t>楼梯：选用全能水，也可选用消毒水或漂白水；</w:t>
      </w:r>
    </w:p>
    <w:p>
      <w:pPr>
        <w:ind w:firstLine="480" w:firstLineChars="200"/>
      </w:pPr>
      <w:r>
        <w:rPr>
          <w:rFonts w:hint="eastAsia"/>
        </w:rPr>
        <w:t>洗手间：地面选用全能水，便器选用洁瓷精；</w:t>
      </w:r>
    </w:p>
    <w:p>
      <w:pPr>
        <w:ind w:firstLine="480" w:firstLineChars="200"/>
      </w:pPr>
      <w:r>
        <w:rPr>
          <w:rFonts w:hint="eastAsia"/>
        </w:rPr>
        <w:t>大堂、各楼层走廊晶面清洁：采用清水推拖；</w:t>
      </w:r>
    </w:p>
    <w:p>
      <w:pPr>
        <w:ind w:firstLine="480" w:firstLineChars="200"/>
      </w:pPr>
      <w:r>
        <w:rPr>
          <w:rFonts w:hint="eastAsia"/>
        </w:rPr>
        <w:t>地毯：选用中性地毯水；</w:t>
      </w:r>
    </w:p>
    <w:p>
      <w:pPr>
        <w:ind w:firstLine="480" w:firstLineChars="200"/>
      </w:pPr>
      <w:r>
        <w:rPr>
          <w:rFonts w:hint="eastAsia"/>
        </w:rPr>
        <w:t>铝质天花：采用中性清洁剂或化油剂；</w:t>
      </w:r>
    </w:p>
    <w:p>
      <w:pPr>
        <w:ind w:firstLine="480" w:firstLineChars="200"/>
      </w:pPr>
      <w:r>
        <w:rPr>
          <w:rFonts w:hint="eastAsia"/>
        </w:rPr>
        <w:t>此外，针对一些难以清除的污垢，选用更强的除污剂；木质地板：采用专用地板蜡水护理。</w:t>
      </w:r>
    </w:p>
    <w:p>
      <w:pPr>
        <w:ind w:firstLine="480" w:firstLineChars="200"/>
      </w:pPr>
      <w:r>
        <w:rPr>
          <w:rFonts w:hint="eastAsia"/>
        </w:rPr>
        <w:t>2.所有保洁范围内做到设备设施完好、干净无尘；洗手间空气清新、无异味；茶水间干净，无杂物、无尘；电梯内光亮、无手印，清洁无尘；地面光亮、无纸屑、无烟头、无积水、无污水污泥；墙身无尘，灯饰光亮、无尘；天花、风口无积尘、无污渍、无手印、无蜘蛛网；楼梯及扶手干净无尘；会议室、办公室整体干净，地毯无污渍、无积尘；玻璃光亮无印、无污渍。</w:t>
      </w:r>
    </w:p>
    <w:p>
      <w:pPr>
        <w:ind w:firstLine="480" w:firstLineChars="200"/>
      </w:pPr>
      <w:r>
        <w:rPr>
          <w:rFonts w:hint="eastAsia"/>
        </w:rPr>
        <w:t>3.供应商需负责物业服务区域内垃圾的收集，定期清理垃圾箱，做到垃圾日产日清。按照省市及街道的相关规定和要求，积极配合街道与城管部门做好垃圾分类工作。一切有关清洁所需工具、材料及损耗品，由供应商负责提供，费用包括在合同总金额中。</w:t>
      </w:r>
    </w:p>
    <w:p>
      <w:pPr>
        <w:ind w:firstLine="480" w:firstLineChars="200"/>
      </w:pPr>
      <w:r>
        <w:rPr>
          <w:rFonts w:hint="eastAsia"/>
        </w:rPr>
        <w:t>4.会务场地布置的人员工资、加班费用已包含在物业管理费用中，此费用已经包含在报价中。</w:t>
      </w:r>
    </w:p>
    <w:p>
      <w:pPr>
        <w:ind w:firstLine="480" w:firstLineChars="200"/>
      </w:pPr>
      <w:r>
        <w:rPr>
          <w:rFonts w:hint="eastAsia"/>
        </w:rPr>
        <w:t>5.办公楼日常清洁、保洁、养护周期与标准要求详见下表：</w:t>
      </w:r>
    </w:p>
    <w:tbl>
      <w:tblPr>
        <w:tblStyle w:val="30"/>
        <w:tblW w:w="4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97"/>
        <w:gridCol w:w="1662"/>
        <w:gridCol w:w="1872"/>
        <w:gridCol w:w="322"/>
        <w:gridCol w:w="313"/>
        <w:gridCol w:w="358"/>
        <w:gridCol w:w="251"/>
        <w:gridCol w:w="380"/>
        <w:gridCol w:w="559"/>
        <w:gridCol w:w="2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restart"/>
            <w:shd w:val="clear" w:color="auto" w:fill="FFFFFF"/>
            <w:vAlign w:val="center"/>
          </w:tcPr>
          <w:p>
            <w:pPr>
              <w:pStyle w:val="54"/>
              <w:spacing w:line="360" w:lineRule="auto"/>
              <w:ind w:firstLine="0"/>
              <w:jc w:val="center"/>
              <w:rPr>
                <w:sz w:val="20"/>
                <w:szCs w:val="20"/>
              </w:rPr>
            </w:pPr>
            <w:r>
              <w:rPr>
                <w:rFonts w:hint="eastAsia"/>
                <w:sz w:val="20"/>
                <w:szCs w:val="20"/>
              </w:rPr>
              <w:t>范围</w:t>
            </w:r>
          </w:p>
        </w:tc>
        <w:tc>
          <w:tcPr>
            <w:tcW w:w="887" w:type="pct"/>
            <w:vMerge w:val="restart"/>
            <w:shd w:val="clear" w:color="auto" w:fill="FFFFFF"/>
            <w:vAlign w:val="center"/>
          </w:tcPr>
          <w:p>
            <w:pPr>
              <w:pStyle w:val="54"/>
              <w:spacing w:line="360" w:lineRule="auto"/>
              <w:ind w:firstLine="0"/>
              <w:jc w:val="center"/>
              <w:rPr>
                <w:sz w:val="20"/>
                <w:szCs w:val="20"/>
              </w:rPr>
            </w:pPr>
            <w:r>
              <w:rPr>
                <w:rFonts w:hint="eastAsia"/>
                <w:sz w:val="20"/>
                <w:szCs w:val="20"/>
              </w:rPr>
              <w:t>项目</w:t>
            </w:r>
          </w:p>
        </w:tc>
        <w:tc>
          <w:tcPr>
            <w:tcW w:w="999" w:type="pct"/>
            <w:vMerge w:val="restart"/>
            <w:shd w:val="clear" w:color="auto" w:fill="FFFFFF"/>
            <w:vAlign w:val="center"/>
          </w:tcPr>
          <w:p>
            <w:pPr>
              <w:pStyle w:val="54"/>
              <w:spacing w:line="360" w:lineRule="auto"/>
              <w:ind w:firstLine="0"/>
              <w:jc w:val="center"/>
              <w:rPr>
                <w:sz w:val="20"/>
                <w:szCs w:val="20"/>
              </w:rPr>
            </w:pPr>
            <w:r>
              <w:rPr>
                <w:rFonts w:hint="eastAsia"/>
                <w:sz w:val="20"/>
                <w:szCs w:val="20"/>
              </w:rPr>
              <w:t>作业方式</w:t>
            </w:r>
          </w:p>
        </w:tc>
        <w:tc>
          <w:tcPr>
            <w:tcW w:w="867" w:type="pct"/>
            <w:gridSpan w:val="5"/>
            <w:shd w:val="clear" w:color="auto" w:fill="FFFFFF"/>
            <w:vAlign w:val="center"/>
          </w:tcPr>
          <w:p>
            <w:pPr>
              <w:pStyle w:val="54"/>
              <w:spacing w:line="360" w:lineRule="auto"/>
              <w:ind w:firstLine="0"/>
              <w:jc w:val="center"/>
              <w:rPr>
                <w:sz w:val="20"/>
                <w:szCs w:val="20"/>
              </w:rPr>
            </w:pPr>
            <w:r>
              <w:rPr>
                <w:rFonts w:hint="eastAsia"/>
                <w:sz w:val="20"/>
                <w:szCs w:val="20"/>
                <w:lang w:eastAsia="zh-CN"/>
              </w:rPr>
              <w:t>作业周期</w:t>
            </w:r>
          </w:p>
        </w:tc>
        <w:tc>
          <w:tcPr>
            <w:tcW w:w="298" w:type="pct"/>
            <w:vMerge w:val="restart"/>
            <w:shd w:val="clear" w:color="auto" w:fill="FFFFFF"/>
            <w:vAlign w:val="center"/>
          </w:tcPr>
          <w:p>
            <w:pPr>
              <w:pStyle w:val="54"/>
              <w:spacing w:line="360" w:lineRule="auto"/>
              <w:ind w:firstLine="0"/>
              <w:jc w:val="center"/>
              <w:rPr>
                <w:sz w:val="20"/>
                <w:szCs w:val="20"/>
              </w:rPr>
            </w:pPr>
            <w:r>
              <w:rPr>
                <w:rFonts w:hint="eastAsia"/>
                <w:sz w:val="20"/>
                <w:szCs w:val="20"/>
              </w:rPr>
              <w:t>作业 次数</w:t>
            </w:r>
          </w:p>
        </w:tc>
        <w:tc>
          <w:tcPr>
            <w:tcW w:w="1577" w:type="pct"/>
            <w:vMerge w:val="restart"/>
            <w:shd w:val="clear" w:color="auto" w:fill="FFFFFF"/>
            <w:vAlign w:val="center"/>
          </w:tcPr>
          <w:p>
            <w:pPr>
              <w:pStyle w:val="54"/>
              <w:spacing w:line="360" w:lineRule="auto"/>
              <w:ind w:firstLine="0"/>
              <w:jc w:val="center"/>
              <w:rPr>
                <w:sz w:val="20"/>
                <w:szCs w:val="20"/>
              </w:rPr>
            </w:pPr>
            <w:r>
              <w:rPr>
                <w:rFonts w:hint="eastAsia"/>
                <w:sz w:val="20"/>
                <w:szCs w:val="20"/>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vMerge w:val="continue"/>
            <w:tcBorders>
              <w:top w:val="single" w:color="auto" w:sz="4" w:space="0"/>
              <w:left w:val="single" w:color="auto" w:sz="4" w:space="0"/>
              <w:right w:val="single" w:color="auto" w:sz="4" w:space="0"/>
            </w:tcBorders>
            <w:shd w:val="clear" w:color="auto" w:fill="FFFFFF"/>
            <w:vAlign w:val="center"/>
          </w:tcPr>
          <w:p/>
        </w:tc>
        <w:tc>
          <w:tcPr>
            <w:tcW w:w="999" w:type="pct"/>
            <w:vMerge w:val="continue"/>
            <w:tcBorders>
              <w:top w:val="single" w:color="auto" w:sz="4" w:space="0"/>
              <w:left w:val="single" w:color="auto" w:sz="4" w:space="0"/>
              <w:right w:val="single" w:color="auto" w:sz="4" w:space="0"/>
            </w:tcBorders>
            <w:shd w:val="clear" w:color="auto" w:fill="FFFFFF"/>
            <w:vAlign w:val="center"/>
          </w:tcP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lang w:eastAsia="zh-CN"/>
              </w:rPr>
            </w:pPr>
            <w:r>
              <w:rPr>
                <w:rFonts w:hint="eastAsia"/>
                <w:sz w:val="20"/>
                <w:szCs w:val="20"/>
                <w:lang w:val="en-US" w:eastAsia="zh-CN"/>
              </w:rPr>
              <w:t>日</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周</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月</w:t>
            </w: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季</w:t>
            </w: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年</w:t>
            </w:r>
          </w:p>
        </w:tc>
        <w:tc>
          <w:tcPr>
            <w:tcW w:w="298" w:type="pct"/>
            <w:vMerge w:val="continue"/>
            <w:tcBorders>
              <w:top w:val="single" w:color="auto" w:sz="4" w:space="0"/>
              <w:left w:val="single" w:color="auto" w:sz="4" w:space="0"/>
              <w:right w:val="single" w:color="auto" w:sz="4" w:space="0"/>
            </w:tcBorders>
            <w:shd w:val="clear" w:color="auto" w:fill="FFFFFF"/>
            <w:vAlign w:val="center"/>
          </w:tcPr>
          <w:p/>
        </w:tc>
        <w:tc>
          <w:tcPr>
            <w:tcW w:w="1577" w:type="pct"/>
            <w:vMerge w:val="continue"/>
            <w:shd w:val="clear" w:color="auto" w:fill="FFFFFF"/>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5000" w:type="pct"/>
            <w:gridSpan w:val="10"/>
            <w:shd w:val="clear" w:color="auto" w:fill="FFFFFF"/>
            <w:vAlign w:val="center"/>
          </w:tcPr>
          <w:p>
            <w:pPr>
              <w:pStyle w:val="54"/>
              <w:spacing w:line="360" w:lineRule="auto"/>
              <w:ind w:firstLine="0"/>
              <w:jc w:val="left"/>
              <w:rPr>
                <w:sz w:val="20"/>
                <w:szCs w:val="20"/>
                <w:lang w:val="en-US" w:eastAsia="zh-CN"/>
              </w:rPr>
            </w:pPr>
            <w:r>
              <w:rPr>
                <w:rFonts w:hint="eastAsia"/>
                <w:sz w:val="20"/>
                <w:szCs w:val="20"/>
                <w:lang w:val="en-US" w:eastAsia="zh-CN"/>
              </w:rPr>
              <w:t>（一）南1、2号楼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restart"/>
            <w:shd w:val="clear" w:color="auto" w:fill="FFFFFF"/>
            <w:vAlign w:val="center"/>
          </w:tcPr>
          <w:p>
            <w:pPr>
              <w:pStyle w:val="54"/>
              <w:spacing w:line="360" w:lineRule="auto"/>
              <w:ind w:firstLine="0"/>
              <w:jc w:val="center"/>
              <w:rPr>
                <w:sz w:val="20"/>
                <w:szCs w:val="20"/>
              </w:rPr>
            </w:pPr>
            <w:r>
              <w:rPr>
                <w:rFonts w:hint="eastAsia"/>
                <w:sz w:val="20"/>
                <w:szCs w:val="20"/>
              </w:rPr>
              <w:t>大堂</w:t>
            </w: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地面、墙身</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清洁排尘</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lang w:eastAsia="zh-CN"/>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无污渍、明亮、洁净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玻璃及玻璃门、防火门、地脚线</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日常清洁</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无污渍、无手印、光 亮、洁净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天花、灯饰、门</w:t>
            </w:r>
          </w:p>
          <w:p>
            <w:pPr>
              <w:pStyle w:val="54"/>
              <w:spacing w:line="360" w:lineRule="auto"/>
              <w:ind w:firstLine="0"/>
              <w:jc w:val="center"/>
              <w:rPr>
                <w:sz w:val="20"/>
                <w:szCs w:val="20"/>
              </w:rPr>
            </w:pPr>
            <w:r>
              <w:rPr>
                <w:rFonts w:hint="eastAsia"/>
                <w:sz w:val="20"/>
                <w:szCs w:val="20"/>
              </w:rPr>
              <w:t>前飘棚</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全面清洁</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无尘、无污渍、光洁 明亮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垃圾桶</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清抹、清倒</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多次</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干净、无杂物、无烟头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指示牌、告示牌、 前台等设施</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擦拭</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无尘、无杂物、无乱张贴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shd w:val="clear" w:color="auto" w:fill="FFFFFF"/>
            <w:vAlign w:val="center"/>
          </w:tcPr>
          <w:p>
            <w:pPr>
              <w:pStyle w:val="54"/>
              <w:spacing w:line="360" w:lineRule="auto"/>
              <w:ind w:firstLine="0"/>
              <w:jc w:val="center"/>
              <w:rPr>
                <w:sz w:val="20"/>
                <w:szCs w:val="20"/>
              </w:rPr>
            </w:p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花盆</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日常保洁</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无杂物、无烟头、无</w:t>
            </w:r>
          </w:p>
          <w:p>
            <w:pPr>
              <w:pStyle w:val="54"/>
              <w:spacing w:line="360" w:lineRule="auto"/>
              <w:ind w:firstLine="0"/>
              <w:jc w:val="center"/>
              <w:rPr>
                <w:sz w:val="20"/>
                <w:szCs w:val="20"/>
              </w:rPr>
            </w:pPr>
            <w:r>
              <w:rPr>
                <w:rFonts w:hint="eastAsia"/>
                <w:sz w:val="20"/>
                <w:szCs w:val="20"/>
              </w:rPr>
              <w:t>枯叶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vMerge w:val="restart"/>
            <w:shd w:val="clear" w:color="auto" w:fill="FFFFFF"/>
            <w:vAlign w:val="center"/>
          </w:tcPr>
          <w:p>
            <w:pPr>
              <w:pStyle w:val="54"/>
              <w:spacing w:line="360" w:lineRule="auto"/>
              <w:ind w:firstLine="0"/>
              <w:jc w:val="center"/>
              <w:rPr>
                <w:sz w:val="20"/>
                <w:szCs w:val="20"/>
              </w:rPr>
            </w:pPr>
            <w:r>
              <w:rPr>
                <w:rFonts w:hint="eastAsia"/>
                <w:sz w:val="20"/>
                <w:szCs w:val="20"/>
              </w:rPr>
              <w:t>电梯</w:t>
            </w: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地面、轿厢</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消毒水清抹、上钢油、抛光</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2</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无污渍、无手印、光 亮、洁净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天花灯饰</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清洗</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无尘、无污渍、光洁 明亮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vMerge w:val="restar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地毯</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更换</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清洁、无尘、无杂物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vMerge w:val="continue"/>
            <w:tcBorders>
              <w:top w:val="single" w:color="auto" w:sz="4" w:space="0"/>
              <w:left w:val="single" w:color="auto" w:sz="4" w:space="0"/>
              <w:right w:val="single" w:color="auto" w:sz="4" w:space="0"/>
            </w:tcBorders>
            <w:shd w:val="clear" w:color="auto" w:fill="FFFFFF"/>
            <w:vAlign w:val="center"/>
          </w:tcP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清洗</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I</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清洁、无尘、无杂物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电梯槽</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吸尘</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门框</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shd w:val="clear" w:color="auto" w:fill="FFFFFF"/>
            <w:vAlign w:val="center"/>
          </w:tcPr>
          <w:p>
            <w:pPr>
              <w:pStyle w:val="54"/>
              <w:spacing w:line="360" w:lineRule="auto"/>
              <w:ind w:firstLine="0"/>
              <w:jc w:val="center"/>
              <w:rPr>
                <w:sz w:val="20"/>
                <w:szCs w:val="20"/>
              </w:rPr>
            </w:pPr>
            <w:r>
              <w:rPr>
                <w:rFonts w:hint="eastAsia"/>
                <w:sz w:val="20"/>
                <w:szCs w:val="20"/>
              </w:rPr>
              <w:t>电梯间</w:t>
            </w: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地面、墙身</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拖抹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无尘、无杂物、无沙粒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restart"/>
            <w:shd w:val="clear" w:color="auto" w:fill="FFFFFF"/>
            <w:vAlign w:val="center"/>
          </w:tcPr>
          <w:p>
            <w:pPr>
              <w:pStyle w:val="54"/>
              <w:spacing w:line="360" w:lineRule="auto"/>
              <w:ind w:firstLine="0"/>
              <w:jc w:val="center"/>
              <w:rPr>
                <w:sz w:val="20"/>
                <w:szCs w:val="20"/>
              </w:rPr>
            </w:pPr>
            <w:r>
              <w:rPr>
                <w:rFonts w:hint="eastAsia"/>
                <w:sz w:val="20"/>
                <w:szCs w:val="20"/>
              </w:rPr>
              <w:t>楼层 通道</w:t>
            </w:r>
          </w:p>
        </w:tc>
        <w:tc>
          <w:tcPr>
            <w:tcW w:w="887" w:type="pct"/>
            <w:vMerge w:val="restar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地面</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拖抹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无尘、无杂物、无沙石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vMerge w:val="continue"/>
            <w:tcBorders>
              <w:top w:val="single" w:color="auto" w:sz="4" w:space="0"/>
              <w:left w:val="single" w:color="auto" w:sz="4" w:space="0"/>
              <w:right w:val="single" w:color="auto" w:sz="4" w:space="0"/>
            </w:tcBorders>
            <w:shd w:val="clear" w:color="auto" w:fill="FFFFFF"/>
            <w:vAlign w:val="center"/>
          </w:tcP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全面清洗</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无尘、无杂物、无沙石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标识牌、指示牌</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消防栓、灭火器材</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垃圾桶</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清抹、清倒</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多次</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干净、无杂物、无烟头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天花灯饰、风口</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擦拭、除尘</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干净、无尘、无蛛网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墙身</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清洁去污</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明亮、洁净、无污渍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23" w:hRule="atLeast"/>
          <w:jc w:val="center"/>
        </w:trPr>
        <w:tc>
          <w:tcPr>
            <w:tcW w:w="372" w:type="pct"/>
            <w:shd w:val="clear" w:color="auto" w:fill="FFFFFF"/>
            <w:vAlign w:val="center"/>
          </w:tcPr>
          <w:p>
            <w:pPr>
              <w:pStyle w:val="54"/>
              <w:spacing w:line="360" w:lineRule="auto"/>
              <w:ind w:firstLine="0"/>
              <w:jc w:val="center"/>
              <w:rPr>
                <w:sz w:val="20"/>
                <w:szCs w:val="20"/>
              </w:rPr>
            </w:pPr>
            <w:r>
              <w:rPr>
                <w:rFonts w:hint="eastAsia"/>
                <w:sz w:val="20"/>
                <w:szCs w:val="20"/>
              </w:rPr>
              <w:t>外墙</w:t>
            </w: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玻璃幕墙、装饰 铝条、</w:t>
            </w:r>
            <w:r>
              <w:rPr>
                <w:rFonts w:hint="eastAsia"/>
                <w:sz w:val="20"/>
                <w:szCs w:val="20"/>
                <w:lang w:eastAsia="zh-CN"/>
              </w:rPr>
              <w:t>采</w:t>
            </w:r>
            <w:r>
              <w:rPr>
                <w:rFonts w:hint="eastAsia"/>
                <w:sz w:val="20"/>
                <w:szCs w:val="20"/>
              </w:rPr>
              <w:t>光窗、 窗台、冲孔铝板</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全面清洗</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2</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干净、明亮、无污渍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restart"/>
            <w:shd w:val="clear" w:color="auto" w:fill="FFFFFF"/>
            <w:vAlign w:val="center"/>
          </w:tcPr>
          <w:p>
            <w:pPr>
              <w:pStyle w:val="54"/>
              <w:spacing w:line="360" w:lineRule="auto"/>
              <w:ind w:firstLine="0"/>
              <w:jc w:val="center"/>
              <w:rPr>
                <w:sz w:val="20"/>
                <w:szCs w:val="20"/>
              </w:rPr>
            </w:pPr>
            <w:r>
              <w:rPr>
                <w:rFonts w:hint="eastAsia"/>
                <w:sz w:val="20"/>
                <w:szCs w:val="20"/>
              </w:rPr>
              <w:t>步行梯、走火梯及梯间</w:t>
            </w: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梯级</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清扫、拖抹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干净、无尘、无沙粒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扶手</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lang w:eastAsia="zh-CN"/>
              </w:rPr>
            </w:pPr>
            <w:r>
              <w:rPr>
                <w:rFonts w:hint="eastAsia"/>
                <w:sz w:val="20"/>
                <w:szCs w:val="20"/>
                <w:lang w:eastAsia="zh-CN"/>
              </w:rPr>
              <w:t>多次</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通风窗、窗台</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清洗</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干净、明亮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防火门</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垃圾桶、烟盅</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清抹、清倒</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多次</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无尘、无污渍、无烟头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天花照明</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清洁、除尘</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无尘、无污渍、无蛛网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全面清洁</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大扫除</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无卫生死角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vMerge w:val="restart"/>
            <w:shd w:val="clear" w:color="auto" w:fill="FFFFFF"/>
            <w:vAlign w:val="center"/>
          </w:tcPr>
          <w:p>
            <w:pPr>
              <w:pStyle w:val="54"/>
              <w:spacing w:line="360" w:lineRule="auto"/>
              <w:ind w:firstLine="0"/>
              <w:jc w:val="center"/>
              <w:rPr>
                <w:sz w:val="20"/>
                <w:szCs w:val="20"/>
              </w:rPr>
            </w:pPr>
            <w:r>
              <w:rPr>
                <w:rFonts w:hint="eastAsia"/>
                <w:sz w:val="20"/>
                <w:szCs w:val="20"/>
              </w:rPr>
              <w:t>办公区域</w:t>
            </w: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玻璃窗</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刮拭清洗、擦 拭、吸尘、扫尘</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无手印、光亮透明、 洁净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防火门、墙角、 地脚线花盆</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刮拭清洗、擦 拭、吸尘、扫尘</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无尘洁净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墙身</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清洗</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无污渍、光亮洁净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地面</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清扫、拖抹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2</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无沙石、杂物、干爽、</w:t>
            </w:r>
          </w:p>
          <w:p>
            <w:pPr>
              <w:pStyle w:val="54"/>
              <w:spacing w:line="360" w:lineRule="auto"/>
              <w:ind w:firstLine="0"/>
              <w:jc w:val="center"/>
              <w:rPr>
                <w:sz w:val="20"/>
                <w:szCs w:val="20"/>
              </w:rPr>
            </w:pPr>
            <w:r>
              <w:rPr>
                <w:rFonts w:hint="eastAsia"/>
                <w:sz w:val="20"/>
                <w:szCs w:val="20"/>
              </w:rPr>
              <w:t>洁净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vMerge w:val="restar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办公家具</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擦拭、清洁</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vMerge w:val="continue"/>
            <w:tcBorders>
              <w:top w:val="single" w:color="auto" w:sz="4" w:space="0"/>
              <w:left w:val="single" w:color="auto" w:sz="4" w:space="0"/>
              <w:right w:val="single" w:color="auto" w:sz="4" w:space="0"/>
            </w:tcBorders>
            <w:shd w:val="clear" w:color="auto" w:fill="FFFFFF"/>
            <w:vAlign w:val="center"/>
          </w:tcP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保养</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指示牌、告示牌、 应急灯等</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洁净、无尘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vMerge w:val="continue"/>
            <w:shd w:val="clear" w:color="auto" w:fill="FFFFFF"/>
            <w:vAlign w:val="center"/>
          </w:tcPr>
          <w:p/>
        </w:tc>
        <w:tc>
          <w:tcPr>
            <w:tcW w:w="887" w:type="pct"/>
            <w:vMerge w:val="restar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茶水间</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拖抹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干净、无异味、地面</w:t>
            </w:r>
          </w:p>
          <w:p>
            <w:pPr>
              <w:pStyle w:val="54"/>
              <w:spacing w:line="360" w:lineRule="auto"/>
              <w:ind w:firstLine="0"/>
              <w:jc w:val="center"/>
              <w:rPr>
                <w:sz w:val="20"/>
                <w:szCs w:val="20"/>
              </w:rPr>
            </w:pPr>
            <w:r>
              <w:rPr>
                <w:rFonts w:hint="eastAsia"/>
                <w:sz w:val="20"/>
                <w:szCs w:val="20"/>
              </w:rPr>
              <w:t>干爽、无积水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vMerge w:val="continue"/>
            <w:shd w:val="clear" w:color="auto" w:fill="FFFFFF"/>
            <w:vAlign w:val="center"/>
          </w:tcPr>
          <w:p/>
        </w:tc>
        <w:tc>
          <w:tcPr>
            <w:tcW w:w="887" w:type="pct"/>
            <w:vMerge w:val="continue"/>
            <w:tcBorders>
              <w:top w:val="single" w:color="auto" w:sz="4" w:space="0"/>
              <w:left w:val="single" w:color="auto" w:sz="4" w:space="0"/>
              <w:right w:val="single" w:color="auto" w:sz="4" w:space="0"/>
            </w:tcBorders>
            <w:shd w:val="clear" w:color="auto" w:fill="FFFFFF"/>
            <w:vAlign w:val="center"/>
          </w:tcP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全面清洗、去污、消毒</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干净、无异味、地面</w:t>
            </w:r>
          </w:p>
          <w:p>
            <w:pPr>
              <w:pStyle w:val="54"/>
              <w:spacing w:line="360" w:lineRule="auto"/>
              <w:ind w:firstLine="0"/>
              <w:jc w:val="center"/>
              <w:rPr>
                <w:sz w:val="20"/>
                <w:szCs w:val="20"/>
              </w:rPr>
            </w:pPr>
            <w:r>
              <w:rPr>
                <w:rFonts w:hint="eastAsia"/>
                <w:sz w:val="20"/>
                <w:szCs w:val="20"/>
              </w:rPr>
              <w:t>干爽、无积水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vMerge w:val="continue"/>
            <w:shd w:val="clear" w:color="auto" w:fill="FFFFFF"/>
            <w:vAlign w:val="center"/>
          </w:tcPr>
          <w:p/>
        </w:tc>
        <w:tc>
          <w:tcPr>
            <w:tcW w:w="887" w:type="pct"/>
            <w:vMerge w:val="restar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垃圾桶</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清倒、换垃圾袋</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多次</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无污渍、</w:t>
            </w:r>
            <w:r>
              <w:rPr>
                <w:rFonts w:hint="eastAsia"/>
                <w:sz w:val="20"/>
                <w:szCs w:val="20"/>
                <w:lang w:eastAsia="zh-CN"/>
              </w:rPr>
              <w:t>无异</w:t>
            </w:r>
            <w:r>
              <w:rPr>
                <w:rFonts w:hint="eastAsia"/>
                <w:sz w:val="20"/>
                <w:szCs w:val="20"/>
              </w:rPr>
              <w:t>味、无</w:t>
            </w:r>
          </w:p>
          <w:p>
            <w:pPr>
              <w:pStyle w:val="54"/>
              <w:spacing w:line="360" w:lineRule="auto"/>
              <w:ind w:firstLine="0"/>
              <w:jc w:val="center"/>
              <w:rPr>
                <w:sz w:val="20"/>
                <w:szCs w:val="20"/>
              </w:rPr>
            </w:pPr>
            <w:r>
              <w:rPr>
                <w:rFonts w:hint="eastAsia"/>
                <w:sz w:val="20"/>
                <w:szCs w:val="20"/>
              </w:rPr>
              <w:t>积留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vMerge w:val="continue"/>
            <w:tcBorders>
              <w:top w:val="single" w:color="auto" w:sz="4" w:space="0"/>
              <w:left w:val="single" w:color="auto" w:sz="4" w:space="0"/>
              <w:right w:val="single" w:color="auto" w:sz="4" w:space="0"/>
            </w:tcBorders>
            <w:shd w:val="clear" w:color="auto" w:fill="FFFFFF"/>
            <w:vAlign w:val="center"/>
          </w:tcP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清洗</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无污渍、</w:t>
            </w:r>
            <w:r>
              <w:rPr>
                <w:rFonts w:hint="eastAsia"/>
                <w:sz w:val="20"/>
                <w:szCs w:val="20"/>
                <w:lang w:eastAsia="zh-CN"/>
              </w:rPr>
              <w:t>无异</w:t>
            </w:r>
            <w:r>
              <w:rPr>
                <w:rFonts w:hint="eastAsia"/>
                <w:sz w:val="20"/>
                <w:szCs w:val="20"/>
              </w:rPr>
              <w:t>味、无积留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restart"/>
            <w:shd w:val="clear" w:color="auto" w:fill="FFFFFF"/>
            <w:vAlign w:val="center"/>
          </w:tcPr>
          <w:p>
            <w:pPr>
              <w:jc w:val="center"/>
              <w:rPr>
                <w:rFonts w:ascii="宋体" w:hAnsi="宋体"/>
                <w:sz w:val="20"/>
                <w:szCs w:val="20"/>
              </w:rPr>
            </w:pPr>
            <w:r>
              <w:rPr>
                <w:rFonts w:hint="eastAsia" w:ascii="宋体" w:hAnsi="宋体"/>
                <w:sz w:val="20"/>
                <w:szCs w:val="20"/>
              </w:rPr>
              <w:t>办公区域</w:t>
            </w:r>
          </w:p>
        </w:tc>
        <w:tc>
          <w:tcPr>
            <w:tcW w:w="88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洗手间</w:t>
            </w:r>
          </w:p>
        </w:tc>
        <w:tc>
          <w:tcPr>
            <w:tcW w:w="999"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日常保洁</w:t>
            </w:r>
          </w:p>
        </w:tc>
        <w:tc>
          <w:tcPr>
            <w:tcW w:w="172"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w:t>
            </w:r>
          </w:p>
        </w:tc>
        <w:tc>
          <w:tcPr>
            <w:tcW w:w="16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巡回</w:t>
            </w:r>
          </w:p>
        </w:tc>
        <w:tc>
          <w:tcPr>
            <w:tcW w:w="1577" w:type="pct"/>
            <w:shd w:val="clear" w:color="auto" w:fill="FFFFFF"/>
            <w:vAlign w:val="center"/>
          </w:tcPr>
          <w:p>
            <w:pPr>
              <w:jc w:val="center"/>
              <w:rPr>
                <w:rFonts w:ascii="宋体" w:hAnsi="宋体"/>
                <w:sz w:val="20"/>
                <w:szCs w:val="20"/>
              </w:rPr>
            </w:pPr>
            <w:r>
              <w:rPr>
                <w:rFonts w:hint="eastAsia" w:ascii="宋体" w:hAnsi="宋体"/>
                <w:sz w:val="20"/>
                <w:szCs w:val="20"/>
              </w:rPr>
              <w:t>无异味、无锈渍、地 面干爽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vMerge w:val="restar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垃圾集中处理点</w:t>
            </w:r>
          </w:p>
        </w:tc>
        <w:tc>
          <w:tcPr>
            <w:tcW w:w="999"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日产日清</w:t>
            </w:r>
          </w:p>
        </w:tc>
        <w:tc>
          <w:tcPr>
            <w:tcW w:w="172"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w:t>
            </w:r>
          </w:p>
        </w:tc>
        <w:tc>
          <w:tcPr>
            <w:tcW w:w="16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多次</w:t>
            </w:r>
          </w:p>
        </w:tc>
        <w:tc>
          <w:tcPr>
            <w:tcW w:w="1577" w:type="pct"/>
            <w:shd w:val="clear" w:color="auto" w:fill="FFFFFF"/>
            <w:vAlign w:val="center"/>
          </w:tcPr>
          <w:p>
            <w:pPr>
              <w:jc w:val="center"/>
              <w:rPr>
                <w:rFonts w:ascii="宋体" w:hAnsi="宋体"/>
                <w:sz w:val="20"/>
                <w:szCs w:val="20"/>
              </w:rPr>
            </w:pPr>
            <w:r>
              <w:rPr>
                <w:rFonts w:hint="eastAsia" w:ascii="宋体" w:hAnsi="宋体"/>
                <w:sz w:val="20"/>
                <w:szCs w:val="20"/>
              </w:rPr>
              <w:t>无隔夜垃圾、无异味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vMerge w:val="continue"/>
            <w:tcBorders>
              <w:top w:val="single" w:color="auto" w:sz="4" w:space="0"/>
              <w:left w:val="single" w:color="auto" w:sz="4" w:space="0"/>
              <w:right w:val="single" w:color="auto" w:sz="4" w:space="0"/>
            </w:tcBorders>
            <w:shd w:val="clear" w:color="auto" w:fill="FFFFFF"/>
            <w:vAlign w:val="center"/>
          </w:tcPr>
          <w:p/>
        </w:tc>
        <w:tc>
          <w:tcPr>
            <w:tcW w:w="999"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冲洗</w:t>
            </w:r>
          </w:p>
        </w:tc>
        <w:tc>
          <w:tcPr>
            <w:tcW w:w="172"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w:t>
            </w:r>
          </w:p>
        </w:tc>
        <w:tc>
          <w:tcPr>
            <w:tcW w:w="16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1</w:t>
            </w:r>
          </w:p>
        </w:tc>
        <w:tc>
          <w:tcPr>
            <w:tcW w:w="1577" w:type="pct"/>
            <w:shd w:val="clear" w:color="auto" w:fill="FFFFFF"/>
            <w:vAlign w:val="center"/>
          </w:tcPr>
          <w:p>
            <w:pPr>
              <w:jc w:val="center"/>
              <w:rPr>
                <w:rFonts w:ascii="宋体" w:hAnsi="宋体"/>
                <w:sz w:val="20"/>
                <w:szCs w:val="20"/>
              </w:rPr>
            </w:pPr>
            <w:r>
              <w:rPr>
                <w:rFonts w:hint="eastAsia" w:ascii="宋体" w:hAnsi="宋体"/>
                <w:sz w:val="20"/>
                <w:szCs w:val="20"/>
              </w:rPr>
              <w:t>无隔夜垃圾、无异味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vMerge w:val="continue"/>
            <w:tcBorders>
              <w:top w:val="single" w:color="auto" w:sz="4" w:space="0"/>
              <w:left w:val="single" w:color="auto" w:sz="4" w:space="0"/>
              <w:right w:val="single" w:color="auto" w:sz="4" w:space="0"/>
            </w:tcBorders>
            <w:shd w:val="clear" w:color="auto" w:fill="FFFFFF"/>
            <w:vAlign w:val="center"/>
          </w:tcPr>
          <w:p/>
        </w:tc>
        <w:tc>
          <w:tcPr>
            <w:tcW w:w="999"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消毒</w:t>
            </w:r>
          </w:p>
        </w:tc>
        <w:tc>
          <w:tcPr>
            <w:tcW w:w="172"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w:t>
            </w:r>
          </w:p>
        </w:tc>
        <w:tc>
          <w:tcPr>
            <w:tcW w:w="191"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1</w:t>
            </w:r>
          </w:p>
        </w:tc>
        <w:tc>
          <w:tcPr>
            <w:tcW w:w="1577" w:type="pct"/>
            <w:shd w:val="clear" w:color="auto" w:fill="FFFFFF"/>
            <w:vAlign w:val="center"/>
          </w:tcPr>
          <w:p>
            <w:pPr>
              <w:jc w:val="center"/>
              <w:rPr>
                <w:rFonts w:ascii="宋体" w:hAnsi="宋体"/>
                <w:sz w:val="20"/>
                <w:szCs w:val="20"/>
              </w:rPr>
            </w:pPr>
            <w:r>
              <w:rPr>
                <w:rFonts w:hint="eastAsia" w:ascii="宋体" w:hAnsi="宋体"/>
                <w:sz w:val="20"/>
                <w:szCs w:val="20"/>
              </w:rPr>
              <w:t>无隔夜垃圾、无异味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2" w:hRule="atLeast"/>
          <w:jc w:val="center"/>
        </w:trPr>
        <w:tc>
          <w:tcPr>
            <w:tcW w:w="372" w:type="pct"/>
            <w:vMerge w:val="continue"/>
            <w:shd w:val="clear" w:color="auto" w:fill="FFFFFF"/>
            <w:vAlign w:val="center"/>
          </w:tcPr>
          <w:p/>
        </w:tc>
        <w:tc>
          <w:tcPr>
            <w:tcW w:w="887" w:type="pct"/>
            <w:vMerge w:val="restar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关领导办公室</w:t>
            </w:r>
          </w:p>
        </w:tc>
        <w:tc>
          <w:tcPr>
            <w:tcW w:w="999"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清扫、倒垃圾</w:t>
            </w:r>
          </w:p>
        </w:tc>
        <w:tc>
          <w:tcPr>
            <w:tcW w:w="172"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w:t>
            </w:r>
          </w:p>
        </w:tc>
        <w:tc>
          <w:tcPr>
            <w:tcW w:w="16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1</w:t>
            </w:r>
          </w:p>
        </w:tc>
        <w:tc>
          <w:tcPr>
            <w:tcW w:w="1577" w:type="pct"/>
            <w:shd w:val="clear" w:color="auto" w:fill="FFFFFF"/>
            <w:vAlign w:val="center"/>
          </w:tcPr>
          <w:p>
            <w:pPr>
              <w:jc w:val="center"/>
              <w:rPr>
                <w:rFonts w:ascii="宋体" w:hAnsi="宋体"/>
                <w:sz w:val="20"/>
                <w:szCs w:val="20"/>
              </w:rPr>
            </w:pPr>
            <w:r>
              <w:rPr>
                <w:rFonts w:hint="eastAsia" w:ascii="宋体" w:hAnsi="宋体"/>
                <w:sz w:val="20"/>
                <w:szCs w:val="20"/>
              </w:rPr>
              <w:t>洁净、无尘、无隔夜</w:t>
            </w:r>
          </w:p>
          <w:p>
            <w:pPr>
              <w:jc w:val="center"/>
              <w:rPr>
                <w:rFonts w:ascii="宋体" w:hAnsi="宋体"/>
                <w:sz w:val="20"/>
                <w:szCs w:val="20"/>
              </w:rPr>
            </w:pPr>
            <w:r>
              <w:rPr>
                <w:rFonts w:hint="eastAsia" w:ascii="宋体" w:hAnsi="宋体"/>
                <w:sz w:val="20"/>
                <w:szCs w:val="20"/>
              </w:rPr>
              <w:t>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vMerge w:val="continue"/>
            <w:tcBorders>
              <w:top w:val="single" w:color="auto" w:sz="4" w:space="0"/>
              <w:left w:val="single" w:color="auto" w:sz="4" w:space="0"/>
              <w:right w:val="single" w:color="auto" w:sz="4" w:space="0"/>
            </w:tcBorders>
            <w:shd w:val="clear" w:color="auto" w:fill="FFFFFF"/>
            <w:vAlign w:val="center"/>
          </w:tcPr>
          <w:p/>
        </w:tc>
        <w:tc>
          <w:tcPr>
            <w:tcW w:w="999"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拖抹</w:t>
            </w:r>
          </w:p>
        </w:tc>
        <w:tc>
          <w:tcPr>
            <w:tcW w:w="172"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w:t>
            </w:r>
          </w:p>
        </w:tc>
        <w:tc>
          <w:tcPr>
            <w:tcW w:w="191"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2</w:t>
            </w:r>
          </w:p>
        </w:tc>
        <w:tc>
          <w:tcPr>
            <w:tcW w:w="1577" w:type="pct"/>
            <w:shd w:val="clear" w:color="auto" w:fill="FFFFFF"/>
            <w:vAlign w:val="center"/>
          </w:tcPr>
          <w:p>
            <w:pPr>
              <w:jc w:val="center"/>
              <w:rPr>
                <w:rFonts w:ascii="宋体" w:hAnsi="宋体"/>
                <w:sz w:val="20"/>
                <w:szCs w:val="20"/>
              </w:rPr>
            </w:pPr>
            <w:r>
              <w:rPr>
                <w:rFonts w:hint="eastAsia" w:ascii="宋体" w:hAnsi="宋体"/>
                <w:sz w:val="20"/>
                <w:szCs w:val="20"/>
              </w:rPr>
              <w:t>洁净、干爽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restart"/>
            <w:shd w:val="clear" w:color="auto" w:fill="FFFFFF"/>
            <w:vAlign w:val="center"/>
          </w:tcPr>
          <w:p>
            <w:pPr>
              <w:jc w:val="center"/>
              <w:rPr>
                <w:rFonts w:ascii="宋体" w:hAnsi="宋体"/>
                <w:sz w:val="20"/>
                <w:szCs w:val="20"/>
              </w:rPr>
            </w:pPr>
            <w:r>
              <w:rPr>
                <w:rFonts w:hint="eastAsia" w:ascii="宋体" w:hAnsi="宋体"/>
                <w:sz w:val="20"/>
                <w:szCs w:val="20"/>
              </w:rPr>
              <w:t>会议室</w:t>
            </w:r>
          </w:p>
        </w:tc>
        <w:tc>
          <w:tcPr>
            <w:tcW w:w="88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台面</w:t>
            </w:r>
          </w:p>
        </w:tc>
        <w:tc>
          <w:tcPr>
            <w:tcW w:w="999"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清抹</w:t>
            </w:r>
          </w:p>
        </w:tc>
        <w:tc>
          <w:tcPr>
            <w:tcW w:w="172"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w:t>
            </w:r>
          </w:p>
        </w:tc>
        <w:tc>
          <w:tcPr>
            <w:tcW w:w="16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多次</w:t>
            </w:r>
          </w:p>
        </w:tc>
        <w:tc>
          <w:tcPr>
            <w:tcW w:w="1577" w:type="pct"/>
            <w:shd w:val="clear" w:color="auto" w:fill="FFFFFF"/>
            <w:vAlign w:val="center"/>
          </w:tcPr>
          <w:p>
            <w:pPr>
              <w:jc w:val="center"/>
              <w:rPr>
                <w:rFonts w:ascii="宋体" w:hAnsi="宋体"/>
                <w:sz w:val="20"/>
                <w:szCs w:val="20"/>
              </w:rPr>
            </w:pPr>
            <w:r>
              <w:rPr>
                <w:rFonts w:hint="eastAsia" w:ascii="宋体" w:hAnsi="宋体"/>
                <w:sz w:val="20"/>
                <w:szCs w:val="20"/>
              </w:rPr>
              <w:t>洁净、无尘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地面</w:t>
            </w:r>
          </w:p>
        </w:tc>
        <w:tc>
          <w:tcPr>
            <w:tcW w:w="999"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拖抹</w:t>
            </w:r>
          </w:p>
        </w:tc>
        <w:tc>
          <w:tcPr>
            <w:tcW w:w="172"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w:t>
            </w:r>
          </w:p>
        </w:tc>
        <w:tc>
          <w:tcPr>
            <w:tcW w:w="16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1</w:t>
            </w:r>
          </w:p>
        </w:tc>
        <w:tc>
          <w:tcPr>
            <w:tcW w:w="1577" w:type="pct"/>
            <w:shd w:val="clear" w:color="auto" w:fill="FFFFFF"/>
            <w:vAlign w:val="center"/>
          </w:tcPr>
          <w:p>
            <w:pPr>
              <w:jc w:val="center"/>
              <w:rPr>
                <w:rFonts w:ascii="宋体" w:hAnsi="宋体"/>
                <w:sz w:val="20"/>
                <w:szCs w:val="20"/>
              </w:rPr>
            </w:pPr>
            <w:r>
              <w:rPr>
                <w:rFonts w:hint="eastAsia" w:ascii="宋体" w:hAnsi="宋体"/>
                <w:sz w:val="20"/>
                <w:szCs w:val="20"/>
              </w:rPr>
              <w:t>无尘、无杂物、无沙粒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3"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DJ控制室</w:t>
            </w:r>
          </w:p>
        </w:tc>
        <w:tc>
          <w:tcPr>
            <w:tcW w:w="999"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清抹</w:t>
            </w:r>
          </w:p>
        </w:tc>
        <w:tc>
          <w:tcPr>
            <w:tcW w:w="172"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w:t>
            </w:r>
          </w:p>
        </w:tc>
        <w:tc>
          <w:tcPr>
            <w:tcW w:w="16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1</w:t>
            </w:r>
          </w:p>
        </w:tc>
        <w:tc>
          <w:tcPr>
            <w:tcW w:w="1577" w:type="pct"/>
            <w:shd w:val="clear" w:color="auto" w:fill="FFFFFF"/>
            <w:vAlign w:val="center"/>
          </w:tcPr>
          <w:p>
            <w:pPr>
              <w:jc w:val="center"/>
              <w:rPr>
                <w:rFonts w:ascii="宋体" w:hAnsi="宋体"/>
                <w:sz w:val="20"/>
                <w:szCs w:val="20"/>
              </w:rPr>
            </w:pPr>
            <w:r>
              <w:rPr>
                <w:rFonts w:hint="eastAsia" w:ascii="宋体" w:hAnsi="宋体"/>
                <w:sz w:val="20"/>
                <w:szCs w:val="20"/>
              </w:rPr>
              <w:t>洁净、无尘、无杂物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玻璃</w:t>
            </w:r>
          </w:p>
        </w:tc>
        <w:tc>
          <w:tcPr>
            <w:tcW w:w="999"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清抹</w:t>
            </w:r>
          </w:p>
        </w:tc>
        <w:tc>
          <w:tcPr>
            <w:tcW w:w="172"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w:t>
            </w:r>
          </w:p>
        </w:tc>
        <w:tc>
          <w:tcPr>
            <w:tcW w:w="191"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rPr>
            </w:pPr>
            <w:r>
              <w:rPr>
                <w:rFonts w:hint="eastAsia" w:ascii="宋体" w:hAnsi="宋体"/>
                <w:sz w:val="20"/>
                <w:szCs w:val="20"/>
              </w:rPr>
              <w:t>1</w:t>
            </w:r>
          </w:p>
        </w:tc>
        <w:tc>
          <w:tcPr>
            <w:tcW w:w="1577" w:type="pct"/>
            <w:shd w:val="clear" w:color="auto" w:fill="FFFFFF"/>
            <w:vAlign w:val="center"/>
          </w:tcPr>
          <w:p>
            <w:pPr>
              <w:jc w:val="center"/>
              <w:rPr>
                <w:rFonts w:ascii="宋体" w:hAnsi="宋体"/>
                <w:sz w:val="20"/>
                <w:szCs w:val="20"/>
              </w:rPr>
            </w:pPr>
            <w:r>
              <w:rPr>
                <w:rFonts w:hint="eastAsia" w:ascii="宋体" w:hAnsi="宋体"/>
                <w:sz w:val="20"/>
                <w:szCs w:val="20"/>
              </w:rPr>
              <w:t>光洁明亮、无污渍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5000" w:type="pct"/>
            <w:gridSpan w:val="10"/>
            <w:shd w:val="clear" w:color="auto" w:fill="FFFFFF"/>
            <w:vAlign w:val="center"/>
          </w:tcPr>
          <w:p>
            <w:pPr>
              <w:pStyle w:val="54"/>
              <w:spacing w:line="360" w:lineRule="auto"/>
              <w:ind w:firstLine="0"/>
              <w:jc w:val="left"/>
              <w:rPr>
                <w:sz w:val="20"/>
                <w:szCs w:val="20"/>
                <w:lang w:val="en-US" w:eastAsia="zh-CN"/>
              </w:rPr>
            </w:pPr>
            <w:r>
              <w:rPr>
                <w:rFonts w:hint="eastAsia"/>
                <w:sz w:val="20"/>
                <w:szCs w:val="20"/>
                <w:lang w:eastAsia="zh-CN"/>
              </w:rPr>
              <w:t>（</w:t>
            </w:r>
            <w:r>
              <w:rPr>
                <w:rFonts w:hint="eastAsia"/>
                <w:sz w:val="20"/>
                <w:szCs w:val="20"/>
                <w:lang w:val="en-US" w:eastAsia="zh-CN"/>
              </w:rPr>
              <w:t>二</w:t>
            </w:r>
            <w:r>
              <w:rPr>
                <w:rFonts w:hint="eastAsia"/>
                <w:sz w:val="20"/>
                <w:szCs w:val="20"/>
                <w:lang w:eastAsia="zh-CN"/>
              </w:rPr>
              <w:t>）</w:t>
            </w:r>
            <w:r>
              <w:rPr>
                <w:rFonts w:hint="eastAsia"/>
                <w:sz w:val="20"/>
                <w:szCs w:val="20"/>
                <w:lang w:val="en-US" w:eastAsia="zh-CN"/>
              </w:rPr>
              <w:t>圆楼2-3楼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restart"/>
            <w:shd w:val="clear" w:color="auto" w:fill="FFFFFF"/>
            <w:vAlign w:val="center"/>
          </w:tcPr>
          <w:p>
            <w:pPr>
              <w:jc w:val="center"/>
              <w:rPr>
                <w:rFonts w:ascii="宋体" w:hAnsi="宋体"/>
                <w:sz w:val="20"/>
                <w:szCs w:val="20"/>
              </w:rPr>
            </w:pPr>
            <w:r>
              <w:rPr>
                <w:rFonts w:hint="eastAsia" w:ascii="宋体" w:hAnsi="宋体"/>
                <w:sz w:val="20"/>
                <w:szCs w:val="20"/>
              </w:rPr>
              <w:t>公共区域</w:t>
            </w: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防火门、墙角、 地脚线花盆</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刮拭清洗、擦 拭、吸尘、扫尘</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val="en-US" w:eastAsia="zh-CN"/>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无尘洁净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rFonts w:ascii="宋体" w:hAnsi="宋体"/>
                <w:sz w:val="20"/>
                <w:szCs w:val="20"/>
              </w:rPr>
            </w:pPr>
            <w:r>
              <w:rPr>
                <w:rFonts w:hint="eastAsia"/>
                <w:sz w:val="20"/>
                <w:szCs w:val="20"/>
              </w:rPr>
              <w:t>墙身</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清洗</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val="en-US" w:eastAsia="zh-CN"/>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无污渍、光亮洁净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rFonts w:ascii="宋体" w:hAnsi="宋体"/>
                <w:sz w:val="20"/>
                <w:szCs w:val="20"/>
              </w:rPr>
            </w:pPr>
            <w:r>
              <w:rPr>
                <w:rFonts w:hint="eastAsia"/>
                <w:sz w:val="20"/>
                <w:szCs w:val="20"/>
              </w:rPr>
              <w:t>地面</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清扫、拖抹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lang w:eastAsia="zh-CN"/>
              </w:rPr>
            </w:pPr>
            <w:r>
              <w:rPr>
                <w:rFonts w:hint="eastAsia"/>
                <w:sz w:val="20"/>
                <w:szCs w:val="20"/>
                <w:lang w:val="en-US" w:eastAsia="zh-CN"/>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无沙石、杂物、干爽、</w:t>
            </w:r>
          </w:p>
          <w:p>
            <w:pPr>
              <w:pStyle w:val="54"/>
              <w:spacing w:line="360" w:lineRule="auto"/>
              <w:ind w:firstLine="0"/>
              <w:jc w:val="center"/>
              <w:rPr>
                <w:sz w:val="20"/>
                <w:szCs w:val="20"/>
              </w:rPr>
            </w:pPr>
            <w:r>
              <w:rPr>
                <w:rFonts w:hint="eastAsia"/>
                <w:sz w:val="20"/>
                <w:szCs w:val="20"/>
              </w:rPr>
              <w:t>洁净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vMerge w:val="restar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rFonts w:ascii="宋体" w:hAnsi="宋体"/>
                <w:sz w:val="20"/>
                <w:szCs w:val="20"/>
              </w:rPr>
            </w:pPr>
            <w:r>
              <w:rPr>
                <w:rFonts w:hint="eastAsia"/>
                <w:sz w:val="20"/>
                <w:szCs w:val="20"/>
              </w:rPr>
              <w:t>办公家具</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擦拭、清洁</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val="en-US" w:eastAsia="zh-CN"/>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vMerge w:val="continue"/>
            <w:tcBorders>
              <w:top w:val="single" w:color="auto" w:sz="4" w:space="0"/>
              <w:left w:val="single" w:color="auto" w:sz="4" w:space="0"/>
              <w:right w:val="single" w:color="auto" w:sz="4" w:space="0"/>
            </w:tcBorders>
            <w:shd w:val="clear" w:color="auto" w:fill="FFFFFF"/>
            <w:vAlign w:val="center"/>
          </w:tcP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rFonts w:ascii="宋体" w:hAnsi="宋体"/>
                <w:sz w:val="20"/>
                <w:szCs w:val="20"/>
              </w:rPr>
            </w:pPr>
            <w:r>
              <w:rPr>
                <w:rFonts w:hint="eastAsia"/>
                <w:sz w:val="20"/>
                <w:szCs w:val="20"/>
              </w:rPr>
              <w:t>保养</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val="en-US" w:eastAsia="zh-CN"/>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rFonts w:ascii="宋体" w:hAnsi="宋体"/>
                <w:sz w:val="20"/>
                <w:szCs w:val="20"/>
              </w:rPr>
            </w:pPr>
            <w:r>
              <w:rPr>
                <w:rFonts w:hint="eastAsia"/>
                <w:sz w:val="20"/>
                <w:szCs w:val="20"/>
              </w:rPr>
              <w:t>指示牌、告示牌、 应急灯等</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val="en-US" w:eastAsia="zh-CN"/>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洁净、无尘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vMerge w:val="restar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rFonts w:ascii="宋体" w:hAnsi="宋体"/>
                <w:sz w:val="20"/>
                <w:szCs w:val="20"/>
              </w:rPr>
            </w:pPr>
            <w:r>
              <w:rPr>
                <w:rFonts w:hint="eastAsia"/>
                <w:sz w:val="20"/>
                <w:szCs w:val="20"/>
              </w:rPr>
              <w:t>垃圾桶</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清倒、换垃圾袋</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lang w:eastAsia="zh-CN"/>
              </w:rPr>
            </w:pPr>
            <w:r>
              <w:rPr>
                <w:rFonts w:hint="eastAsia"/>
                <w:sz w:val="20"/>
                <w:szCs w:val="20"/>
                <w:lang w:val="en-US" w:eastAsia="zh-CN"/>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无污渍、</w:t>
            </w:r>
            <w:r>
              <w:rPr>
                <w:rFonts w:hint="eastAsia"/>
                <w:sz w:val="20"/>
                <w:szCs w:val="20"/>
                <w:lang w:eastAsia="zh-CN"/>
              </w:rPr>
              <w:t>无异</w:t>
            </w:r>
            <w:r>
              <w:rPr>
                <w:rFonts w:hint="eastAsia"/>
                <w:sz w:val="20"/>
                <w:szCs w:val="20"/>
              </w:rPr>
              <w:t>味、无</w:t>
            </w:r>
          </w:p>
          <w:p>
            <w:pPr>
              <w:pStyle w:val="54"/>
              <w:spacing w:line="360" w:lineRule="auto"/>
              <w:ind w:firstLine="0"/>
              <w:jc w:val="center"/>
              <w:rPr>
                <w:sz w:val="20"/>
                <w:szCs w:val="20"/>
              </w:rPr>
            </w:pPr>
            <w:r>
              <w:rPr>
                <w:rFonts w:hint="eastAsia"/>
                <w:sz w:val="20"/>
                <w:szCs w:val="20"/>
              </w:rPr>
              <w:t>积留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vMerge w:val="continue"/>
            <w:tcBorders>
              <w:top w:val="single" w:color="auto" w:sz="4" w:space="0"/>
              <w:left w:val="single" w:color="auto" w:sz="4" w:space="0"/>
              <w:right w:val="single" w:color="auto" w:sz="4" w:space="0"/>
            </w:tcBorders>
            <w:shd w:val="clear" w:color="auto" w:fill="FFFFFF"/>
            <w:vAlign w:val="center"/>
          </w:tcP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rFonts w:ascii="宋体" w:hAnsi="宋体"/>
                <w:sz w:val="20"/>
                <w:szCs w:val="20"/>
              </w:rPr>
            </w:pPr>
            <w:r>
              <w:rPr>
                <w:rFonts w:hint="eastAsia"/>
                <w:sz w:val="20"/>
                <w:szCs w:val="20"/>
              </w:rPr>
              <w:t>清洗</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无污渍、</w:t>
            </w:r>
            <w:r>
              <w:rPr>
                <w:rFonts w:hint="eastAsia"/>
                <w:sz w:val="20"/>
                <w:szCs w:val="20"/>
                <w:lang w:eastAsia="zh-CN"/>
              </w:rPr>
              <w:t>无异</w:t>
            </w:r>
            <w:r>
              <w:rPr>
                <w:rFonts w:hint="eastAsia"/>
                <w:sz w:val="20"/>
                <w:szCs w:val="20"/>
              </w:rPr>
              <w:t>味、无积留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天花照明</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清洁、除尘</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lang w:eastAsia="zh-CN"/>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lang w:val="en-US" w:eastAsia="zh-CN"/>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无尘、无污渍、无蛛网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val="en-US" w:eastAsia="zh-CN"/>
              </w:rPr>
              <w:t>楼梯间</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清扫、拖抹</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lang w:eastAsia="zh-CN"/>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lang w:val="en-US" w:eastAsia="zh-CN"/>
              </w:rPr>
            </w:pPr>
            <w:r>
              <w:rPr>
                <w:rFonts w:hint="eastAsia"/>
                <w:sz w:val="20"/>
                <w:szCs w:val="20"/>
                <w:lang w:eastAsia="zh-CN"/>
              </w:rPr>
              <w:t>√</w:t>
            </w: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干净、无尘、无沙粒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lang w:bidi="zh-TW"/>
              </w:rPr>
            </w:pPr>
            <w:r>
              <w:rPr>
                <w:rFonts w:hint="eastAsia" w:ascii="宋体" w:hAnsi="宋体"/>
                <w:sz w:val="20"/>
                <w:szCs w:val="20"/>
                <w:lang w:val="zh-TW" w:eastAsia="zh-TW" w:bidi="zh-TW"/>
              </w:rPr>
              <w:t>洗手间</w:t>
            </w:r>
          </w:p>
        </w:tc>
        <w:tc>
          <w:tcPr>
            <w:tcW w:w="999"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lang w:bidi="zh-TW"/>
              </w:rPr>
            </w:pPr>
            <w:r>
              <w:rPr>
                <w:rFonts w:hint="eastAsia" w:ascii="宋体" w:hAnsi="宋体"/>
                <w:sz w:val="20"/>
                <w:szCs w:val="20"/>
                <w:lang w:val="zh-TW" w:eastAsia="zh-TW" w:bidi="zh-TW"/>
              </w:rPr>
              <w:t>日常保洁</w:t>
            </w:r>
          </w:p>
        </w:tc>
        <w:tc>
          <w:tcPr>
            <w:tcW w:w="172"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lang w:val="zh-TW" w:bidi="zh-TW"/>
              </w:rPr>
            </w:pPr>
            <w:r>
              <w:rPr>
                <w:rFonts w:hint="eastAsia"/>
                <w:sz w:val="20"/>
                <w:szCs w:val="20"/>
              </w:rPr>
              <w:t>√</w:t>
            </w:r>
          </w:p>
        </w:tc>
        <w:tc>
          <w:tcPr>
            <w:tcW w:w="167"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lang w:bidi="zh-TW"/>
              </w:rPr>
            </w:pPr>
          </w:p>
        </w:tc>
        <w:tc>
          <w:tcPr>
            <w:tcW w:w="191"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lang w:val="zh-TW" w:eastAsia="zh-TW" w:bidi="zh-TW"/>
              </w:rPr>
            </w:pPr>
          </w:p>
        </w:tc>
        <w:tc>
          <w:tcPr>
            <w:tcW w:w="134"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lang w:val="zh-TW" w:bidi="zh-TW"/>
              </w:rPr>
            </w:pPr>
          </w:p>
        </w:tc>
        <w:tc>
          <w:tcPr>
            <w:tcW w:w="203"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lang w:val="zh-TW" w:eastAsia="zh-TW" w:bidi="zh-TW"/>
              </w:rPr>
            </w:pPr>
          </w:p>
        </w:tc>
        <w:tc>
          <w:tcPr>
            <w:tcW w:w="298" w:type="pct"/>
            <w:tcBorders>
              <w:top w:val="single" w:color="auto" w:sz="4" w:space="0"/>
              <w:left w:val="single" w:color="auto" w:sz="4" w:space="0"/>
              <w:right w:val="single" w:color="auto" w:sz="4" w:space="0"/>
            </w:tcBorders>
            <w:shd w:val="clear" w:color="auto" w:fill="FFFFFF"/>
            <w:vAlign w:val="center"/>
          </w:tcPr>
          <w:p>
            <w:pPr>
              <w:jc w:val="center"/>
              <w:rPr>
                <w:rFonts w:ascii="宋体" w:hAnsi="宋体"/>
                <w:sz w:val="20"/>
                <w:szCs w:val="20"/>
                <w:lang w:bidi="zh-TW"/>
              </w:rPr>
            </w:pPr>
            <w:r>
              <w:rPr>
                <w:rFonts w:hint="eastAsia" w:ascii="宋体" w:hAnsi="宋体"/>
                <w:sz w:val="20"/>
                <w:szCs w:val="20"/>
                <w:lang w:val="zh-TW" w:eastAsia="zh-TW" w:bidi="zh-TW"/>
              </w:rPr>
              <w:t>巡回</w:t>
            </w:r>
          </w:p>
        </w:tc>
        <w:tc>
          <w:tcPr>
            <w:tcW w:w="1577" w:type="pct"/>
            <w:shd w:val="clear" w:color="auto" w:fill="FFFFFF"/>
            <w:vAlign w:val="center"/>
          </w:tcPr>
          <w:p>
            <w:pPr>
              <w:jc w:val="center"/>
              <w:rPr>
                <w:rFonts w:ascii="宋体" w:hAnsi="宋体"/>
                <w:sz w:val="20"/>
                <w:szCs w:val="20"/>
                <w:lang w:bidi="zh-TW"/>
              </w:rPr>
            </w:pPr>
            <w:r>
              <w:rPr>
                <w:rFonts w:hint="eastAsia" w:ascii="宋体" w:hAnsi="宋体"/>
                <w:sz w:val="20"/>
                <w:szCs w:val="20"/>
                <w:lang w:val="zh-TW" w:eastAsia="zh-TW" w:bidi="zh-TW"/>
              </w:rPr>
              <w:t>无异味、无锈</w:t>
            </w:r>
            <w:r>
              <w:rPr>
                <w:rFonts w:hint="eastAsia" w:ascii="宋体" w:hAnsi="宋体"/>
                <w:sz w:val="20"/>
                <w:szCs w:val="20"/>
              </w:rPr>
              <w:t>渍</w:t>
            </w:r>
            <w:r>
              <w:rPr>
                <w:rFonts w:hint="eastAsia" w:ascii="宋体" w:hAnsi="宋体"/>
                <w:sz w:val="20"/>
                <w:szCs w:val="20"/>
                <w:lang w:val="zh-TW" w:eastAsia="zh-TW" w:bidi="zh-TW"/>
              </w:rPr>
              <w:t>、地 面干爽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atLeast"/>
          <w:jc w:val="center"/>
        </w:trPr>
        <w:tc>
          <w:tcPr>
            <w:tcW w:w="372" w:type="pct"/>
            <w:vMerge w:val="continue"/>
            <w:shd w:val="clear" w:color="auto" w:fill="FFFFFF"/>
            <w:vAlign w:val="center"/>
          </w:tcPr>
          <w:p/>
        </w:tc>
        <w:tc>
          <w:tcPr>
            <w:tcW w:w="88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全面清洁</w:t>
            </w:r>
          </w:p>
        </w:tc>
        <w:tc>
          <w:tcPr>
            <w:tcW w:w="999"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大扫除</w:t>
            </w:r>
          </w:p>
        </w:tc>
        <w:tc>
          <w:tcPr>
            <w:tcW w:w="172"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lang w:eastAsia="zh-CN"/>
              </w:rPr>
            </w:pPr>
          </w:p>
        </w:tc>
        <w:tc>
          <w:tcPr>
            <w:tcW w:w="167"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lang w:val="en-US" w:eastAsia="zh-CN"/>
              </w:rPr>
            </w:pPr>
          </w:p>
        </w:tc>
        <w:tc>
          <w:tcPr>
            <w:tcW w:w="191"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134"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lang w:eastAsia="zh-CN"/>
              </w:rPr>
              <w:t>√</w:t>
            </w:r>
          </w:p>
        </w:tc>
        <w:tc>
          <w:tcPr>
            <w:tcW w:w="203"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p>
        </w:tc>
        <w:tc>
          <w:tcPr>
            <w:tcW w:w="298" w:type="pct"/>
            <w:tcBorders>
              <w:top w:val="single" w:color="auto" w:sz="4" w:space="0"/>
              <w:left w:val="single" w:color="auto" w:sz="4" w:space="0"/>
              <w:right w:val="single" w:color="auto" w:sz="4" w:space="0"/>
            </w:tcBorders>
            <w:shd w:val="clear" w:color="auto" w:fill="FFFFFF"/>
            <w:vAlign w:val="center"/>
          </w:tcPr>
          <w:p>
            <w:pPr>
              <w:pStyle w:val="54"/>
              <w:spacing w:line="360" w:lineRule="auto"/>
              <w:ind w:firstLine="0"/>
              <w:jc w:val="center"/>
              <w:rPr>
                <w:sz w:val="20"/>
                <w:szCs w:val="20"/>
              </w:rPr>
            </w:pPr>
            <w:r>
              <w:rPr>
                <w:rFonts w:hint="eastAsia"/>
                <w:sz w:val="20"/>
                <w:szCs w:val="20"/>
              </w:rPr>
              <w:t>1</w:t>
            </w:r>
          </w:p>
        </w:tc>
        <w:tc>
          <w:tcPr>
            <w:tcW w:w="1577" w:type="pct"/>
            <w:shd w:val="clear" w:color="auto" w:fill="FFFFFF"/>
            <w:vAlign w:val="center"/>
          </w:tcPr>
          <w:p>
            <w:pPr>
              <w:pStyle w:val="54"/>
              <w:spacing w:line="360" w:lineRule="auto"/>
              <w:ind w:firstLine="0"/>
              <w:jc w:val="center"/>
              <w:rPr>
                <w:sz w:val="20"/>
                <w:szCs w:val="20"/>
              </w:rPr>
            </w:pPr>
            <w:r>
              <w:rPr>
                <w:rFonts w:hint="eastAsia"/>
                <w:sz w:val="20"/>
                <w:szCs w:val="20"/>
              </w:rPr>
              <w:t>无卫生死角</w:t>
            </w:r>
          </w:p>
        </w:tc>
      </w:tr>
    </w:tbl>
    <w:p>
      <w:pPr>
        <w:ind w:firstLine="480" w:firstLineChars="200"/>
      </w:pPr>
      <w:r>
        <w:rPr>
          <w:rFonts w:hint="eastAsia"/>
        </w:rPr>
        <w:t>注:打“√”为该项服务周期，“多次”为视实际情况保洁，每天主管巡查不少于3次。</w:t>
      </w:r>
    </w:p>
    <w:p>
      <w:pPr>
        <w:ind w:firstLine="480" w:firstLineChars="200"/>
      </w:pPr>
      <w:r>
        <w:rPr>
          <w:rFonts w:hint="eastAsia"/>
        </w:rPr>
        <w:t>7.以上是最低清洁次数，采购人可视实际情况要求供应商在正常工作时间内增加清洁次数，由此产生的费用由供应商承担。</w:t>
      </w:r>
    </w:p>
    <w:p>
      <w:pPr>
        <w:ind w:firstLine="480" w:firstLineChars="200"/>
      </w:pPr>
      <w:r>
        <w:rPr>
          <w:rFonts w:hint="eastAsia"/>
        </w:rPr>
        <w:t>8.日常卫生间用品如厕纸、擦手纸、洗手液等已包含在物业管理费用中，采购人不再另行支付其它费用。</w:t>
      </w:r>
    </w:p>
    <w:p>
      <w:pPr>
        <w:ind w:firstLine="480" w:firstLineChars="200"/>
      </w:pPr>
      <w:r>
        <w:rPr>
          <w:rFonts w:hint="eastAsia"/>
        </w:rPr>
        <w:t>9.供应商应具有大型保洁车辆（如清扫车、清扫车），用于应对节假日、重大活动前对办公楼外围道路、广场的紧急冲洗任务。</w:t>
      </w:r>
    </w:p>
    <w:p>
      <w:pPr>
        <w:ind w:firstLine="480" w:firstLineChars="200"/>
      </w:pPr>
      <w:r>
        <w:rPr>
          <w:rFonts w:hint="eastAsia"/>
        </w:rPr>
        <w:t>10.供应商具有有害生物防治的专业技术能力，负责物业范围内的除四害消杀工作，针对四害生态特点，严格按照除四害规程操作，做到防治相结合，以达到最佳防治效果。</w:t>
      </w:r>
    </w:p>
    <w:p>
      <w:r>
        <w:rPr>
          <w:rFonts w:hint="eastAsia"/>
        </w:rPr>
        <w:t>三）南1、2号楼的物业主体、配套设施、机电设备的管理服务（工程技术员1名）</w:t>
      </w:r>
    </w:p>
    <w:p>
      <w:pPr>
        <w:ind w:firstLine="480" w:firstLineChars="200"/>
      </w:pPr>
      <w:r>
        <w:rPr>
          <w:rFonts w:hint="eastAsia"/>
        </w:rPr>
        <w:t>1.负责物业范围内给排水、排污系统、照明设施、门窗门锁的维修与更换，会议设备的日常使用、管理和养护。</w:t>
      </w:r>
    </w:p>
    <w:p>
      <w:pPr>
        <w:ind w:firstLine="480" w:firstLineChars="200"/>
      </w:pPr>
      <w:r>
        <w:rPr>
          <w:rFonts w:hint="eastAsia"/>
        </w:rPr>
        <w:t>2.负责机电设备的日常使用和管理。定时进行值班巡查，并做好记录，发现问题及时报告。</w:t>
      </w:r>
    </w:p>
    <w:p>
      <w:pPr>
        <w:ind w:firstLine="480" w:firstLineChars="200"/>
      </w:pPr>
      <w:r>
        <w:rPr>
          <w:rFonts w:hint="eastAsia"/>
        </w:rPr>
        <w:t>3.负责包括给排水、排污系统、照明及动力电系统、消防报警及灭火系统、监控防盗系统、会议设备系统、通讯设备系统、各楼层热水器，外墙灯饰等除高压电房以外的所有水、电设备设施，以及全部机电设备设施的日常使用管理及维护、维修。</w:t>
      </w:r>
    </w:p>
    <w:p>
      <w:pPr>
        <w:ind w:firstLine="480" w:firstLineChars="200"/>
      </w:pPr>
      <w:r>
        <w:rPr>
          <w:rFonts w:hint="eastAsia"/>
        </w:rPr>
        <w:t>（1）给排水、排污系统：负责雨水管、排污管、化油池、化粪池、给水管、水龙头等全部给排水、排污系统的管理、保养、疏通和维修；照明及动力等电力系统：各层室内外照明、开关插座等的管理、检查、保养、维护。</w:t>
      </w:r>
    </w:p>
    <w:p>
      <w:pPr>
        <w:ind w:firstLine="480" w:firstLineChars="200"/>
      </w:pPr>
      <w:r>
        <w:rPr>
          <w:rFonts w:hint="eastAsia"/>
        </w:rPr>
        <w:t>（2）安全监视控制系统：负责监控主机系统、各楼层（含电梯轿厢内）监控摄像点、录像设备日常使用管理。</w:t>
      </w:r>
    </w:p>
    <w:p>
      <w:pPr>
        <w:ind w:firstLine="480" w:firstLineChars="200"/>
      </w:pPr>
      <w:r>
        <w:rPr>
          <w:rFonts w:hint="eastAsia"/>
        </w:rPr>
        <w:t>（3）会议设备系统：负责所有会议室的会议设备系统的使用、调试、检修、管理、保养和一般性维修，确保会议设备系统处于良好的状态。</w:t>
      </w:r>
    </w:p>
    <w:p>
      <w:pPr>
        <w:ind w:firstLine="480" w:firstLineChars="200"/>
      </w:pPr>
      <w:r>
        <w:rPr>
          <w:rFonts w:hint="eastAsia"/>
        </w:rPr>
        <w:t>（4）外饰：春节、国庆两大节日期间的装饰工作（主要包括：灯笼、横幅等的悬挂）。</w:t>
      </w:r>
    </w:p>
    <w:p>
      <w:pPr>
        <w:ind w:firstLine="480" w:firstLineChars="200"/>
      </w:pPr>
      <w:r>
        <w:rPr>
          <w:rFonts w:hint="eastAsia"/>
        </w:rPr>
        <w:t>（5）负责物业范围内办公家具和办公电器设备简单故障的排除和维修。</w:t>
      </w:r>
    </w:p>
    <w:p>
      <w:pPr>
        <w:ind w:firstLine="480" w:firstLineChars="200"/>
      </w:pPr>
      <w:r>
        <w:rPr>
          <w:rFonts w:hint="eastAsia"/>
        </w:rPr>
        <w:t>（6）合理控制机电设备和照明的开关时间，尽量节省能源。</w:t>
      </w:r>
    </w:p>
    <w:p>
      <w:pPr>
        <w:ind w:firstLine="480" w:firstLineChars="200"/>
      </w:pPr>
      <w:r>
        <w:rPr>
          <w:rFonts w:hint="eastAsia"/>
        </w:rPr>
        <w:t>（7）负责弱电房日常使用和管理，楼内用电、用水简单线路布设等。</w:t>
      </w:r>
    </w:p>
    <w:p>
      <w:pPr>
        <w:ind w:firstLine="480" w:firstLineChars="200"/>
      </w:pPr>
      <w:r>
        <w:rPr>
          <w:rFonts w:hint="eastAsia"/>
        </w:rPr>
        <w:t>（8）负责空调维护保养和清洗消毒，视需要，每年三月份和九月份进行一到二次空调清洗消毒，针对空调发生的故障进行相应的维修，保证空调可正常使用。</w:t>
      </w:r>
    </w:p>
    <w:p>
      <w:r>
        <w:rPr>
          <w:rFonts w:hint="eastAsia"/>
        </w:rPr>
        <w:t>四）其他事项</w:t>
      </w:r>
    </w:p>
    <w:p>
      <w:pPr>
        <w:ind w:firstLine="480" w:firstLineChars="200"/>
      </w:pPr>
      <w:r>
        <w:rPr>
          <w:rFonts w:hint="eastAsia"/>
        </w:rPr>
        <w:t>1.负责采购人大型会议、活动场地布置，扩音系统、灯光、音响、投影、视频的检查、调试，会中保障、会后的管理等。</w:t>
      </w:r>
    </w:p>
    <w:p>
      <w:pPr>
        <w:ind w:firstLine="480" w:firstLineChars="200"/>
      </w:pPr>
      <w:r>
        <w:rPr>
          <w:rFonts w:hint="eastAsia"/>
        </w:rPr>
        <w:t>2.按采购人要求做好物业范围内各类传染病的各项防疫及应急工作。</w:t>
      </w:r>
    </w:p>
    <w:p>
      <w:pPr>
        <w:ind w:firstLine="480" w:firstLineChars="200"/>
      </w:pPr>
      <w:r>
        <w:rPr>
          <w:rFonts w:hint="eastAsia"/>
        </w:rPr>
        <w:t>3.负责物业范围内自然灾害（台风、水浸等）的防范及应急处置。</w:t>
      </w:r>
    </w:p>
    <w:p>
      <w:pPr>
        <w:ind w:firstLine="480" w:firstLineChars="200"/>
      </w:pPr>
      <w:r>
        <w:rPr>
          <w:rFonts w:hint="eastAsia"/>
        </w:rPr>
        <w:t>4.根据采购人的要求和指引，协助完成进出物业范围内的搬卸任务，协助采购人物业范围内废旧物品的处置。</w:t>
      </w:r>
    </w:p>
    <w:p>
      <w:pPr>
        <w:ind w:firstLine="480" w:firstLineChars="200"/>
      </w:pPr>
      <w:r>
        <w:rPr>
          <w:rFonts w:hint="eastAsia"/>
        </w:rPr>
        <w:t>5.从收到成交通知书之日起，供应商应依据采购人的需求，提前做好接管原物业管理的各项准备工作，从签订合同之日起全面接管相关物业管理工作。</w:t>
      </w:r>
    </w:p>
    <w:p>
      <w:pPr>
        <w:ind w:firstLine="480" w:firstLineChars="200"/>
      </w:pPr>
      <w:r>
        <w:rPr>
          <w:rFonts w:hint="eastAsia"/>
        </w:rPr>
        <w:t>6.负责办公楼物业管理服务项目其他相关工作及完成采购人提出的办公区域其他管理工作任务。</w:t>
      </w:r>
    </w:p>
    <w:p>
      <w:pPr>
        <w:ind w:firstLine="480" w:firstLineChars="200"/>
      </w:pPr>
      <w:r>
        <w:rPr>
          <w:rFonts w:hint="eastAsia"/>
        </w:rPr>
        <w:t>7.供应商具有在突发事件、急修、防灾抢险项目事发1小时内调配不少于 20 人到达现场的支援能力，以满足本项目应急需求。</w:t>
      </w:r>
    </w:p>
    <w:p>
      <w:pPr>
        <w:pStyle w:val="2"/>
        <w:rPr>
          <w:b/>
        </w:rPr>
      </w:pPr>
      <w:r>
        <w:rPr>
          <w:rFonts w:hint="eastAsia"/>
          <w:b/>
        </w:rPr>
        <w:t>（三）服务标准</w:t>
      </w:r>
    </w:p>
    <w:p>
      <w:pPr>
        <w:pStyle w:val="2"/>
      </w:pPr>
      <w:r>
        <w:rPr>
          <w:rFonts w:hint="eastAsia"/>
        </w:rPr>
        <w:t>一）服务质量要求</w:t>
      </w:r>
    </w:p>
    <w:p>
      <w:pPr>
        <w:ind w:firstLine="480" w:firstLineChars="200"/>
      </w:pPr>
      <w:r>
        <w:rPr>
          <w:rFonts w:hint="eastAsia"/>
        </w:rPr>
        <w:t>1.管理服务范围内无因供应商管理不当而发生重大刑事案件、重大交通及火灾等安全事故。 办公楼内无被盗等治安案件的发生，无纵火、爆炸、投毒、食物中毒等恶性事（案）件发生，无外事纠纷、泄密等事（案）件发生。大堂及各出入口、通道无群众出现混乱踩伤、跌伤及严重扰乱办公秩序的行为等情况发生。</w:t>
      </w:r>
    </w:p>
    <w:p>
      <w:pPr>
        <w:ind w:firstLine="480" w:firstLineChars="200"/>
      </w:pPr>
      <w:r>
        <w:rPr>
          <w:rFonts w:hint="eastAsia"/>
        </w:rPr>
        <w:t>2.严格遵守有关消防管理规定，确保无因供应商管理不当而发生消防事故，消防设备完好率100%,负责消防设施维保的专业公司负担的责任除外。</w:t>
      </w:r>
    </w:p>
    <w:p>
      <w:pPr>
        <w:ind w:firstLine="480" w:firstLineChars="200"/>
      </w:pPr>
      <w:r>
        <w:rPr>
          <w:rFonts w:hint="eastAsia"/>
        </w:rPr>
        <w:t>3.办公楼设施、机电设备无不当操作、管理等责任事故发生。</w:t>
      </w:r>
    </w:p>
    <w:p>
      <w:pPr>
        <w:ind w:firstLine="480" w:firstLineChars="200"/>
      </w:pPr>
      <w:r>
        <w:rPr>
          <w:rFonts w:hint="eastAsia"/>
        </w:rPr>
        <w:t>4.实行动态保洁，卫生清洁保洁率100%。</w:t>
      </w:r>
    </w:p>
    <w:p>
      <w:pPr>
        <w:ind w:firstLine="480" w:firstLineChars="200"/>
      </w:pPr>
      <w:r>
        <w:rPr>
          <w:rFonts w:hint="eastAsia"/>
        </w:rPr>
        <w:t>5.物业管理服务满意率在95%以上；投诉处理率100%。</w:t>
      </w:r>
    </w:p>
    <w:p>
      <w:pPr>
        <w:ind w:firstLine="480" w:firstLineChars="200"/>
      </w:pPr>
      <w:r>
        <w:rPr>
          <w:rFonts w:hint="eastAsia"/>
        </w:rPr>
        <w:t>6.供应商一切管理服务工作的实施，须以服从于采购人的工作需要为前提，以方便采购人为原则。</w:t>
      </w:r>
    </w:p>
    <w:p>
      <w:r>
        <w:rPr>
          <w:rFonts w:hint="eastAsia"/>
        </w:rPr>
        <w:t>二）服务质量考评及处罚办法</w:t>
      </w:r>
    </w:p>
    <w:p>
      <w:pPr>
        <w:ind w:firstLine="480" w:firstLineChars="200"/>
      </w:pPr>
      <w:r>
        <w:rPr>
          <w:rFonts w:hint="eastAsia"/>
        </w:rPr>
        <w:t>采购人于合同期内对供应商服务质量进行月度考评，每月的服务费与当月的月度考评成绩挂钩。考评方法和依据是国家相关规定、行业规定以及采购人制定的考评规定。评分按百分制，每一个月为一个计分周期。采购人有使用第三方物业服务监理机构实施月度考评的权利。</w:t>
      </w:r>
    </w:p>
    <w:p>
      <w:pPr>
        <w:ind w:firstLine="480" w:firstLineChars="200"/>
      </w:pPr>
      <w:r>
        <w:rPr>
          <w:rFonts w:hint="eastAsia"/>
        </w:rPr>
        <w:t>扣分标准：</w:t>
      </w:r>
    </w:p>
    <w:p>
      <w:pPr>
        <w:ind w:firstLine="480" w:firstLineChars="200"/>
      </w:pPr>
      <w:r>
        <w:rPr>
          <w:rFonts w:hint="eastAsia"/>
        </w:rPr>
        <w:t>1、管理及用人方面</w:t>
      </w:r>
    </w:p>
    <w:p>
      <w:pPr>
        <w:ind w:firstLine="480" w:firstLineChars="200"/>
      </w:pPr>
      <w:r>
        <w:rPr>
          <w:rFonts w:hint="eastAsia"/>
        </w:rPr>
        <w:t>（1）供应商员工未按规定统一着装，每人每次扣0.5分：</w:t>
      </w:r>
    </w:p>
    <w:p>
      <w:pPr>
        <w:ind w:firstLine="480" w:firstLineChars="200"/>
      </w:pPr>
      <w:r>
        <w:rPr>
          <w:rFonts w:hint="eastAsia"/>
        </w:rPr>
        <w:t>（2）供应商员工上班时间无故脱离工作岗位，每发现一次扣1分；</w:t>
      </w:r>
    </w:p>
    <w:p>
      <w:pPr>
        <w:ind w:firstLine="480" w:firstLineChars="200"/>
      </w:pPr>
      <w:r>
        <w:rPr>
          <w:rFonts w:hint="eastAsia"/>
        </w:rPr>
        <w:t>（3）供应商员工在工作期间发生盗窃、打架斗殴情况，每次扣5分；</w:t>
      </w:r>
    </w:p>
    <w:p>
      <w:pPr>
        <w:ind w:firstLine="480" w:firstLineChars="200"/>
      </w:pPr>
      <w:r>
        <w:rPr>
          <w:rFonts w:hint="eastAsia"/>
        </w:rPr>
        <w:t>（4）供应商员工在服务范围内出现违反国家法律法规、采购人单位规章制度等违法、违规行为的，每发生一次扣10分：情节严重，影响恶劣的，每次扣20分；</w:t>
      </w:r>
    </w:p>
    <w:p>
      <w:pPr>
        <w:ind w:firstLine="480" w:firstLineChars="200"/>
      </w:pPr>
      <w:r>
        <w:rPr>
          <w:rFonts w:hint="eastAsia"/>
        </w:rPr>
        <w:t>（5）未经采购人同意，随意更换管理人员，每次扣3分；</w:t>
      </w:r>
    </w:p>
    <w:p>
      <w:pPr>
        <w:ind w:firstLine="480" w:firstLineChars="200"/>
      </w:pPr>
      <w:r>
        <w:rPr>
          <w:rFonts w:hint="eastAsia"/>
        </w:rPr>
        <w:t>（6）供应商员工无故不服从采购人工作安排，导致工作延误的，每次扣3分，造成严重后果的每次扣10分；</w:t>
      </w:r>
    </w:p>
    <w:p>
      <w:pPr>
        <w:ind w:firstLine="480" w:firstLineChars="200"/>
      </w:pPr>
      <w:r>
        <w:rPr>
          <w:rFonts w:hint="eastAsia"/>
        </w:rPr>
        <w:t>（7）供应商未制定各项管理规章制度、未及时做好物业管理工作台账上报采购人或记录与实际不符，每次扣3分；</w:t>
      </w:r>
    </w:p>
    <w:p>
      <w:pPr>
        <w:ind w:firstLine="480" w:firstLineChars="200"/>
      </w:pPr>
      <w:r>
        <w:rPr>
          <w:rFonts w:hint="eastAsia"/>
        </w:rPr>
        <w:t>（8）因供应商管理不善，造成劳动纠纷或群体事件的，每发生一次扣10分，影响恶劣，造成严重后果的，每次扣20分；</w:t>
      </w:r>
    </w:p>
    <w:p>
      <w:pPr>
        <w:ind w:firstLine="480" w:firstLineChars="200"/>
      </w:pPr>
      <w:r>
        <w:rPr>
          <w:rFonts w:hint="eastAsia"/>
        </w:rPr>
        <w:t>（9）每个星期须对人员就岗情况进行考核，项目内员工调整造成缺员，5日内不能补充到位，每次扣3分。采购人要求更换的人员未按要求更换的，每次扣3分；</w:t>
      </w:r>
    </w:p>
    <w:p>
      <w:pPr>
        <w:ind w:firstLine="480" w:firstLineChars="200"/>
      </w:pPr>
      <w:r>
        <w:rPr>
          <w:rFonts w:hint="eastAsia"/>
        </w:rPr>
        <w:t>（10）成交供应商签订合同后未建立完善的巡查巡检制度，进行日常及周期巡检，每次扣3分；成交供应商签订合同后日常管理中出现的问题不及时整改或被采购人督促后3日内未整改的，每次扣3分；</w:t>
      </w:r>
    </w:p>
    <w:p>
      <w:pPr>
        <w:ind w:firstLine="480" w:firstLineChars="200"/>
      </w:pPr>
      <w:r>
        <w:rPr>
          <w:rFonts w:hint="eastAsia"/>
        </w:rPr>
        <w:t>（11）项目员工故意浪费采购人水、电，每发现一次扣2分；</w:t>
      </w:r>
    </w:p>
    <w:p>
      <w:pPr>
        <w:ind w:firstLine="480" w:firstLineChars="200"/>
      </w:pPr>
      <w:r>
        <w:rPr>
          <w:rFonts w:hint="eastAsia"/>
        </w:rPr>
        <w:t>（12）合同期内出现事故或过错隐瞒不报，每发现一宗扣1分，情节严重的扣5分。</w:t>
      </w:r>
    </w:p>
    <w:p>
      <w:pPr>
        <w:ind w:firstLine="480" w:firstLineChars="200"/>
      </w:pPr>
      <w:r>
        <w:rPr>
          <w:rFonts w:hint="eastAsia"/>
        </w:rPr>
        <w:t>2、保洁方面</w:t>
      </w:r>
    </w:p>
    <w:p>
      <w:pPr>
        <w:ind w:firstLine="480" w:firstLineChars="200"/>
      </w:pPr>
      <w:r>
        <w:rPr>
          <w:rFonts w:hint="eastAsia"/>
        </w:rPr>
        <w:t>（1）未按磋商文件要求完成保洁工作的，每次扣2分；</w:t>
      </w:r>
    </w:p>
    <w:p>
      <w:pPr>
        <w:ind w:firstLine="480" w:firstLineChars="200"/>
      </w:pPr>
      <w:r>
        <w:rPr>
          <w:rFonts w:hint="eastAsia"/>
        </w:rPr>
        <w:t>（2）每天未能及时收集、分类、清运楼层垃圾的，每次扣1分；超过2天未将垃圾场堆放的垃圾清运出采购人场地，每次扣3分，经采购人督促还拖延清运工作的，每次扣5分。</w:t>
      </w:r>
    </w:p>
    <w:p>
      <w:pPr>
        <w:ind w:firstLine="480" w:firstLineChars="200"/>
      </w:pPr>
      <w:r>
        <w:rPr>
          <w:rFonts w:hint="eastAsia"/>
        </w:rPr>
        <w:t>3、工程维修方面</w:t>
      </w:r>
    </w:p>
    <w:p>
      <w:pPr>
        <w:ind w:firstLine="480" w:firstLineChars="200"/>
      </w:pPr>
      <w:r>
        <w:rPr>
          <w:rFonts w:hint="eastAsia"/>
        </w:rPr>
        <w:t>（1）供应商未按磋商文件约定及行业相关规定完成相关工作，每次扣2分；</w:t>
      </w:r>
    </w:p>
    <w:p>
      <w:pPr>
        <w:ind w:firstLine="480" w:firstLineChars="200"/>
      </w:pPr>
      <w:r>
        <w:rPr>
          <w:rFonts w:hint="eastAsia"/>
        </w:rPr>
        <w:t>（2）以无库存材料或其他原因为由随意拖延维修工作，每发现一次扣3分；</w:t>
      </w:r>
    </w:p>
    <w:p>
      <w:pPr>
        <w:ind w:firstLine="480" w:firstLineChars="200"/>
      </w:pPr>
      <w:r>
        <w:rPr>
          <w:rFonts w:hint="eastAsia"/>
        </w:rPr>
        <w:t>（3）接采购人报修后，1小时内无响应或无反馈，每次扣1分。</w:t>
      </w:r>
    </w:p>
    <w:p>
      <w:pPr>
        <w:ind w:firstLine="480" w:firstLineChars="200"/>
      </w:pPr>
      <w:r>
        <w:rPr>
          <w:rFonts w:hint="eastAsia"/>
        </w:rPr>
        <w:t>4、其他方面</w:t>
      </w:r>
    </w:p>
    <w:p>
      <w:pPr>
        <w:ind w:firstLine="480" w:firstLineChars="200"/>
      </w:pPr>
      <w:r>
        <w:rPr>
          <w:rFonts w:hint="eastAsia"/>
        </w:rPr>
        <w:t>供应商出现其他违反磋商文件的行为、合同条款未履行、供应商响应文件承诺事项不能兑现的，视情况每发现一次扣2分，情形严重的扣10分。</w:t>
      </w:r>
    </w:p>
    <w:p>
      <w:pPr>
        <w:ind w:firstLine="480" w:firstLineChars="200"/>
      </w:pPr>
      <w:r>
        <w:rPr>
          <w:rFonts w:hint="eastAsia"/>
        </w:rPr>
        <w:t>5、其他扣分事项由双方具体商议。</w:t>
      </w:r>
    </w:p>
    <w:p>
      <w:pPr>
        <w:ind w:firstLine="480" w:firstLineChars="200"/>
      </w:pPr>
      <w:r>
        <w:rPr>
          <w:rFonts w:hint="eastAsia"/>
        </w:rPr>
        <w:t>（1）采购人有扣分决定权，在扣分时对供应商发出《违约整改通知书》。</w:t>
      </w:r>
    </w:p>
    <w:p>
      <w:pPr>
        <w:ind w:firstLine="480" w:firstLineChars="200"/>
      </w:pPr>
      <w:r>
        <w:rPr>
          <w:rFonts w:hint="eastAsia"/>
        </w:rPr>
        <w:t>（2）供应商在收到《违约整改通知书》后，应在采购人规定的限期内进行整改，并及时将整改的情况书面报采购人。如供应商此后未做整改或整改无效果，则每次扣10分。《违约整改通知书》由采购人发出。</w:t>
      </w:r>
    </w:p>
    <w:p>
      <w:pPr>
        <w:ind w:firstLine="480" w:firstLineChars="200"/>
      </w:pPr>
      <w:r>
        <w:rPr>
          <w:rFonts w:hint="eastAsia"/>
        </w:rPr>
        <w:t>（3）采购人每月月初制作上月考评总表，作为结算依据。</w:t>
      </w:r>
    </w:p>
    <w:p>
      <w:pPr>
        <w:ind w:firstLine="480" w:firstLineChars="200"/>
      </w:pPr>
      <w:r>
        <w:rPr>
          <w:rFonts w:hint="eastAsia"/>
        </w:rPr>
        <w:t>6、采购人每月实际支付的物业管理费与当月的月度考核总评挂钩：</w:t>
      </w:r>
    </w:p>
    <w:p>
      <w:pPr>
        <w:ind w:firstLine="480" w:firstLineChars="200"/>
      </w:pPr>
      <w:r>
        <w:rPr>
          <w:rFonts w:hint="eastAsia"/>
        </w:rPr>
        <w:t>（1）总分为100分，当月总评&gt;90分的，当月物业管理费按每月服务费基数100%支付；</w:t>
      </w:r>
    </w:p>
    <w:p>
      <w:pPr>
        <w:ind w:firstLine="480" w:firstLineChars="200"/>
      </w:pPr>
      <w:r>
        <w:rPr>
          <w:rFonts w:hint="eastAsia"/>
        </w:rPr>
        <w:t>（2）90分≥当月总评&gt;80分的，当月物业管理费按每月服务费基数90%支付；</w:t>
      </w:r>
    </w:p>
    <w:p>
      <w:pPr>
        <w:ind w:firstLine="480" w:firstLineChars="200"/>
      </w:pPr>
      <w:r>
        <w:rPr>
          <w:rFonts w:hint="eastAsia"/>
        </w:rPr>
        <w:t>（3）80分≥当月总评&gt;70分的，当月物业管理费按每月服务费基数80%支付；</w:t>
      </w:r>
    </w:p>
    <w:p>
      <w:pPr>
        <w:ind w:firstLine="480" w:firstLineChars="200"/>
      </w:pPr>
      <w:r>
        <w:rPr>
          <w:rFonts w:hint="eastAsia"/>
        </w:rPr>
        <w:t>（4）月度考核≤70分的，当月物业管理费按每月服务费基数70%支付，同时采购人发出《违约整改通知书》，一个年度内出现3次服务质量考核低于70分的，采购人有权终止合同。</w:t>
      </w:r>
    </w:p>
    <w:p>
      <w:pPr>
        <w:ind w:firstLine="480" w:firstLineChars="200"/>
      </w:pPr>
      <w:r>
        <w:rPr>
          <w:rFonts w:hint="eastAsia"/>
        </w:rPr>
        <w:t>（5）当月物业管理费在100%的基准上扣除的差额部分，采购人有权用于奖励供应商优秀员工。</w:t>
      </w:r>
    </w:p>
    <w:p>
      <w:pPr>
        <w:adjustRightInd w:val="0"/>
        <w:snapToGrid w:val="0"/>
        <w:spacing w:before="240" w:beforeLines="100"/>
        <w:jc w:val="center"/>
        <w:rPr>
          <w:rFonts w:ascii="宋体" w:hAnsi="宋体"/>
          <w:b/>
        </w:rPr>
      </w:pPr>
      <w:r>
        <w:rPr>
          <w:rFonts w:ascii="宋体" w:hAnsi="宋体"/>
          <w:b/>
        </w:rPr>
        <w:t>月度</w:t>
      </w:r>
      <w:r>
        <w:rPr>
          <w:rFonts w:hint="eastAsia" w:ascii="宋体" w:hAnsi="宋体"/>
          <w:b/>
        </w:rPr>
        <w:t>考评表</w:t>
      </w:r>
    </w:p>
    <w:tbl>
      <w:tblPr>
        <w:tblStyle w:val="30"/>
        <w:tblW w:w="48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5"/>
        <w:gridCol w:w="537"/>
        <w:gridCol w:w="539"/>
        <w:gridCol w:w="540"/>
        <w:gridCol w:w="540"/>
        <w:gridCol w:w="538"/>
        <w:gridCol w:w="542"/>
        <w:gridCol w:w="542"/>
        <w:gridCol w:w="542"/>
        <w:gridCol w:w="538"/>
        <w:gridCol w:w="542"/>
        <w:gridCol w:w="542"/>
        <w:gridCol w:w="542"/>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61" w:type="pct"/>
            <w:vAlign w:val="center"/>
          </w:tcPr>
          <w:p>
            <w:pPr>
              <w:rPr>
                <w:rFonts w:ascii="Calibri" w:hAnsi="Calibri" w:cs="宋体"/>
                <w:sz w:val="20"/>
              </w:rPr>
            </w:pPr>
            <w:bookmarkStart w:id="67" w:name="_Hlk154770978"/>
            <w:r>
              <w:rPr>
                <w:rFonts w:ascii="Calibri" w:hAnsi="Calibri" w:cs="宋体"/>
                <w:sz w:val="20"/>
              </w:rPr>
              <w:t>扣分项目</w:t>
            </w:r>
          </w:p>
        </w:tc>
        <w:tc>
          <w:tcPr>
            <w:tcW w:w="283" w:type="pct"/>
            <w:vAlign w:val="center"/>
          </w:tcPr>
          <w:p>
            <w:pPr>
              <w:rPr>
                <w:rFonts w:ascii="Calibri" w:hAnsi="Calibri" w:cs="宋体"/>
                <w:sz w:val="20"/>
              </w:rPr>
            </w:pPr>
            <w:r>
              <w:rPr>
                <w:rFonts w:hint="eastAsia" w:ascii="Calibri" w:hAnsi="Calibri" w:cs="宋体"/>
                <w:sz w:val="20"/>
              </w:rPr>
              <w:t>1</w:t>
            </w:r>
          </w:p>
        </w:tc>
        <w:tc>
          <w:tcPr>
            <w:tcW w:w="284" w:type="pct"/>
            <w:vAlign w:val="center"/>
          </w:tcPr>
          <w:p>
            <w:pPr>
              <w:rPr>
                <w:rFonts w:ascii="Calibri" w:hAnsi="Calibri" w:cs="宋体"/>
                <w:sz w:val="20"/>
              </w:rPr>
            </w:pPr>
            <w:r>
              <w:rPr>
                <w:rFonts w:hint="eastAsia" w:ascii="Calibri" w:hAnsi="Calibri" w:cs="宋体"/>
                <w:sz w:val="20"/>
              </w:rPr>
              <w:t>2</w:t>
            </w:r>
          </w:p>
        </w:tc>
        <w:tc>
          <w:tcPr>
            <w:tcW w:w="284" w:type="pct"/>
            <w:vAlign w:val="center"/>
          </w:tcPr>
          <w:p>
            <w:pPr>
              <w:rPr>
                <w:rFonts w:ascii="Calibri" w:hAnsi="Calibri" w:cs="宋体"/>
                <w:sz w:val="20"/>
              </w:rPr>
            </w:pPr>
            <w:r>
              <w:rPr>
                <w:rFonts w:hint="eastAsia" w:ascii="Calibri" w:hAnsi="Calibri" w:cs="宋体"/>
                <w:sz w:val="20"/>
              </w:rPr>
              <w:t>3</w:t>
            </w:r>
          </w:p>
        </w:tc>
        <w:tc>
          <w:tcPr>
            <w:tcW w:w="284" w:type="pct"/>
            <w:vAlign w:val="center"/>
          </w:tcPr>
          <w:p>
            <w:pPr>
              <w:rPr>
                <w:rFonts w:ascii="Calibri" w:hAnsi="Calibri" w:cs="宋体"/>
                <w:sz w:val="20"/>
              </w:rPr>
            </w:pPr>
            <w:r>
              <w:rPr>
                <w:rFonts w:hint="eastAsia" w:ascii="Calibri" w:hAnsi="Calibri" w:cs="宋体"/>
                <w:sz w:val="20"/>
              </w:rPr>
              <w:t>4</w:t>
            </w:r>
          </w:p>
        </w:tc>
        <w:tc>
          <w:tcPr>
            <w:tcW w:w="283" w:type="pct"/>
            <w:vAlign w:val="center"/>
          </w:tcPr>
          <w:p>
            <w:pPr>
              <w:rPr>
                <w:rFonts w:ascii="Calibri" w:hAnsi="Calibri" w:cs="宋体"/>
                <w:sz w:val="20"/>
              </w:rPr>
            </w:pPr>
            <w:r>
              <w:rPr>
                <w:rFonts w:hint="eastAsia" w:ascii="Calibri" w:hAnsi="Calibri" w:cs="宋体"/>
                <w:sz w:val="20"/>
              </w:rPr>
              <w:t>5</w:t>
            </w:r>
          </w:p>
        </w:tc>
        <w:tc>
          <w:tcPr>
            <w:tcW w:w="285" w:type="pct"/>
            <w:vAlign w:val="center"/>
          </w:tcPr>
          <w:p>
            <w:pPr>
              <w:rPr>
                <w:rFonts w:ascii="Calibri" w:hAnsi="Calibri" w:cs="宋体"/>
                <w:sz w:val="20"/>
              </w:rPr>
            </w:pPr>
            <w:r>
              <w:rPr>
                <w:rFonts w:hint="eastAsia" w:ascii="Calibri" w:hAnsi="Calibri" w:cs="宋体"/>
                <w:sz w:val="20"/>
              </w:rPr>
              <w:t>6</w:t>
            </w:r>
          </w:p>
        </w:tc>
        <w:tc>
          <w:tcPr>
            <w:tcW w:w="285" w:type="pct"/>
            <w:vAlign w:val="center"/>
          </w:tcPr>
          <w:p>
            <w:pPr>
              <w:rPr>
                <w:rFonts w:ascii="Calibri" w:hAnsi="Calibri" w:cs="宋体"/>
                <w:sz w:val="20"/>
              </w:rPr>
            </w:pPr>
            <w:r>
              <w:rPr>
                <w:rFonts w:hint="eastAsia" w:ascii="Calibri" w:hAnsi="Calibri" w:cs="宋体"/>
                <w:sz w:val="20"/>
              </w:rPr>
              <w:t>7</w:t>
            </w:r>
          </w:p>
        </w:tc>
        <w:tc>
          <w:tcPr>
            <w:tcW w:w="285" w:type="pct"/>
            <w:vAlign w:val="center"/>
          </w:tcPr>
          <w:p>
            <w:pPr>
              <w:rPr>
                <w:rFonts w:ascii="Calibri" w:hAnsi="Calibri" w:cs="宋体"/>
                <w:sz w:val="20"/>
              </w:rPr>
            </w:pPr>
            <w:r>
              <w:rPr>
                <w:rFonts w:hint="eastAsia" w:ascii="Calibri" w:hAnsi="Calibri" w:cs="宋体"/>
                <w:sz w:val="20"/>
              </w:rPr>
              <w:t>8</w:t>
            </w:r>
          </w:p>
        </w:tc>
        <w:tc>
          <w:tcPr>
            <w:tcW w:w="283" w:type="pct"/>
            <w:vAlign w:val="center"/>
          </w:tcPr>
          <w:p>
            <w:pPr>
              <w:rPr>
                <w:rFonts w:ascii="Calibri" w:hAnsi="Calibri" w:cs="宋体"/>
                <w:sz w:val="20"/>
              </w:rPr>
            </w:pPr>
            <w:r>
              <w:rPr>
                <w:rFonts w:hint="eastAsia" w:ascii="Calibri" w:hAnsi="Calibri" w:cs="宋体"/>
                <w:sz w:val="20"/>
              </w:rPr>
              <w:t>9</w:t>
            </w:r>
          </w:p>
        </w:tc>
        <w:tc>
          <w:tcPr>
            <w:tcW w:w="285" w:type="pct"/>
            <w:vAlign w:val="center"/>
          </w:tcPr>
          <w:p>
            <w:pPr>
              <w:rPr>
                <w:rFonts w:ascii="Calibri" w:hAnsi="Calibri" w:cs="宋体"/>
                <w:sz w:val="20"/>
              </w:rPr>
            </w:pPr>
            <w:r>
              <w:rPr>
                <w:rFonts w:hint="eastAsia" w:ascii="Calibri" w:hAnsi="Calibri" w:cs="宋体"/>
                <w:sz w:val="20"/>
              </w:rPr>
              <w:t>1</w:t>
            </w:r>
            <w:r>
              <w:rPr>
                <w:rFonts w:ascii="Calibri" w:hAnsi="Calibri" w:cs="宋体"/>
                <w:sz w:val="20"/>
              </w:rPr>
              <w:t>0</w:t>
            </w:r>
          </w:p>
        </w:tc>
        <w:tc>
          <w:tcPr>
            <w:tcW w:w="285" w:type="pct"/>
            <w:vAlign w:val="center"/>
          </w:tcPr>
          <w:p>
            <w:pPr>
              <w:rPr>
                <w:rFonts w:ascii="Calibri" w:hAnsi="Calibri" w:cs="宋体"/>
                <w:sz w:val="20"/>
              </w:rPr>
            </w:pPr>
            <w:r>
              <w:rPr>
                <w:rFonts w:hint="eastAsia" w:ascii="Calibri" w:hAnsi="Calibri" w:cs="宋体"/>
                <w:sz w:val="20"/>
              </w:rPr>
              <w:t>1</w:t>
            </w:r>
            <w:r>
              <w:rPr>
                <w:rFonts w:ascii="Calibri" w:hAnsi="Calibri" w:cs="宋体"/>
                <w:sz w:val="20"/>
              </w:rPr>
              <w:t>1</w:t>
            </w:r>
          </w:p>
        </w:tc>
        <w:tc>
          <w:tcPr>
            <w:tcW w:w="285" w:type="pct"/>
            <w:vAlign w:val="center"/>
          </w:tcPr>
          <w:p>
            <w:pPr>
              <w:rPr>
                <w:rFonts w:ascii="Calibri" w:hAnsi="Calibri" w:cs="宋体"/>
                <w:sz w:val="20"/>
              </w:rPr>
            </w:pPr>
            <w:r>
              <w:rPr>
                <w:rFonts w:hint="eastAsia" w:ascii="Calibri" w:hAnsi="Calibri" w:cs="宋体"/>
                <w:sz w:val="20"/>
              </w:rPr>
              <w:t>1</w:t>
            </w:r>
            <w:r>
              <w:rPr>
                <w:rFonts w:ascii="Calibri" w:hAnsi="Calibri" w:cs="宋体"/>
                <w:sz w:val="20"/>
              </w:rPr>
              <w:t>2</w:t>
            </w:r>
          </w:p>
        </w:tc>
        <w:tc>
          <w:tcPr>
            <w:tcW w:w="727" w:type="pct"/>
            <w:vAlign w:val="center"/>
          </w:tcPr>
          <w:p>
            <w:pPr>
              <w:rPr>
                <w:rFonts w:ascii="Calibri" w:hAnsi="Calibri" w:cs="宋体"/>
                <w:sz w:val="20"/>
              </w:rPr>
            </w:pPr>
            <w:r>
              <w:rPr>
                <w:rFonts w:hint="eastAsia" w:ascii="Calibri" w:hAnsi="Calibri" w:cs="宋体"/>
                <w:sz w:val="20"/>
              </w:rPr>
              <w:t>总扣分数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61" w:type="pct"/>
            <w:vAlign w:val="center"/>
          </w:tcPr>
          <w:p>
            <w:pPr>
              <w:rPr>
                <w:rFonts w:ascii="Calibri" w:hAnsi="Calibri" w:cs="宋体"/>
                <w:sz w:val="20"/>
              </w:rPr>
            </w:pPr>
            <w:r>
              <w:rPr>
                <w:rFonts w:ascii="Calibri" w:hAnsi="Calibri" w:cs="宋体"/>
                <w:sz w:val="20"/>
              </w:rPr>
              <w:t>扣分数</w:t>
            </w:r>
          </w:p>
        </w:tc>
        <w:tc>
          <w:tcPr>
            <w:tcW w:w="283"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4"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4"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4"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3"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3"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727" w:type="pct"/>
            <w:vAlign w:val="center"/>
          </w:tcPr>
          <w:p>
            <w:pPr>
              <w:rPr>
                <w:rFonts w:ascii="Calibri" w:hAnsi="Calibri"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861" w:type="pct"/>
            <w:vAlign w:val="center"/>
          </w:tcPr>
          <w:p>
            <w:pPr>
              <w:rPr>
                <w:rFonts w:ascii="Calibri" w:hAnsi="Calibri" w:cs="宋体"/>
                <w:sz w:val="20"/>
              </w:rPr>
            </w:pPr>
            <w:r>
              <w:rPr>
                <w:rFonts w:ascii="Calibri" w:hAnsi="Calibri" w:cs="宋体"/>
                <w:sz w:val="20"/>
              </w:rPr>
              <w:t>得分（</w:t>
            </w:r>
            <w:r>
              <w:rPr>
                <w:rFonts w:hint="eastAsia" w:ascii="Calibri" w:hAnsi="Calibri" w:cs="宋体"/>
                <w:sz w:val="20"/>
              </w:rPr>
              <w:t>1</w:t>
            </w:r>
            <w:r>
              <w:rPr>
                <w:rFonts w:ascii="Calibri" w:hAnsi="Calibri" w:cs="宋体"/>
                <w:sz w:val="20"/>
              </w:rPr>
              <w:t>00-总扣分数）</w:t>
            </w:r>
          </w:p>
        </w:tc>
        <w:tc>
          <w:tcPr>
            <w:tcW w:w="4139" w:type="pct"/>
            <w:gridSpan w:val="13"/>
            <w:vAlign w:val="center"/>
          </w:tcPr>
          <w:p>
            <w:pPr>
              <w:ind w:firstLine="1200" w:firstLineChars="600"/>
              <w:rPr>
                <w:rFonts w:ascii="Calibri" w:hAnsi="Calibri" w:cs="宋体"/>
                <w:sz w:val="20"/>
              </w:rPr>
            </w:pPr>
            <w:r>
              <w:rPr>
                <w:rFonts w:ascii="Calibri" w:hAnsi="Calibri" w:cs="宋体"/>
                <w:sz w:val="20"/>
              </w:rPr>
              <w:t>：</w:t>
            </w:r>
          </w:p>
          <w:p>
            <w:pPr>
              <w:ind w:firstLine="400" w:firstLineChars="200"/>
              <w:rPr>
                <w:rFonts w:ascii="Calibri" w:hAnsi="Calibri" w:cs="宋体"/>
                <w:sz w:val="20"/>
              </w:rPr>
            </w:pPr>
            <w:r>
              <w:rPr>
                <w:rFonts w:ascii="Calibri" w:hAnsi="Calibri" w:cs="宋体"/>
                <w:sz w:val="20"/>
              </w:rPr>
              <w:t>你单位</w:t>
            </w:r>
            <w:r>
              <w:rPr>
                <w:rFonts w:hint="eastAsia" w:ascii="Calibri" w:hAnsi="Calibri" w:cs="宋体"/>
                <w:sz w:val="20"/>
              </w:rPr>
              <w:t xml:space="preserve"> </w:t>
            </w:r>
            <w:r>
              <w:rPr>
                <w:rFonts w:ascii="Calibri" w:hAnsi="Calibri" w:cs="宋体"/>
                <w:sz w:val="20"/>
              </w:rPr>
              <w:t xml:space="preserve">  年</w:t>
            </w:r>
            <w:r>
              <w:rPr>
                <w:rFonts w:hint="eastAsia" w:ascii="Calibri" w:hAnsi="Calibri" w:cs="宋体"/>
                <w:sz w:val="20"/>
              </w:rPr>
              <w:t xml:space="preserve"> </w:t>
            </w:r>
            <w:r>
              <w:rPr>
                <w:rFonts w:ascii="Calibri" w:hAnsi="Calibri" w:cs="宋体"/>
                <w:sz w:val="20"/>
              </w:rPr>
              <w:t xml:space="preserve">  月的项目得分为</w:t>
            </w:r>
            <w:r>
              <w:rPr>
                <w:rFonts w:hint="eastAsia" w:ascii="Calibri" w:hAnsi="Calibri" w:cs="宋体"/>
                <w:sz w:val="20"/>
              </w:rPr>
              <w:t xml:space="preserve"> </w:t>
            </w:r>
            <w:r>
              <w:rPr>
                <w:rFonts w:ascii="Calibri" w:hAnsi="Calibri" w:cs="宋体"/>
                <w:sz w:val="20"/>
              </w:rPr>
              <w:t xml:space="preserve">  分，特此通知。</w:t>
            </w:r>
          </w:p>
          <w:p>
            <w:pPr>
              <w:ind w:firstLine="562" w:firstLineChars="200"/>
              <w:rPr>
                <w:rFonts w:ascii="宋体" w:hAnsi="宋体" w:cs="宋体"/>
                <w:b/>
                <w:bCs/>
                <w:kern w:val="44"/>
                <w:sz w:val="28"/>
                <w:szCs w:val="44"/>
              </w:rPr>
            </w:pPr>
          </w:p>
          <w:p>
            <w:pPr>
              <w:ind w:firstLine="400" w:firstLineChars="200"/>
              <w:outlineLvl w:val="0"/>
              <w:rPr>
                <w:rFonts w:ascii="Calibri" w:hAnsi="Calibri" w:cs="宋体"/>
                <w:sz w:val="20"/>
              </w:rPr>
            </w:pPr>
            <w:bookmarkStart w:id="68" w:name="_Toc25417"/>
            <w:r>
              <w:rPr>
                <w:rFonts w:hint="eastAsia" w:ascii="Calibri" w:hAnsi="Calibri" w:cs="宋体"/>
                <w:sz w:val="20"/>
              </w:rPr>
              <w:t>被通知单位负责人或委托人签收：</w:t>
            </w:r>
            <w:bookmarkEnd w:id="68"/>
          </w:p>
          <w:p>
            <w:pPr>
              <w:rPr>
                <w:rFonts w:ascii="Calibri" w:hAnsi="Calibri" w:cs="宋体"/>
                <w:sz w:val="20"/>
              </w:rPr>
            </w:pPr>
            <w:r>
              <w:rPr>
                <w:rFonts w:ascii="Calibri" w:hAnsi="Calibri" w:cs="宋体"/>
                <w:sz w:val="20"/>
              </w:rPr>
              <w:t xml:space="preserve">                               </w:t>
            </w:r>
          </w:p>
          <w:p>
            <w:pPr>
              <w:outlineLvl w:val="0"/>
              <w:rPr>
                <w:rFonts w:ascii="宋体" w:hAnsi="宋体" w:cs="宋体"/>
                <w:b/>
                <w:bCs/>
                <w:kern w:val="44"/>
                <w:sz w:val="28"/>
                <w:szCs w:val="44"/>
              </w:rPr>
            </w:pPr>
            <w:r>
              <w:rPr>
                <w:rFonts w:hint="eastAsia" w:ascii="宋体" w:hAnsi="宋体" w:cs="宋体"/>
                <w:b/>
                <w:bCs/>
                <w:kern w:val="44"/>
                <w:sz w:val="28"/>
                <w:szCs w:val="44"/>
              </w:rPr>
              <w:t xml:space="preserve"> </w:t>
            </w:r>
            <w:r>
              <w:rPr>
                <w:rFonts w:ascii="宋体" w:hAnsi="宋体" w:cs="宋体"/>
                <w:b/>
                <w:bCs/>
                <w:kern w:val="44"/>
                <w:sz w:val="28"/>
                <w:szCs w:val="44"/>
              </w:rPr>
              <w:t xml:space="preserve">                        </w:t>
            </w:r>
            <w:r>
              <w:rPr>
                <w:rFonts w:ascii="Calibri" w:hAnsi="Calibri" w:cs="宋体"/>
                <w:sz w:val="20"/>
              </w:rPr>
              <w:t xml:space="preserve"> </w:t>
            </w:r>
            <w:bookmarkStart w:id="69" w:name="_Toc24373"/>
            <w:r>
              <w:rPr>
                <w:rFonts w:hint="eastAsia" w:ascii="Calibri" w:hAnsi="Calibri" w:cs="宋体"/>
                <w:sz w:val="20"/>
              </w:rPr>
              <w:t xml:space="preserve">年 </w:t>
            </w:r>
            <w:r>
              <w:rPr>
                <w:rFonts w:ascii="Calibri" w:hAnsi="Calibri" w:cs="宋体"/>
                <w:sz w:val="20"/>
              </w:rPr>
              <w:t xml:space="preserve">   </w:t>
            </w:r>
            <w:r>
              <w:rPr>
                <w:rFonts w:hint="eastAsia" w:ascii="Calibri" w:hAnsi="Calibri" w:cs="宋体"/>
                <w:sz w:val="20"/>
              </w:rPr>
              <w:t xml:space="preserve">月 </w:t>
            </w:r>
            <w:r>
              <w:rPr>
                <w:rFonts w:ascii="Calibri" w:hAnsi="Calibri" w:cs="宋体"/>
                <w:sz w:val="20"/>
              </w:rPr>
              <w:t xml:space="preserve">  </w:t>
            </w:r>
            <w:r>
              <w:rPr>
                <w:rFonts w:hint="eastAsia" w:ascii="Calibri" w:hAnsi="Calibri" w:cs="宋体"/>
                <w:sz w:val="20"/>
              </w:rPr>
              <w:t>日</w:t>
            </w:r>
            <w:bookmarkEnd w:id="6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1" w:type="pct"/>
            <w:vAlign w:val="center"/>
          </w:tcPr>
          <w:p>
            <w:pPr>
              <w:rPr>
                <w:rFonts w:ascii="Calibri" w:hAnsi="Calibri" w:cs="宋体"/>
                <w:sz w:val="20"/>
              </w:rPr>
            </w:pPr>
            <w:r>
              <w:rPr>
                <w:rFonts w:hint="eastAsia" w:ascii="Calibri" w:hAnsi="Calibri" w:cs="宋体"/>
                <w:sz w:val="20"/>
              </w:rPr>
              <w:t>备注</w:t>
            </w:r>
          </w:p>
        </w:tc>
        <w:tc>
          <w:tcPr>
            <w:tcW w:w="4139" w:type="pct"/>
            <w:gridSpan w:val="13"/>
          </w:tcPr>
          <w:p>
            <w:pPr>
              <w:ind w:firstLine="1200" w:firstLineChars="600"/>
              <w:rPr>
                <w:rFonts w:ascii="Calibri" w:hAnsi="Calibri"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1" w:type="pct"/>
            <w:vAlign w:val="center"/>
          </w:tcPr>
          <w:p>
            <w:pPr>
              <w:rPr>
                <w:rFonts w:ascii="Calibri" w:hAnsi="Calibri" w:cs="宋体"/>
                <w:sz w:val="20"/>
              </w:rPr>
            </w:pPr>
            <w:r>
              <w:rPr>
                <w:rFonts w:hint="eastAsia" w:ascii="Calibri" w:hAnsi="Calibri" w:cs="宋体"/>
                <w:sz w:val="20"/>
              </w:rPr>
              <w:t>填表人：</w:t>
            </w:r>
          </w:p>
        </w:tc>
        <w:tc>
          <w:tcPr>
            <w:tcW w:w="4139" w:type="pct"/>
            <w:gridSpan w:val="13"/>
            <w:vAlign w:val="center"/>
          </w:tcPr>
          <w:p>
            <w:pPr>
              <w:ind w:firstLine="1600" w:firstLineChars="800"/>
              <w:rPr>
                <w:rFonts w:ascii="Calibri" w:hAnsi="Calibri" w:cs="宋体"/>
                <w:sz w:val="20"/>
              </w:rPr>
            </w:pPr>
            <w:r>
              <w:rPr>
                <w:rFonts w:ascii="Calibri" w:hAnsi="Calibri" w:cs="宋体"/>
                <w:sz w:val="20"/>
              </w:rPr>
              <w:t>审核人（</w:t>
            </w:r>
            <w:r>
              <w:rPr>
                <w:rFonts w:hint="eastAsia" w:ascii="Calibri" w:hAnsi="Calibri" w:cs="宋体"/>
                <w:sz w:val="20"/>
              </w:rPr>
              <w:t>盖章</w:t>
            </w:r>
            <w:r>
              <w:rPr>
                <w:rFonts w:ascii="Calibri" w:hAnsi="Calibri" w:cs="宋体"/>
                <w:sz w:val="20"/>
              </w:rPr>
              <w:t>）</w:t>
            </w:r>
            <w:r>
              <w:rPr>
                <w:rFonts w:hint="eastAsia" w:ascii="Calibri" w:hAnsi="Calibri" w:cs="宋体"/>
                <w:sz w:val="20"/>
              </w:rPr>
              <w:t>：</w:t>
            </w:r>
          </w:p>
        </w:tc>
      </w:tr>
      <w:bookmarkEnd w:id="67"/>
    </w:tbl>
    <w:p>
      <w:pPr>
        <w:pStyle w:val="2"/>
      </w:pPr>
    </w:p>
    <w:p>
      <w:pPr>
        <w:rPr>
          <w:b/>
        </w:rPr>
      </w:pPr>
      <w:r>
        <w:rPr>
          <w:rFonts w:hint="eastAsia"/>
          <w:b/>
        </w:rPr>
        <w:t>（四）人员与岗位要求</w:t>
      </w:r>
    </w:p>
    <w:p>
      <w:pPr>
        <w:ind w:firstLine="720" w:firstLineChars="300"/>
      </w:pPr>
      <w:r>
        <w:rPr>
          <w:rFonts w:hint="eastAsia"/>
        </w:rPr>
        <w:t>人员与岗位要求见下表：</w:t>
      </w:r>
    </w:p>
    <w:tbl>
      <w:tblPr>
        <w:tblStyle w:val="3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1141"/>
        <w:gridCol w:w="1631"/>
        <w:gridCol w:w="5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序号</w:t>
            </w:r>
          </w:p>
        </w:tc>
        <w:tc>
          <w:tcPr>
            <w:tcW w:w="58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岗位</w:t>
            </w:r>
          </w:p>
        </w:tc>
        <w:tc>
          <w:tcPr>
            <w:tcW w:w="83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人员</w:t>
            </w:r>
          </w:p>
        </w:tc>
        <w:tc>
          <w:tcPr>
            <w:tcW w:w="301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岗位说明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w:t>
            </w:r>
          </w:p>
        </w:tc>
        <w:tc>
          <w:tcPr>
            <w:tcW w:w="58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安防员</w:t>
            </w:r>
          </w:p>
        </w:tc>
        <w:tc>
          <w:tcPr>
            <w:tcW w:w="83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8</w:t>
            </w:r>
          </w:p>
        </w:tc>
        <w:tc>
          <w:tcPr>
            <w:tcW w:w="301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楼面及周边安保、巡逻维持秩序、地面停车管理、快递收发、桶装饮用水保管、外来人员登记等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2</w:t>
            </w:r>
          </w:p>
        </w:tc>
        <w:tc>
          <w:tcPr>
            <w:tcW w:w="58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保洁员</w:t>
            </w:r>
          </w:p>
        </w:tc>
        <w:tc>
          <w:tcPr>
            <w:tcW w:w="83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2</w:t>
            </w:r>
          </w:p>
        </w:tc>
        <w:tc>
          <w:tcPr>
            <w:tcW w:w="301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楼面办公场所及公共区域清洁等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3</w:t>
            </w:r>
          </w:p>
        </w:tc>
        <w:tc>
          <w:tcPr>
            <w:tcW w:w="58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工程技术员</w:t>
            </w:r>
          </w:p>
        </w:tc>
        <w:tc>
          <w:tcPr>
            <w:tcW w:w="83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w:t>
            </w:r>
          </w:p>
        </w:tc>
        <w:tc>
          <w:tcPr>
            <w:tcW w:w="301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楼面及相关附属设施的维护、维修，消防修缮监管检修，须具备简单网络故障维修能力等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合计</w:t>
            </w:r>
          </w:p>
        </w:tc>
        <w:tc>
          <w:tcPr>
            <w:tcW w:w="58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83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11</w:t>
            </w:r>
          </w:p>
        </w:tc>
        <w:tc>
          <w:tcPr>
            <w:tcW w:w="301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bl>
    <w:p>
      <w:pPr>
        <w:pStyle w:val="2"/>
        <w:rPr>
          <w:rFonts w:ascii="宋体" w:hAnsi="宋体"/>
          <w:szCs w:val="21"/>
        </w:rPr>
      </w:pPr>
      <w:r>
        <w:rPr>
          <w:rFonts w:hint="eastAsia" w:ascii="宋体" w:hAnsi="宋体"/>
          <w:szCs w:val="21"/>
        </w:rPr>
        <w:t>本项目的服务人员须服从采购人物业管理工作统一安排。</w:t>
      </w:r>
    </w:p>
    <w:p/>
    <w:p>
      <w:pPr>
        <w:pStyle w:val="2"/>
        <w:rPr>
          <w:b/>
        </w:rPr>
      </w:pPr>
      <w:r>
        <w:rPr>
          <w:rFonts w:hint="eastAsia"/>
          <w:b/>
        </w:rPr>
        <w:t>二、商务要求</w:t>
      </w:r>
    </w:p>
    <w:p>
      <w:pPr>
        <w:rPr>
          <w:b/>
        </w:rPr>
      </w:pPr>
      <w:r>
        <w:rPr>
          <w:rFonts w:hint="eastAsia"/>
          <w:b/>
        </w:rPr>
        <w:t>（一）合同履行期限</w:t>
      </w:r>
    </w:p>
    <w:p>
      <w:pPr>
        <w:pStyle w:val="2"/>
        <w:ind w:firstLine="480" w:firstLineChars="200"/>
      </w:pPr>
      <w:r>
        <w:rPr>
          <w:rFonts w:hint="eastAsia"/>
        </w:rPr>
        <w:t>2026年3月1日至2027年2月28日。</w:t>
      </w:r>
    </w:p>
    <w:p>
      <w:pPr>
        <w:rPr>
          <w:b/>
        </w:rPr>
      </w:pPr>
      <w:r>
        <w:rPr>
          <w:rFonts w:hint="eastAsia"/>
          <w:b/>
        </w:rPr>
        <w:t>（二）合同服务地点</w:t>
      </w:r>
    </w:p>
    <w:p>
      <w:pPr>
        <w:pStyle w:val="2"/>
        <w:ind w:firstLine="480" w:firstLineChars="200"/>
      </w:pPr>
      <w:r>
        <w:rPr>
          <w:rFonts w:hint="eastAsia"/>
        </w:rPr>
        <w:t>广州白云国际机场空港四路南横二路口岸综合楼内的广州白云机场海关南办公区所属南1、2号楼及圆楼2-3楼（南1、2号楼各为六层，楼内总面积约13600平方米，绿化面积约1000平方米，圆楼2-3楼总面积约1400平方米。总计16000平方米。）</w:t>
      </w:r>
    </w:p>
    <w:p>
      <w:pPr>
        <w:wordWrap w:val="0"/>
        <w:autoSpaceDE w:val="0"/>
        <w:autoSpaceDN w:val="0"/>
        <w:rPr>
          <w:b/>
        </w:rPr>
      </w:pPr>
      <w:r>
        <w:rPr>
          <w:rFonts w:hint="eastAsia"/>
          <w:b/>
        </w:rPr>
        <w:t>（三）服务费用</w:t>
      </w:r>
    </w:p>
    <w:p>
      <w:pPr>
        <w:pStyle w:val="2"/>
        <w:ind w:firstLine="480" w:firstLineChars="200"/>
      </w:pPr>
      <w:r>
        <w:rPr>
          <w:rFonts w:hint="eastAsia"/>
        </w:rPr>
        <w:t>1.本项目的承包方式为总价包干。本合同金额包括日常管理所发生的费用结算。项目合同价包含招标服务项目所有内容（包括完成采购需求全部内容所需的一切含税费用：即包括但不限于各种人工费用（人工费用包含人员工资、社保、公积金等）、保安用警具、人员制服、零配件费等物料费用、管理费用、不可预见费用、税费、利润、人员培训、消防演习、治安演习等项目所涉及的一切日常费用及供应商应承担的其他各项费用、除采购人免费提供给本项目管理人员使用的基本办公设备外的其他办公设备和办公费用。</w:t>
      </w:r>
    </w:p>
    <w:p>
      <w:pPr>
        <w:pStyle w:val="2"/>
        <w:ind w:firstLine="480" w:firstLineChars="200"/>
      </w:pPr>
      <w:r>
        <w:rPr>
          <w:rFonts w:hint="eastAsia"/>
        </w:rPr>
        <w:t>2.各办公区日常设备维护工具、保洁工具等消耗品由供应商负责。</w:t>
      </w:r>
    </w:p>
    <w:p>
      <w:pPr>
        <w:pStyle w:val="2"/>
        <w:ind w:firstLine="480" w:firstLineChars="200"/>
      </w:pPr>
      <w:r>
        <w:rPr>
          <w:rFonts w:hint="eastAsia"/>
        </w:rPr>
        <w:t>3.根据现行法律法规的有关规定对供应商或其雇员征收的与本合同有关的一切费用均应由供应商负担。</w:t>
      </w:r>
    </w:p>
    <w:p>
      <w:pPr>
        <w:pStyle w:val="2"/>
        <w:rPr>
          <w:b/>
        </w:rPr>
      </w:pPr>
      <w:r>
        <w:rPr>
          <w:rFonts w:hint="eastAsia"/>
          <w:b/>
        </w:rPr>
        <w:t>（四）付款方式</w:t>
      </w:r>
    </w:p>
    <w:p>
      <w:pPr>
        <w:pStyle w:val="2"/>
        <w:ind w:firstLine="480" w:firstLineChars="200"/>
      </w:pPr>
      <w:r>
        <w:rPr>
          <w:rFonts w:hint="eastAsia"/>
        </w:rPr>
        <w:t>1.每月服务费基数为：成交价格/12（不论长短月），实际支付物业管理费金额由采购人视每月考评情况进行支付。每月5日前，成交供应商根据上个月服务及考核情况，向采购人出具合规有效的等额发票；采购人收到成交供应商付款结算申请、等额正规发票及采购人指定所需其他材料后在10个工作日内办理支付手续。</w:t>
      </w:r>
    </w:p>
    <w:p>
      <w:pPr>
        <w:pStyle w:val="2"/>
        <w:ind w:firstLine="480" w:firstLineChars="200"/>
      </w:pPr>
      <w:r>
        <w:rPr>
          <w:rFonts w:hint="eastAsia"/>
        </w:rPr>
        <w:t>2.如服务不足一个月的，按当月实际发生服务天数结算。</w:t>
      </w:r>
    </w:p>
    <w:p>
      <w:pPr>
        <w:pStyle w:val="2"/>
        <w:ind w:firstLine="480" w:firstLineChars="200"/>
      </w:pPr>
      <w:r>
        <w:rPr>
          <w:rFonts w:hint="eastAsia"/>
        </w:rPr>
        <w:t>3.因中华人民共和国广州白云机场海关使用财政资金付款，需执行财政国库集中支付制度及单位内部资金支付管理审批等有关规定。广州白云机场海关综合技术服务中心为中华人民共和国广州白云机场海关下属机构，项目实施单位，其中，中华人民共和国广州白云机场海关为实际采购人，中华人民共和国广州白云机场海关和广州白云机场海关综合技术服务中心共同承担本项目费用付款的义务。</w:t>
      </w:r>
    </w:p>
    <w:p>
      <w:pPr>
        <w:pStyle w:val="2"/>
      </w:pPr>
      <w:r>
        <w:rPr>
          <w:rFonts w:hint="eastAsia"/>
        </w:rPr>
        <w:t>（五）履约保证金</w:t>
      </w:r>
    </w:p>
    <w:p>
      <w:pPr>
        <w:pStyle w:val="2"/>
        <w:ind w:firstLine="480" w:firstLineChars="200"/>
      </w:pPr>
      <w:r>
        <w:rPr>
          <w:rFonts w:hint="eastAsia"/>
        </w:rPr>
        <w:t>1.本项目成交供应商须缴纳履约保证金，收取比例：3%，说明：成交供应商与采购人签订合同后10个工作日内，按成交金额的3%向采购人提交履约保证金。成交供应商履行完成合同约定权利义务事项在合同期满之日起30日内，成交供应商向采购人书面提出申请无息退还履约保证金，采购人在收到申请后于15个工作日内退还。如成交供应商未按合同条款履行合同义务，采购人有权扣除或没收履约保证金。</w:t>
      </w:r>
    </w:p>
    <w:p>
      <w:pPr>
        <w:pStyle w:val="2"/>
        <w:ind w:firstLine="480" w:firstLineChars="200"/>
      </w:pPr>
      <w:r>
        <w:rPr>
          <w:rFonts w:hint="eastAsia"/>
        </w:rPr>
        <w:t>2.履约保证金可通过保函或电汇的方式缴纳。</w:t>
      </w:r>
    </w:p>
    <w:p>
      <w:pPr>
        <w:pStyle w:val="2"/>
      </w:pPr>
      <w:r>
        <w:rPr>
          <w:rFonts w:hint="eastAsia" w:ascii="宋体" w:hAnsi="宋体"/>
        </w:rPr>
        <w:t>★</w:t>
      </w:r>
      <w:r>
        <w:rPr>
          <w:rFonts w:hint="eastAsia"/>
        </w:rPr>
        <w:t>（六）违约责任</w:t>
      </w:r>
    </w:p>
    <w:p>
      <w:pPr>
        <w:pStyle w:val="2"/>
        <w:ind w:firstLine="480" w:firstLineChars="200"/>
      </w:pPr>
      <w:bookmarkStart w:id="70" w:name="OLE_LINK13"/>
      <w:bookmarkStart w:id="71" w:name="OLE_LINK12"/>
      <w:r>
        <w:rPr>
          <w:rFonts w:hint="eastAsia"/>
        </w:rPr>
        <w:t>1.如成交供应商未按合同约定时间提供服务，每逾期1日，成交供应商应向采购人支付合同总价款万分之五的违约金，采购人有权在应付合同款中相应扣除；逾期累计超过15日，采购人有权解除本合同，成交供应商除应返还采购人已支付款项外，还应支付采购人合同总价款10%的违约金，并承担采购人因此遭受的全部损失。</w:t>
      </w:r>
    </w:p>
    <w:p>
      <w:pPr>
        <w:pStyle w:val="2"/>
        <w:ind w:firstLine="480" w:firstLineChars="200"/>
      </w:pPr>
      <w:r>
        <w:rPr>
          <w:rFonts w:hint="eastAsia"/>
        </w:rPr>
        <w:t>2.如成交供应商提供服务质量不合格或不符合采购人要求（以较高标准为准），成交供应商应在收到采购人异议通知后5个工作日内完成更换重做或补救。成交供应商收到通知5个工作日内未完成更换重做或补救的，或者更换重做或补救仍不合格的，采购人有权选择解除本合同，成交供应商应向采购人返还全部已付款项。</w:t>
      </w:r>
    </w:p>
    <w:p>
      <w:pPr>
        <w:pStyle w:val="2"/>
        <w:ind w:firstLine="480" w:firstLineChars="200"/>
      </w:pPr>
      <w:r>
        <w:rPr>
          <w:rFonts w:hint="eastAsia"/>
        </w:rPr>
        <w:t>3.如采购人因成交供应商提供服务而遭受其他任何第三人提出权利主张(含知识产权)和索赔的，成交供应商应在接到采购人通知后立即负责协调解决并承担相关费用和索赔。如成交供应商在接到采购人通知后15日内仍未妥善解决，采购人有权解除合同，成交供应商除应返还采购人已支付款项外，还应支付采购人合同总价款10%的违约金和第三方主张的索赔。</w:t>
      </w:r>
    </w:p>
    <w:p>
      <w:pPr>
        <w:pStyle w:val="2"/>
        <w:ind w:firstLine="480" w:firstLineChars="200"/>
      </w:pPr>
      <w:r>
        <w:t>4.</w:t>
      </w:r>
      <w:r>
        <w:rPr>
          <w:rFonts w:hint="eastAsia"/>
        </w:rPr>
        <w:t>采购人逾期付款的，每逾期</w:t>
      </w:r>
      <w:r>
        <w:t>1</w:t>
      </w:r>
      <w:r>
        <w:rPr>
          <w:rFonts w:hint="eastAsia"/>
        </w:rPr>
        <w:t>日，按照当期逾期付款额的万分之一向成交供应商支付违约金，此项违约金不得超过当期逾期金额的</w:t>
      </w:r>
      <w:r>
        <w:t>10%</w:t>
      </w:r>
      <w:r>
        <w:rPr>
          <w:rFonts w:hint="eastAsia"/>
        </w:rPr>
        <w:t>。</w:t>
      </w:r>
    </w:p>
    <w:p>
      <w:pPr>
        <w:pStyle w:val="2"/>
        <w:ind w:firstLine="480" w:firstLineChars="200"/>
      </w:pPr>
      <w:r>
        <w:rPr>
          <w:rFonts w:hint="eastAsia"/>
        </w:rPr>
        <w:t>5.针对采购人和成交供应商任何一方的其他违约行为，违约方应在守约方通知后3</w:t>
      </w:r>
      <w:r>
        <w:t xml:space="preserve"> </w:t>
      </w:r>
      <w:r>
        <w:rPr>
          <w:rFonts w:hint="eastAsia"/>
        </w:rPr>
        <w:tab/>
      </w:r>
      <w:r>
        <w:rPr>
          <w:rFonts w:hint="eastAsia"/>
        </w:rPr>
        <w:t>日内立即纠正，并赔偿导致守约方所遭受的经济损失。</w:t>
      </w:r>
    </w:p>
    <w:p>
      <w:pPr>
        <w:pStyle w:val="2"/>
        <w:ind w:firstLine="480" w:firstLineChars="200"/>
      </w:pPr>
      <w:r>
        <w:rPr>
          <w:rFonts w:hint="eastAsia"/>
        </w:rPr>
        <w:t>6.本项目合同违约责任的损失赔偿包括但不限于法律规定损失、因违约给守约方造成的直接损失、间接损失、律师费、公证费、担保费、保全费以及诉讼费等。</w:t>
      </w:r>
    </w:p>
    <w:p>
      <w:pPr>
        <w:pStyle w:val="2"/>
        <w:ind w:firstLine="480" w:firstLineChars="200"/>
      </w:pPr>
      <w:r>
        <w:rPr>
          <w:rFonts w:hint="eastAsia"/>
        </w:rPr>
        <w:t>7.本项目合同规定的违约金上限为合同总金额的30%。按合同规定成交供应商应向采购人偿付的违约金、赔偿金和各种经济损失等款项，采购人有权自行从应付合同总价款中扣除充抵。若违约金不足以弥补采购人损失的，成交供应商应继续予以赔偿。</w:t>
      </w:r>
    </w:p>
    <w:p>
      <w:pPr>
        <w:pStyle w:val="2"/>
        <w:ind w:firstLine="480" w:firstLineChars="200"/>
      </w:pPr>
      <w:r>
        <w:rPr>
          <w:rFonts w:hint="eastAsia"/>
        </w:rPr>
        <w:t>8.成交供应商通过不正当手段谋取中标、成交的，中标、成交结果不成立，本项目合同自然终止，采购人无需再支付剩余合同款项。成交供应商除应返还采购人已支付款项，还应赔偿因此给采购人造成的损失，包括但不限于直接损失、调查费、诉讼费、律师费等。</w:t>
      </w:r>
    </w:p>
    <w:bookmarkEnd w:id="70"/>
    <w:bookmarkEnd w:id="71"/>
    <w:p>
      <w:r>
        <w:br w:type="page"/>
      </w:r>
    </w:p>
    <w:p>
      <w:pPr>
        <w:pStyle w:val="2"/>
        <w:ind w:firstLine="480" w:firstLineChars="20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pStyle w:val="3"/>
        <w:numPr>
          <w:ilvl w:val="0"/>
          <w:numId w:val="3"/>
        </w:numPr>
        <w:spacing w:before="0" w:after="0" w:line="360" w:lineRule="auto"/>
        <w:ind w:left="0" w:firstLine="0"/>
        <w:jc w:val="center"/>
        <w:rPr>
          <w:rFonts w:ascii="宋体" w:hAnsi="宋体"/>
          <w:kern w:val="0"/>
          <w:sz w:val="36"/>
          <w:szCs w:val="36"/>
        </w:rPr>
      </w:pPr>
      <w:bookmarkStart w:id="72" w:name="_Toc22806119"/>
      <w:r>
        <w:rPr>
          <w:rFonts w:hint="eastAsia" w:ascii="宋体" w:hAnsi="宋体"/>
          <w:kern w:val="0"/>
          <w:sz w:val="36"/>
          <w:szCs w:val="36"/>
        </w:rPr>
        <w:t xml:space="preserve">  </w:t>
      </w:r>
      <w:bookmarkStart w:id="73" w:name="_Toc56180259"/>
      <w:r>
        <w:rPr>
          <w:rFonts w:hint="eastAsia" w:ascii="宋体" w:hAnsi="宋体"/>
          <w:kern w:val="0"/>
          <w:sz w:val="36"/>
          <w:szCs w:val="36"/>
        </w:rPr>
        <w:t>供应商须知</w:t>
      </w:r>
      <w:bookmarkEnd w:id="72"/>
      <w:bookmarkEnd w:id="73"/>
    </w:p>
    <w:p>
      <w:pPr>
        <w:pStyle w:val="4"/>
        <w:jc w:val="center"/>
      </w:pPr>
      <w:r>
        <w:rPr>
          <w:sz w:val="24"/>
          <w:szCs w:val="24"/>
        </w:rPr>
        <w:br w:type="page"/>
      </w:r>
      <w:bookmarkStart w:id="74" w:name="_Toc50460134"/>
      <w:bookmarkStart w:id="75" w:name="_Toc55398664"/>
      <w:bookmarkStart w:id="76" w:name="_Toc56180260"/>
      <w:r>
        <w:rPr>
          <w:rFonts w:hint="eastAsia"/>
        </w:rPr>
        <w:t>供应商须知前附表</w:t>
      </w:r>
      <w:bookmarkEnd w:id="74"/>
      <w:bookmarkEnd w:id="75"/>
      <w:bookmarkEnd w:id="76"/>
    </w:p>
    <w:p>
      <w:pPr>
        <w:ind w:firstLine="240" w:firstLineChars="100"/>
      </w:pPr>
      <w:r>
        <w:rPr>
          <w:rFonts w:hint="eastAsia" w:ascii="宋体" w:hAnsi="宋体"/>
          <w:szCs w:val="24"/>
        </w:rPr>
        <w:t>本表中相关选择项，以在“□”标记黑“■”或打勾“</w:t>
      </w:r>
      <w:bookmarkStart w:id="77" w:name="OLE_LINK24"/>
      <w:bookmarkStart w:id="78" w:name="OLE_LINK23"/>
      <w:r>
        <w:rPr>
          <w:rFonts w:hint="eastAsia" w:ascii="宋体" w:hAnsi="宋体"/>
          <w:b/>
          <w:szCs w:val="24"/>
          <w:bdr w:val="single" w:color="auto" w:sz="4" w:space="0"/>
        </w:rPr>
        <w:t>√</w:t>
      </w:r>
      <w:bookmarkEnd w:id="77"/>
      <w:bookmarkEnd w:id="78"/>
      <w:r>
        <w:rPr>
          <w:rFonts w:hint="eastAsia" w:ascii="宋体" w:hAnsi="宋体"/>
          <w:szCs w:val="24"/>
        </w:rPr>
        <w:t>”为准。</w:t>
      </w:r>
      <w:r>
        <w:rPr>
          <w:rFonts w:hint="eastAsia" w:ascii="宋体" w:cs="宋体"/>
          <w:bCs/>
          <w:szCs w:val="24"/>
        </w:rPr>
        <w:t>本表内容须与《供应商须知》正文对应条款的内容一起阅读理解，《</w:t>
      </w:r>
      <w:r>
        <w:rPr>
          <w:rFonts w:hint="eastAsia"/>
          <w:bCs/>
          <w:szCs w:val="24"/>
        </w:rPr>
        <w:t>供应商</w:t>
      </w:r>
      <w:r>
        <w:rPr>
          <w:rFonts w:hint="eastAsia"/>
          <w:szCs w:val="24"/>
        </w:rPr>
        <w:t>须知</w:t>
      </w:r>
      <w:r>
        <w:rPr>
          <w:rFonts w:hint="eastAsia" w:ascii="宋体" w:cs="宋体"/>
          <w:bCs/>
          <w:szCs w:val="24"/>
        </w:rPr>
        <w:t>》</w:t>
      </w:r>
      <w:r>
        <w:rPr>
          <w:rFonts w:hint="eastAsia"/>
          <w:szCs w:val="24"/>
        </w:rPr>
        <w:t>正文与《供应商须知前附表》描述存在不一致之处，以《供应商须知前附表》为准。</w:t>
      </w:r>
    </w:p>
    <w:tbl>
      <w:tblPr>
        <w:tblStyle w:val="30"/>
        <w:tblW w:w="9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2287"/>
        <w:gridCol w:w="5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79" w:type="dxa"/>
            <w:vAlign w:val="center"/>
          </w:tcPr>
          <w:p>
            <w:pPr>
              <w:wordWrap w:val="0"/>
              <w:autoSpaceDE w:val="0"/>
              <w:autoSpaceDN w:val="0"/>
              <w:spacing w:line="312" w:lineRule="auto"/>
              <w:jc w:val="center"/>
              <w:rPr>
                <w:rFonts w:ascii="宋体" w:hAnsi="宋体"/>
                <w:b/>
                <w:szCs w:val="24"/>
              </w:rPr>
            </w:pPr>
            <w:r>
              <w:rPr>
                <w:rFonts w:hint="eastAsia" w:ascii="宋体" w:hAnsi="宋体"/>
                <w:b/>
                <w:szCs w:val="24"/>
              </w:rPr>
              <w:t>条款号</w:t>
            </w:r>
          </w:p>
        </w:tc>
        <w:tc>
          <w:tcPr>
            <w:tcW w:w="2287" w:type="dxa"/>
            <w:vAlign w:val="center"/>
          </w:tcPr>
          <w:p>
            <w:pPr>
              <w:wordWrap w:val="0"/>
              <w:autoSpaceDE w:val="0"/>
              <w:autoSpaceDN w:val="0"/>
              <w:spacing w:line="312" w:lineRule="auto"/>
              <w:jc w:val="center"/>
              <w:rPr>
                <w:rFonts w:ascii="宋体" w:hAnsi="宋体"/>
                <w:b/>
                <w:szCs w:val="24"/>
              </w:rPr>
            </w:pPr>
            <w:r>
              <w:rPr>
                <w:rFonts w:hint="eastAsia" w:ascii="宋体" w:hAnsi="宋体"/>
                <w:b/>
                <w:szCs w:val="24"/>
              </w:rPr>
              <w:t>内容</w:t>
            </w:r>
          </w:p>
        </w:tc>
        <w:tc>
          <w:tcPr>
            <w:tcW w:w="5927" w:type="dxa"/>
            <w:vAlign w:val="center"/>
          </w:tcPr>
          <w:p>
            <w:pPr>
              <w:wordWrap w:val="0"/>
              <w:autoSpaceDE w:val="0"/>
              <w:autoSpaceDN w:val="0"/>
              <w:spacing w:line="312" w:lineRule="auto"/>
              <w:jc w:val="center"/>
              <w:rPr>
                <w:rFonts w:ascii="宋体" w:hAnsi="宋体"/>
                <w:b/>
                <w:szCs w:val="24"/>
              </w:rPr>
            </w:pPr>
            <w:r>
              <w:rPr>
                <w:rFonts w:hint="eastAsia" w:ascii="宋体" w:hAnsi="宋体"/>
                <w:b/>
                <w:szCs w:val="24"/>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1.1</w:t>
            </w:r>
          </w:p>
        </w:tc>
        <w:tc>
          <w:tcPr>
            <w:tcW w:w="2287"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采购包情况</w:t>
            </w:r>
          </w:p>
        </w:tc>
        <w:tc>
          <w:tcPr>
            <w:tcW w:w="5927" w:type="dxa"/>
            <w:vAlign w:val="center"/>
          </w:tcPr>
          <w:p>
            <w:pPr>
              <w:wordWrap w:val="0"/>
              <w:autoSpaceDE w:val="0"/>
              <w:autoSpaceDN w:val="0"/>
              <w:spacing w:line="312" w:lineRule="auto"/>
              <w:rPr>
                <w:rFonts w:ascii="宋体" w:hAnsi="宋体"/>
                <w:szCs w:val="24"/>
              </w:rPr>
            </w:pPr>
            <w:r>
              <w:rPr>
                <w:rFonts w:hint="eastAsia" w:ascii="宋体" w:hAnsi="宋体"/>
                <w:szCs w:val="24"/>
              </w:rPr>
              <w:t>本项目共</w:t>
            </w:r>
            <w:r>
              <w:rPr>
                <w:rFonts w:hint="eastAsia" w:ascii="宋体" w:hAnsi="宋体"/>
                <w:szCs w:val="24"/>
                <w:u w:val="single"/>
              </w:rPr>
              <w:t xml:space="preserve"> 1 </w:t>
            </w:r>
            <w:r>
              <w:rPr>
                <w:rFonts w:hint="eastAsia" w:ascii="宋体" w:hAnsi="宋体"/>
                <w:szCs w:val="24"/>
              </w:rPr>
              <w:t>采购包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4.3</w:t>
            </w:r>
          </w:p>
        </w:tc>
        <w:tc>
          <w:tcPr>
            <w:tcW w:w="2287"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采购代理服务费</w:t>
            </w:r>
          </w:p>
        </w:tc>
        <w:tc>
          <w:tcPr>
            <w:tcW w:w="5927" w:type="dxa"/>
            <w:vAlign w:val="center"/>
          </w:tcPr>
          <w:p>
            <w:pPr>
              <w:wordWrap w:val="0"/>
              <w:autoSpaceDE w:val="0"/>
              <w:autoSpaceDN w:val="0"/>
              <w:spacing w:line="312" w:lineRule="auto"/>
              <w:rPr>
                <w:rFonts w:ascii="宋体" w:hAnsi="宋体"/>
                <w:i/>
                <w:szCs w:val="24"/>
              </w:rPr>
            </w:pPr>
            <w:r>
              <w:rPr>
                <w:rFonts w:hint="eastAsia" w:ascii="宋体" w:hAnsi="宋体"/>
                <w:szCs w:val="24"/>
              </w:rPr>
              <w:t>1.收费对象：</w:t>
            </w:r>
            <w:r>
              <w:rPr>
                <w:rFonts w:hint="eastAsia" w:ascii="宋体" w:hAnsi="宋体"/>
                <w:szCs w:val="24"/>
                <w:u w:val="single"/>
              </w:rPr>
              <w:t>成交供应商</w:t>
            </w:r>
          </w:p>
          <w:p>
            <w:pPr>
              <w:wordWrap w:val="0"/>
              <w:autoSpaceDE w:val="0"/>
              <w:autoSpaceDN w:val="0"/>
              <w:spacing w:line="312" w:lineRule="auto"/>
              <w:rPr>
                <w:rFonts w:ascii="宋体" w:hAnsi="宋体"/>
                <w:szCs w:val="24"/>
              </w:rPr>
            </w:pPr>
            <w:r>
              <w:rPr>
                <w:rFonts w:hint="eastAsia" w:ascii="宋体" w:hAnsi="宋体"/>
                <w:i/>
                <w:szCs w:val="24"/>
              </w:rPr>
              <w:t>2.收费标准</w:t>
            </w:r>
            <w:r>
              <w:rPr>
                <w:rFonts w:hint="eastAsia" w:ascii="宋体" w:hAnsi="宋体"/>
                <w:szCs w:val="24"/>
              </w:rPr>
              <w:t>：</w:t>
            </w:r>
          </w:p>
          <w:p>
            <w:pPr>
              <w:wordWrap w:val="0"/>
              <w:autoSpaceDE w:val="0"/>
              <w:autoSpaceDN w:val="0"/>
              <w:spacing w:line="312" w:lineRule="auto"/>
              <w:rPr>
                <w:rFonts w:ascii="宋体" w:hAnsi="宋体"/>
                <w:szCs w:val="24"/>
              </w:rPr>
            </w:pPr>
            <w:r>
              <w:rPr>
                <w:rFonts w:hint="eastAsia" w:ascii="宋体" w:hAnsi="宋体"/>
                <w:szCs w:val="24"/>
              </w:rPr>
              <w:t>□（方式一）固定金额收费：</w:t>
            </w:r>
            <w:r>
              <w:rPr>
                <w:rFonts w:hint="eastAsia" w:ascii="宋体" w:hAnsi="宋体"/>
                <w:szCs w:val="24"/>
                <w:u w:val="single"/>
              </w:rPr>
              <w:t xml:space="preserve">       。</w:t>
            </w:r>
          </w:p>
          <w:p>
            <w:pPr>
              <w:wordWrap w:val="0"/>
              <w:autoSpaceDE w:val="0"/>
              <w:autoSpaceDN w:val="0"/>
              <w:spacing w:line="312" w:lineRule="auto"/>
              <w:rPr>
                <w:rFonts w:ascii="宋体" w:hAnsi="宋体"/>
                <w:szCs w:val="24"/>
              </w:rPr>
            </w:pPr>
            <w:bookmarkStart w:id="79" w:name="OLE_LINK25"/>
            <w:r>
              <w:rPr>
                <w:rFonts w:hint="eastAsia" w:ascii="宋体" w:hAnsi="宋体"/>
                <w:b/>
                <w:szCs w:val="24"/>
                <w:bdr w:val="single" w:color="auto" w:sz="4" w:space="0"/>
              </w:rPr>
              <w:t>√</w:t>
            </w:r>
            <w:bookmarkEnd w:id="79"/>
            <w:r>
              <w:rPr>
                <w:rFonts w:hint="eastAsia" w:ascii="宋体" w:hAnsi="宋体"/>
                <w:szCs w:val="24"/>
              </w:rPr>
              <w:t>（方式二）</w:t>
            </w:r>
            <w:r>
              <w:rPr>
                <w:rFonts w:hint="eastAsia" w:ascii="宋体" w:hAnsi="宋体"/>
              </w:rPr>
              <w:t>差额定率累进法收费：</w:t>
            </w:r>
            <w:r>
              <w:rPr>
                <w:rFonts w:hint="eastAsia" w:ascii="宋体" w:hAnsi="宋体"/>
                <w:szCs w:val="24"/>
              </w:rPr>
              <w:t>参照国家计委《招标代理服务收费管理暂行办法》（计价格[2002]1980号）、国家发改委[2003]857号及发改价格[2011]534号文件中规定的计算方法和计费标准执行。</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38"/>
              <w:gridCol w:w="148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jc w:val="center"/>
              </w:trPr>
              <w:tc>
                <w:tcPr>
                  <w:tcW w:w="2438" w:type="dxa"/>
                </w:tcPr>
                <w:p>
                  <w:pPr>
                    <w:wordWrap/>
                    <w:snapToGrid w:val="0"/>
                    <w:spacing w:line="240" w:lineRule="auto"/>
                    <w:ind w:firstLine="1320" w:firstLineChars="550"/>
                    <w:rPr>
                      <w:rFonts w:ascii="宋体" w:hAnsi="宋体" w:cs="宋体"/>
                    </w:rPr>
                  </w:pPr>
                  <w:r>
                    <mc:AlternateContent>
                      <mc:Choice Requires="wps">
                        <w:drawing>
                          <wp:anchor distT="0" distB="0" distL="113665" distR="113665" simplePos="0" relativeHeight="251659264" behindDoc="0" locked="0" layoutInCell="1" allowOverlap="1">
                            <wp:simplePos x="0" y="0"/>
                            <wp:positionH relativeFrom="column">
                              <wp:posOffset>-34925</wp:posOffset>
                            </wp:positionH>
                            <wp:positionV relativeFrom="paragraph">
                              <wp:posOffset>32385</wp:posOffset>
                            </wp:positionV>
                            <wp:extent cx="1502410" cy="330835"/>
                            <wp:effectExtent l="1270" t="4445" r="7620" b="7620"/>
                            <wp:wrapNone/>
                            <wp:docPr id="15" name="直接连接符 2"/>
                            <wp:cNvGraphicFramePr/>
                            <a:graphic xmlns:a="http://schemas.openxmlformats.org/drawingml/2006/main">
                              <a:graphicData uri="http://schemas.microsoft.com/office/word/2010/wordprocessingShape">
                                <wps:wsp>
                                  <wps:cNvCnPr/>
                                  <wps:spPr>
                                    <a:xfrm>
                                      <a:off x="0" y="0"/>
                                      <a:ext cx="1502409" cy="330835"/>
                                    </a:xfrm>
                                    <a:prstGeom prst="line">
                                      <a:avLst/>
                                    </a:prstGeom>
                                    <a:noFill/>
                                    <a:ln w="952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2" o:spid="_x0000_s1026" o:spt="20" style="position:absolute;left:0pt;margin-left:-2.75pt;margin-top:2.55pt;height:26.05pt;width:118.3pt;z-index:251659264;mso-width-relative:page;mso-height-relative:page;" filled="f" stroked="t" coordsize="21600,21600" o:gfxdata="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">
                            <v:fill on="f" focussize="0,0"/>
                            <v:stroke color="#000000" joinstyle="round"/>
                            <v:imagedata o:title=""/>
                            <o:lock v:ext="edit" aspectratio="f"/>
                          </v:line>
                        </w:pict>
                      </mc:Fallback>
                    </mc:AlternateContent>
                  </w:r>
                  <w:r>
                    <w:rPr>
                      <w:rFonts w:hint="eastAsia" w:ascii="宋体" w:hAnsi="宋体"/>
                      <w:bCs/>
                    </w:rPr>
                    <w:t>费率</w:t>
                  </w:r>
                </w:p>
                <w:p>
                  <w:pPr>
                    <w:wordWrap/>
                    <w:snapToGrid w:val="0"/>
                    <w:spacing w:line="240" w:lineRule="auto"/>
                    <w:rPr>
                      <w:rFonts w:ascii="宋体" w:hAnsi="宋体" w:cs="宋体"/>
                    </w:rPr>
                  </w:pPr>
                  <w:r>
                    <w:rPr>
                      <w:rFonts w:hint="eastAsia" w:ascii="宋体" w:hAnsi="宋体"/>
                      <w:bCs/>
                    </w:rPr>
                    <w:t>成交金额</w:t>
                  </w:r>
                </w:p>
              </w:tc>
              <w:tc>
                <w:tcPr>
                  <w:tcW w:w="1485" w:type="dxa"/>
                  <w:vAlign w:val="center"/>
                </w:tcPr>
                <w:p>
                  <w:pPr>
                    <w:wordWrap/>
                    <w:snapToGrid w:val="0"/>
                    <w:spacing w:line="240" w:lineRule="auto"/>
                    <w:jc w:val="center"/>
                    <w:rPr>
                      <w:rFonts w:ascii="宋体" w:hAnsi="宋体" w:cs="宋体"/>
                    </w:rPr>
                  </w:pPr>
                  <w:r>
                    <w:rPr>
                      <w:rFonts w:ascii="宋体" w:hAnsi="宋体"/>
                      <w:bCs/>
                    </w:rPr>
                    <w:t>服务</w:t>
                  </w:r>
                  <w:r>
                    <w:rPr>
                      <w:rFonts w:hint="eastAsia" w:ascii="宋体" w:hAnsi="宋体"/>
                      <w:bCs/>
                    </w:rPr>
                    <w:t>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438" w:type="dxa"/>
                  <w:vAlign w:val="center"/>
                </w:tcPr>
                <w:p>
                  <w:pPr>
                    <w:wordWrap/>
                    <w:spacing w:line="240" w:lineRule="auto"/>
                    <w:jc w:val="center"/>
                    <w:rPr>
                      <w:rFonts w:ascii="宋体" w:hAnsi="宋体"/>
                      <w:bCs/>
                    </w:rPr>
                  </w:pPr>
                  <w:r>
                    <w:rPr>
                      <w:rFonts w:hint="eastAsia" w:ascii="宋体" w:hAnsi="宋体" w:cs="宋体"/>
                    </w:rPr>
                    <w:t>100万元以下</w:t>
                  </w:r>
                </w:p>
              </w:tc>
              <w:tc>
                <w:tcPr>
                  <w:tcW w:w="1485" w:type="dxa"/>
                  <w:vAlign w:val="center"/>
                </w:tcPr>
                <w:p>
                  <w:pPr>
                    <w:wordWrap/>
                    <w:spacing w:line="240" w:lineRule="auto"/>
                    <w:ind w:firstLine="240" w:firstLineChars="100"/>
                    <w:jc w:val="center"/>
                    <w:rPr>
                      <w:rFonts w:ascii="宋体" w:hAnsi="宋体"/>
                    </w:rPr>
                  </w:pPr>
                  <w:r>
                    <w:rPr>
                      <w:rFonts w:hint="eastAsia" w:ascii="宋体" w:hAnsi="宋体" w:cs="宋体"/>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438" w:type="dxa"/>
                  <w:vAlign w:val="center"/>
                </w:tcPr>
                <w:p>
                  <w:pPr>
                    <w:wordWrap/>
                    <w:spacing w:line="240" w:lineRule="auto"/>
                    <w:jc w:val="center"/>
                    <w:rPr>
                      <w:rFonts w:ascii="宋体" w:hAnsi="宋体"/>
                    </w:rPr>
                  </w:pPr>
                  <w:r>
                    <w:rPr>
                      <w:rFonts w:hint="eastAsia" w:ascii="宋体" w:hAnsi="宋体" w:cs="宋体"/>
                    </w:rPr>
                    <w:t>100～500万元</w:t>
                  </w:r>
                </w:p>
              </w:tc>
              <w:tc>
                <w:tcPr>
                  <w:tcW w:w="1485" w:type="dxa"/>
                  <w:vAlign w:val="center"/>
                </w:tcPr>
                <w:p>
                  <w:pPr>
                    <w:wordWrap/>
                    <w:spacing w:line="240" w:lineRule="auto"/>
                    <w:ind w:firstLine="240" w:firstLineChars="100"/>
                    <w:jc w:val="center"/>
                    <w:rPr>
                      <w:rFonts w:ascii="宋体" w:hAnsi="宋体"/>
                    </w:rPr>
                  </w:pPr>
                  <w:r>
                    <w:rPr>
                      <w:rFonts w:hint="eastAsia" w:ascii="宋体" w:hAnsi="宋体" w:cs="宋体"/>
                    </w:rPr>
                    <w:t>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438" w:type="dxa"/>
                  <w:vAlign w:val="center"/>
                </w:tcPr>
                <w:p>
                  <w:pPr>
                    <w:wordWrap/>
                    <w:spacing w:line="240" w:lineRule="auto"/>
                    <w:jc w:val="center"/>
                    <w:rPr>
                      <w:rFonts w:ascii="宋体" w:hAnsi="宋体"/>
                    </w:rPr>
                  </w:pPr>
                  <w:r>
                    <w:rPr>
                      <w:rFonts w:hint="eastAsia" w:ascii="宋体" w:hAnsi="宋体" w:cs="宋体"/>
                    </w:rPr>
                    <w:t>500～1000万元</w:t>
                  </w:r>
                </w:p>
              </w:tc>
              <w:tc>
                <w:tcPr>
                  <w:tcW w:w="1485" w:type="dxa"/>
                  <w:vAlign w:val="center"/>
                </w:tcPr>
                <w:p>
                  <w:pPr>
                    <w:wordWrap/>
                    <w:spacing w:line="240" w:lineRule="auto"/>
                    <w:ind w:firstLine="240" w:firstLineChars="100"/>
                    <w:jc w:val="center"/>
                    <w:rPr>
                      <w:rFonts w:ascii="宋体" w:hAnsi="宋体"/>
                    </w:rPr>
                  </w:pPr>
                  <w:r>
                    <w:rPr>
                      <w:rFonts w:hint="eastAsia" w:ascii="宋体" w:hAnsi="宋体" w:cs="宋体"/>
                    </w:rPr>
                    <w:t>0.45%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438" w:type="dxa"/>
                  <w:vAlign w:val="center"/>
                </w:tcPr>
                <w:p>
                  <w:pPr>
                    <w:wordWrap/>
                    <w:spacing w:line="240" w:lineRule="auto"/>
                    <w:jc w:val="center"/>
                    <w:rPr>
                      <w:rFonts w:ascii="宋体" w:hAnsi="宋体"/>
                    </w:rPr>
                  </w:pPr>
                  <w:r>
                    <w:rPr>
                      <w:rFonts w:hint="eastAsia" w:ascii="宋体" w:hAnsi="宋体" w:cs="宋体"/>
                    </w:rPr>
                    <w:t>1000～5000万元</w:t>
                  </w:r>
                </w:p>
              </w:tc>
              <w:tc>
                <w:tcPr>
                  <w:tcW w:w="1485" w:type="dxa"/>
                  <w:vAlign w:val="center"/>
                </w:tcPr>
                <w:p>
                  <w:pPr>
                    <w:wordWrap/>
                    <w:spacing w:line="240" w:lineRule="auto"/>
                    <w:ind w:firstLine="240" w:firstLineChars="100"/>
                    <w:jc w:val="center"/>
                    <w:rPr>
                      <w:rFonts w:ascii="宋体" w:hAnsi="宋体"/>
                    </w:rPr>
                  </w:pPr>
                  <w:r>
                    <w:rPr>
                      <w:rFonts w:hint="eastAsia" w:ascii="宋体" w:hAnsi="宋体" w:cs="宋体"/>
                    </w:rPr>
                    <w:t>0.25%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9" w:hRule="atLeast"/>
                <w:jc w:val="center"/>
              </w:trPr>
              <w:tc>
                <w:tcPr>
                  <w:tcW w:w="2438" w:type="dxa"/>
                  <w:vAlign w:val="center"/>
                </w:tcPr>
                <w:p>
                  <w:pPr>
                    <w:wordWrap/>
                    <w:spacing w:line="240" w:lineRule="auto"/>
                    <w:jc w:val="center"/>
                    <w:rPr>
                      <w:rFonts w:ascii="宋体" w:hAnsi="宋体"/>
                    </w:rPr>
                  </w:pPr>
                  <w:r>
                    <w:rPr>
                      <w:rFonts w:hint="eastAsia" w:ascii="宋体" w:hAnsi="宋体" w:cs="宋体"/>
                    </w:rPr>
                    <w:t>5000万元～1亿元</w:t>
                  </w:r>
                </w:p>
              </w:tc>
              <w:tc>
                <w:tcPr>
                  <w:tcW w:w="1485" w:type="dxa"/>
                  <w:vAlign w:val="center"/>
                </w:tcPr>
                <w:p>
                  <w:pPr>
                    <w:wordWrap/>
                    <w:spacing w:line="240" w:lineRule="auto"/>
                    <w:ind w:firstLine="240" w:firstLineChars="100"/>
                    <w:jc w:val="center"/>
                    <w:rPr>
                      <w:rFonts w:ascii="宋体" w:hAnsi="宋体"/>
                    </w:rPr>
                  </w:pPr>
                  <w:r>
                    <w:rPr>
                      <w:rFonts w:hint="eastAsia" w:ascii="宋体" w:hAnsi="宋体" w:cs="宋体"/>
                    </w:rPr>
                    <w:t>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438" w:type="dxa"/>
                  <w:vAlign w:val="center"/>
                </w:tcPr>
                <w:p>
                  <w:pPr>
                    <w:wordWrap/>
                    <w:spacing w:line="240" w:lineRule="auto"/>
                    <w:jc w:val="center"/>
                    <w:rPr>
                      <w:rFonts w:ascii="宋体" w:hAnsi="宋体"/>
                    </w:rPr>
                  </w:pPr>
                  <w:r>
                    <w:rPr>
                      <w:rFonts w:hint="eastAsia" w:ascii="宋体" w:hAnsi="宋体" w:cs="宋体"/>
                    </w:rPr>
                    <w:t>1～5亿元</w:t>
                  </w:r>
                </w:p>
              </w:tc>
              <w:tc>
                <w:tcPr>
                  <w:tcW w:w="1485" w:type="dxa"/>
                  <w:vAlign w:val="center"/>
                </w:tcPr>
                <w:p>
                  <w:pPr>
                    <w:wordWrap/>
                    <w:spacing w:line="240" w:lineRule="auto"/>
                    <w:jc w:val="center"/>
                    <w:rPr>
                      <w:rFonts w:ascii="宋体" w:hAnsi="宋体"/>
                    </w:rPr>
                  </w:pPr>
                  <w:r>
                    <w:rPr>
                      <w:rFonts w:hint="eastAsia" w:ascii="宋体" w:hAnsi="宋体" w:cs="宋体"/>
                    </w:rPr>
                    <w:t>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438" w:type="dxa"/>
                  <w:vAlign w:val="center"/>
                </w:tcPr>
                <w:p>
                  <w:pPr>
                    <w:wordWrap/>
                    <w:spacing w:line="240" w:lineRule="auto"/>
                    <w:jc w:val="center"/>
                    <w:rPr>
                      <w:rFonts w:ascii="宋体" w:hAnsi="宋体"/>
                    </w:rPr>
                  </w:pPr>
                  <w:r>
                    <w:rPr>
                      <w:rFonts w:hint="eastAsia" w:ascii="宋体" w:hAnsi="宋体" w:cs="宋体"/>
                    </w:rPr>
                    <w:t>5～10亿元</w:t>
                  </w:r>
                </w:p>
              </w:tc>
              <w:tc>
                <w:tcPr>
                  <w:tcW w:w="1485" w:type="dxa"/>
                  <w:vAlign w:val="center"/>
                </w:tcPr>
                <w:p>
                  <w:pPr>
                    <w:wordWrap/>
                    <w:spacing w:line="240" w:lineRule="auto"/>
                    <w:jc w:val="center"/>
                    <w:rPr>
                      <w:rFonts w:ascii="宋体" w:hAnsi="宋体"/>
                    </w:rPr>
                  </w:pPr>
                  <w:r>
                    <w:rPr>
                      <w:rFonts w:hint="eastAsia" w:ascii="宋体" w:hAnsi="宋体" w:cs="宋体"/>
                    </w:rPr>
                    <w:t>0.035%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438" w:type="dxa"/>
                  <w:vAlign w:val="center"/>
                </w:tcPr>
                <w:p>
                  <w:pPr>
                    <w:wordWrap/>
                    <w:spacing w:line="240" w:lineRule="auto"/>
                    <w:jc w:val="center"/>
                    <w:rPr>
                      <w:rFonts w:ascii="宋体" w:hAnsi="宋体"/>
                    </w:rPr>
                  </w:pPr>
                  <w:r>
                    <w:rPr>
                      <w:rFonts w:hint="eastAsia" w:ascii="宋体" w:hAnsi="宋体" w:cs="宋体"/>
                    </w:rPr>
                    <w:t>10～50亿元</w:t>
                  </w:r>
                </w:p>
              </w:tc>
              <w:tc>
                <w:tcPr>
                  <w:tcW w:w="1485" w:type="dxa"/>
                  <w:vAlign w:val="center"/>
                </w:tcPr>
                <w:p>
                  <w:pPr>
                    <w:wordWrap/>
                    <w:spacing w:line="240" w:lineRule="auto"/>
                    <w:ind w:firstLine="240" w:firstLineChars="100"/>
                    <w:jc w:val="center"/>
                    <w:rPr>
                      <w:rFonts w:ascii="宋体" w:hAnsi="宋体"/>
                    </w:rPr>
                  </w:pPr>
                  <w:r>
                    <w:rPr>
                      <w:rFonts w:hint="eastAsia" w:ascii="宋体" w:hAnsi="宋体" w:cs="宋体"/>
                    </w:rPr>
                    <w:t>0.008%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438" w:type="dxa"/>
                  <w:vAlign w:val="center"/>
                </w:tcPr>
                <w:p>
                  <w:pPr>
                    <w:wordWrap/>
                    <w:spacing w:line="240" w:lineRule="auto"/>
                    <w:jc w:val="center"/>
                    <w:rPr>
                      <w:rFonts w:ascii="宋体" w:hAnsi="宋体"/>
                    </w:rPr>
                  </w:pPr>
                  <w:r>
                    <w:rPr>
                      <w:rFonts w:hint="eastAsia" w:ascii="宋体" w:hAnsi="宋体" w:cs="宋体"/>
                    </w:rPr>
                    <w:t>50～100亿元</w:t>
                  </w:r>
                </w:p>
              </w:tc>
              <w:tc>
                <w:tcPr>
                  <w:tcW w:w="1485" w:type="dxa"/>
                  <w:vAlign w:val="center"/>
                </w:tcPr>
                <w:p>
                  <w:pPr>
                    <w:wordWrap/>
                    <w:spacing w:line="240" w:lineRule="auto"/>
                    <w:ind w:firstLine="240" w:firstLineChars="100"/>
                    <w:jc w:val="center"/>
                    <w:rPr>
                      <w:rFonts w:ascii="宋体" w:hAnsi="宋体"/>
                    </w:rPr>
                  </w:pPr>
                  <w:r>
                    <w:rPr>
                      <w:rFonts w:hint="eastAsia" w:ascii="宋体" w:hAnsi="宋体" w:cs="宋体"/>
                    </w:rPr>
                    <w:t>0.006%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9" w:hRule="atLeast"/>
                <w:jc w:val="center"/>
              </w:trPr>
              <w:tc>
                <w:tcPr>
                  <w:tcW w:w="2438" w:type="dxa"/>
                  <w:vAlign w:val="center"/>
                </w:tcPr>
                <w:p>
                  <w:pPr>
                    <w:wordWrap/>
                    <w:spacing w:line="240" w:lineRule="auto"/>
                    <w:jc w:val="center"/>
                    <w:rPr>
                      <w:rFonts w:ascii="宋体" w:hAnsi="宋体"/>
                    </w:rPr>
                  </w:pPr>
                  <w:r>
                    <w:rPr>
                      <w:rFonts w:hint="eastAsia" w:ascii="宋体" w:hAnsi="宋体" w:cs="宋体"/>
                    </w:rPr>
                    <w:t>100亿以上</w:t>
                  </w:r>
                </w:p>
              </w:tc>
              <w:tc>
                <w:tcPr>
                  <w:tcW w:w="1485" w:type="dxa"/>
                  <w:vAlign w:val="center"/>
                </w:tcPr>
                <w:p>
                  <w:pPr>
                    <w:wordWrap/>
                    <w:spacing w:line="240" w:lineRule="auto"/>
                    <w:ind w:firstLine="240" w:firstLineChars="100"/>
                    <w:jc w:val="center"/>
                    <w:rPr>
                      <w:rFonts w:ascii="宋体" w:hAnsi="宋体"/>
                    </w:rPr>
                  </w:pPr>
                  <w:r>
                    <w:rPr>
                      <w:rFonts w:hint="eastAsia" w:ascii="宋体" w:hAnsi="宋体" w:cs="宋体"/>
                    </w:rPr>
                    <w:t>0.004%</w:t>
                  </w:r>
                </w:p>
              </w:tc>
            </w:tr>
          </w:tbl>
          <w:p>
            <w:pPr>
              <w:snapToGrid w:val="0"/>
              <w:spacing w:line="312" w:lineRule="auto"/>
              <w:rPr>
                <w:rFonts w:ascii="宋体" w:hAnsi="宋体" w:cs="宋体"/>
              </w:rPr>
            </w:pPr>
            <w:r>
              <w:rPr>
                <w:rFonts w:hint="eastAsia" w:ascii="宋体" w:hAnsi="宋体" w:cs="宋体"/>
              </w:rPr>
              <w:t>【例如：某服务</w:t>
            </w:r>
            <w:r>
              <w:rPr>
                <w:rFonts w:hint="eastAsia" w:ascii="宋体" w:hAnsi="宋体" w:cs="宋体"/>
                <w:b/>
              </w:rPr>
              <w:t>类项目</w:t>
            </w:r>
            <w:r>
              <w:rPr>
                <w:rFonts w:hint="eastAsia" w:ascii="宋体" w:hAnsi="宋体" w:cs="宋体"/>
              </w:rPr>
              <w:t>采购成交金额/预算金额为人民币600万元，计算采购代理服务收费额如下：</w:t>
            </w:r>
          </w:p>
          <w:p>
            <w:pPr>
              <w:snapToGrid w:val="0"/>
              <w:spacing w:line="312" w:lineRule="auto"/>
              <w:ind w:firstLine="120" w:firstLineChars="50"/>
              <w:jc w:val="left"/>
              <w:rPr>
                <w:rFonts w:ascii="宋体" w:hAnsi="宋体" w:cs="宋体"/>
              </w:rPr>
            </w:pPr>
            <w:r>
              <w:rPr>
                <w:rFonts w:hint="eastAsia" w:ascii="宋体" w:hAnsi="宋体" w:cs="宋体"/>
              </w:rPr>
              <w:t>100万元×1.5%=1.5万元</w:t>
            </w:r>
          </w:p>
          <w:p>
            <w:pPr>
              <w:snapToGrid w:val="0"/>
              <w:spacing w:line="312" w:lineRule="auto"/>
              <w:jc w:val="left"/>
              <w:rPr>
                <w:rFonts w:ascii="宋体" w:hAnsi="宋体" w:cs="宋体"/>
              </w:rPr>
            </w:pPr>
            <w:r>
              <w:rPr>
                <w:rFonts w:hint="eastAsia" w:ascii="宋体" w:hAnsi="宋体" w:cs="宋体"/>
              </w:rPr>
              <w:t>（500-100）万元×0.8%=3.2万元</w:t>
            </w:r>
          </w:p>
          <w:p>
            <w:pPr>
              <w:snapToGrid w:val="0"/>
              <w:spacing w:line="312" w:lineRule="auto"/>
              <w:jc w:val="left"/>
              <w:rPr>
                <w:rFonts w:ascii="宋体" w:hAnsi="宋体" w:cs="宋体"/>
              </w:rPr>
            </w:pPr>
            <w:r>
              <w:rPr>
                <w:rFonts w:hint="eastAsia" w:ascii="宋体" w:hAnsi="宋体" w:cs="宋体"/>
              </w:rPr>
              <w:t>（600-500）万元×0.45%=0.45万元</w:t>
            </w:r>
          </w:p>
          <w:p>
            <w:pPr>
              <w:widowControl/>
              <w:jc w:val="left"/>
            </w:pPr>
            <w:r>
              <w:rPr>
                <w:rFonts w:hint="eastAsia" w:ascii="宋体" w:hAnsi="宋体" w:cs="宋体"/>
              </w:rPr>
              <w:t>合计收费=1.5+3.2+0.45=5.15（万元）】</w:t>
            </w:r>
            <w:r>
              <w:rPr>
                <w:rFonts w:ascii="宋体" w:hAnsi="宋体" w:cs="宋体"/>
                <w:szCs w:val="24"/>
              </w:rPr>
              <w:t xml:space="preserve"> </w:t>
            </w:r>
          </w:p>
          <w:p>
            <w:pPr>
              <w:wordWrap w:val="0"/>
              <w:autoSpaceDE w:val="0"/>
              <w:autoSpaceDN w:val="0"/>
              <w:spacing w:line="312" w:lineRule="auto"/>
              <w:rPr>
                <w:rFonts w:ascii="宋体" w:hAnsi="宋体"/>
                <w:szCs w:val="24"/>
                <w:u w:val="single"/>
              </w:rPr>
            </w:pPr>
            <w:r>
              <w:rPr>
                <w:rFonts w:hint="eastAsia" w:ascii="宋体" w:hAnsi="宋体"/>
                <w:szCs w:val="24"/>
              </w:rPr>
              <w:t>（1）计费基数：</w:t>
            </w:r>
            <w:r>
              <w:rPr>
                <w:rFonts w:hint="eastAsia" w:ascii="宋体" w:hAnsi="宋体"/>
                <w:szCs w:val="24"/>
                <w:u w:val="single"/>
              </w:rPr>
              <w:t>成交金额</w:t>
            </w:r>
          </w:p>
          <w:p>
            <w:pPr>
              <w:wordWrap w:val="0"/>
              <w:autoSpaceDE w:val="0"/>
              <w:autoSpaceDN w:val="0"/>
              <w:spacing w:line="312" w:lineRule="auto"/>
              <w:rPr>
                <w:rFonts w:ascii="宋体" w:hAnsi="宋体"/>
                <w:szCs w:val="24"/>
                <w:u w:val="single"/>
              </w:rPr>
            </w:pPr>
            <w:r>
              <w:rPr>
                <w:rFonts w:hint="eastAsia" w:ascii="宋体" w:hAnsi="宋体"/>
                <w:szCs w:val="24"/>
              </w:rPr>
              <w:t>（2）收费折扣：</w:t>
            </w:r>
            <w:r>
              <w:rPr>
                <w:rFonts w:hint="eastAsia" w:ascii="宋体" w:hAnsi="宋体"/>
                <w:iCs/>
                <w:szCs w:val="24"/>
                <w:u w:val="single"/>
              </w:rPr>
              <w:t xml:space="preserve"> 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cs="宋体"/>
                <w:szCs w:val="24"/>
              </w:rPr>
              <w:t>7.2</w:t>
            </w:r>
          </w:p>
        </w:tc>
        <w:tc>
          <w:tcPr>
            <w:tcW w:w="2287" w:type="dxa"/>
            <w:tcBorders>
              <w:top w:val="single" w:color="auto" w:sz="6" w:space="0"/>
              <w:left w:val="single" w:color="auto" w:sz="6" w:space="0"/>
              <w:right w:val="single" w:color="auto" w:sz="6" w:space="0"/>
            </w:tcBorders>
            <w:vAlign w:val="center"/>
          </w:tcPr>
          <w:p>
            <w:pPr>
              <w:shd w:val="clear" w:color="auto" w:fill="FFFFFF"/>
              <w:jc w:val="center"/>
              <w:rPr>
                <w:rFonts w:ascii="宋体" w:hAnsi="宋体"/>
                <w:szCs w:val="24"/>
              </w:rPr>
            </w:pPr>
            <w:r>
              <w:rPr>
                <w:rFonts w:hint="eastAsia" w:ascii="宋体" w:hAnsi="宋体" w:cs="宋体"/>
                <w:kern w:val="0"/>
                <w:szCs w:val="24"/>
              </w:rPr>
              <w:t>演示</w:t>
            </w:r>
          </w:p>
        </w:tc>
        <w:tc>
          <w:tcPr>
            <w:tcW w:w="5927" w:type="dxa"/>
            <w:vAlign w:val="center"/>
          </w:tcPr>
          <w:p>
            <w:pPr>
              <w:rPr>
                <w:rFonts w:ascii="宋体" w:hAnsi="宋体" w:cs="宋体"/>
                <w:kern w:val="0"/>
                <w:szCs w:val="24"/>
              </w:rPr>
            </w:pPr>
            <w:bookmarkStart w:id="80" w:name="OLE_LINK26"/>
            <w:r>
              <w:rPr>
                <w:rFonts w:hint="eastAsia" w:ascii="宋体" w:hAnsi="宋体"/>
                <w:b/>
                <w:szCs w:val="24"/>
                <w:bdr w:val="single" w:color="auto" w:sz="4" w:space="0"/>
              </w:rPr>
              <w:t>√</w:t>
            </w:r>
            <w:bookmarkEnd w:id="80"/>
            <w:r>
              <w:rPr>
                <w:rFonts w:hint="eastAsia" w:ascii="宋体" w:hAnsi="宋体" w:cs="宋体"/>
                <w:kern w:val="0"/>
                <w:szCs w:val="24"/>
              </w:rPr>
              <w:t>不</w:t>
            </w:r>
            <w:r>
              <w:rPr>
                <w:rFonts w:hint="eastAsia" w:ascii="宋体" w:hAnsi="宋体" w:cs="宋体"/>
                <w:bCs/>
                <w:kern w:val="0"/>
                <w:szCs w:val="24"/>
              </w:rPr>
              <w:t>需要提供演示</w:t>
            </w:r>
          </w:p>
          <w:p>
            <w:pPr>
              <w:wordWrap w:val="0"/>
              <w:autoSpaceDE w:val="0"/>
              <w:autoSpaceDN w:val="0"/>
              <w:spacing w:line="312" w:lineRule="auto"/>
              <w:rPr>
                <w:rFonts w:ascii="宋体" w:hAnsi="宋体"/>
                <w:szCs w:val="24"/>
              </w:rPr>
            </w:pPr>
            <w:r>
              <w:rPr>
                <w:rFonts w:hint="eastAsia" w:ascii="宋体" w:hAnsi="宋体" w:cs="宋体"/>
                <w:szCs w:val="24"/>
              </w:rPr>
              <w:t>□</w:t>
            </w:r>
            <w:r>
              <w:rPr>
                <w:rFonts w:hint="eastAsia" w:ascii="宋体" w:hAnsi="宋体" w:cs="宋体"/>
                <w:kern w:val="0"/>
                <w:szCs w:val="24"/>
              </w:rPr>
              <w:t>需要</w:t>
            </w:r>
            <w:r>
              <w:rPr>
                <w:rFonts w:hint="eastAsia" w:ascii="宋体" w:hAnsi="宋体" w:cs="宋体"/>
                <w:bCs/>
                <w:kern w:val="0"/>
                <w:szCs w:val="24"/>
              </w:rPr>
              <w:t>提供演示。详见《采购需求》。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11.5</w:t>
            </w:r>
          </w:p>
        </w:tc>
        <w:tc>
          <w:tcPr>
            <w:tcW w:w="2287" w:type="dxa"/>
            <w:tcBorders>
              <w:top w:val="single" w:color="auto" w:sz="6" w:space="0"/>
              <w:left w:val="single" w:color="auto" w:sz="6" w:space="0"/>
              <w:right w:val="single" w:color="auto" w:sz="6"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报价形式</w:t>
            </w:r>
          </w:p>
        </w:tc>
        <w:tc>
          <w:tcPr>
            <w:tcW w:w="5927" w:type="dxa"/>
            <w:vAlign w:val="center"/>
          </w:tcPr>
          <w:p>
            <w:pPr>
              <w:wordWrap w:val="0"/>
              <w:autoSpaceDE w:val="0"/>
              <w:autoSpaceDN w:val="0"/>
              <w:spacing w:line="312" w:lineRule="auto"/>
              <w:rPr>
                <w:rFonts w:ascii="宋体" w:hAnsi="宋体" w:cs="宋体"/>
                <w:lang w:val="zh-CN"/>
              </w:rPr>
            </w:pPr>
            <w:bookmarkStart w:id="81" w:name="OLE_LINK27"/>
            <w:r>
              <w:rPr>
                <w:rFonts w:hint="eastAsia" w:ascii="宋体" w:hAnsi="宋体"/>
                <w:b/>
                <w:szCs w:val="24"/>
                <w:bdr w:val="single" w:color="auto" w:sz="4" w:space="0"/>
              </w:rPr>
              <w:t>√</w:t>
            </w:r>
            <w:bookmarkEnd w:id="81"/>
            <w:r>
              <w:rPr>
                <w:rFonts w:hint="eastAsia" w:ascii="宋体" w:hAnsi="宋体" w:cs="宋体"/>
                <w:lang w:val="zh-CN"/>
              </w:rPr>
              <w:t>总价。</w:t>
            </w:r>
          </w:p>
          <w:p>
            <w:pPr>
              <w:wordWrap w:val="0"/>
              <w:autoSpaceDE w:val="0"/>
              <w:autoSpaceDN w:val="0"/>
              <w:spacing w:line="312" w:lineRule="auto"/>
              <w:rPr>
                <w:rFonts w:ascii="宋体" w:hAnsi="宋体"/>
                <w:szCs w:val="24"/>
              </w:rPr>
            </w:pPr>
            <w:r>
              <w:rPr>
                <w:rFonts w:hint="eastAsia" w:ascii="宋体" w:hAnsi="宋体"/>
                <w:szCs w:val="24"/>
              </w:rPr>
              <w:t>□单价。</w:t>
            </w:r>
          </w:p>
          <w:p>
            <w:pPr>
              <w:wordWrap w:val="0"/>
              <w:autoSpaceDE w:val="0"/>
              <w:autoSpaceDN w:val="0"/>
              <w:spacing w:line="312" w:lineRule="auto"/>
              <w:rPr>
                <w:rFonts w:ascii="宋体" w:hAnsi="宋体"/>
                <w:i/>
                <w:szCs w:val="24"/>
              </w:rPr>
            </w:pPr>
            <w:r>
              <w:rPr>
                <w:rFonts w:hint="eastAsia" w:ascii="宋体" w:hAnsi="宋体"/>
                <w:szCs w:val="24"/>
              </w:rPr>
              <w:t>□</w:t>
            </w:r>
            <w:r>
              <w:rPr>
                <w:rFonts w:hint="eastAsia" w:ascii="宋体" w:hAnsi="宋体"/>
                <w:i/>
                <w:szCs w:val="24"/>
              </w:rPr>
              <w:t>折扣率。(</w:t>
            </w:r>
            <w:r>
              <w:rPr>
                <w:rFonts w:hint="eastAsia" w:ascii="宋体" w:hAnsi="宋体" w:cs="宋体"/>
                <w:i/>
                <w:szCs w:val="24"/>
              </w:rPr>
              <w:t>0%—100%，保留最多两位小数）</w:t>
            </w:r>
          </w:p>
          <w:p>
            <w:pPr>
              <w:wordWrap w:val="0"/>
              <w:autoSpaceDE w:val="0"/>
              <w:autoSpaceDN w:val="0"/>
              <w:spacing w:line="312" w:lineRule="auto"/>
              <w:rPr>
                <w:rFonts w:ascii="宋体" w:hAnsi="宋体"/>
                <w:szCs w:val="24"/>
              </w:rPr>
            </w:pPr>
            <w:r>
              <w:rPr>
                <w:rFonts w:hint="eastAsia" w:ascii="宋体" w:hAnsi="宋体"/>
                <w:szCs w:val="24"/>
              </w:rPr>
              <w:t>□</w:t>
            </w:r>
            <w:r>
              <w:rPr>
                <w:rFonts w:hint="eastAsia" w:ascii="宋体" w:hAnsi="宋体"/>
                <w:i/>
                <w:szCs w:val="24"/>
              </w:rPr>
              <w:t>下浮率/</w:t>
            </w:r>
            <w:r>
              <w:rPr>
                <w:rFonts w:hint="eastAsia" w:ascii="宋体" w:hAnsi="宋体"/>
                <w:i/>
                <w:iCs/>
                <w:szCs w:val="24"/>
              </w:rPr>
              <w:t>优惠率</w:t>
            </w:r>
            <w:r>
              <w:rPr>
                <w:rFonts w:hint="eastAsia" w:ascii="宋体" w:hAnsi="宋体"/>
                <w:i/>
                <w:szCs w:val="24"/>
              </w:rPr>
              <w:t>。(</w:t>
            </w:r>
            <w:r>
              <w:rPr>
                <w:rFonts w:hint="eastAsia" w:ascii="宋体" w:hAnsi="宋体" w:cs="宋体"/>
                <w:i/>
                <w:szCs w:val="24"/>
              </w:rPr>
              <w:t>0%—100%，保留最多两位小数）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11.6</w:t>
            </w:r>
          </w:p>
        </w:tc>
        <w:tc>
          <w:tcPr>
            <w:tcW w:w="2287" w:type="dxa"/>
            <w:tcBorders>
              <w:top w:val="single" w:color="auto" w:sz="6" w:space="0"/>
              <w:left w:val="single" w:color="auto" w:sz="6" w:space="0"/>
              <w:right w:val="single" w:color="auto" w:sz="6" w:space="0"/>
            </w:tcBorders>
            <w:vAlign w:val="center"/>
          </w:tcPr>
          <w:p>
            <w:pPr>
              <w:jc w:val="center"/>
              <w:rPr>
                <w:rFonts w:ascii="宋体" w:hAnsi="宋体"/>
                <w:szCs w:val="24"/>
              </w:rPr>
            </w:pPr>
            <w:r>
              <w:rPr>
                <w:rFonts w:hint="eastAsia" w:ascii="宋体" w:hAnsi="宋体" w:cs="宋体"/>
                <w:szCs w:val="24"/>
              </w:rPr>
              <w:t>报价要求</w:t>
            </w:r>
          </w:p>
        </w:tc>
        <w:tc>
          <w:tcPr>
            <w:tcW w:w="5927" w:type="dxa"/>
          </w:tcPr>
          <w:p>
            <w:pPr>
              <w:rPr>
                <w:rFonts w:ascii="宋体" w:hAnsi="宋体" w:cs="宋体"/>
                <w:i/>
                <w:szCs w:val="24"/>
              </w:rPr>
            </w:pPr>
            <w:r>
              <w:rPr>
                <w:rFonts w:hint="eastAsia" w:ascii="宋体" w:hAnsi="宋体" w:cs="宋体"/>
                <w:i/>
                <w:szCs w:val="24"/>
              </w:rPr>
              <w:t>总价报价不超过预算总价/最高限价总价</w:t>
            </w:r>
          </w:p>
          <w:p>
            <w:pPr>
              <w:rPr>
                <w:rFonts w:ascii="宋体" w:hAnsi="宋体"/>
                <w:szCs w:val="24"/>
              </w:rPr>
            </w:pPr>
            <w:r>
              <w:rPr>
                <w:rFonts w:hint="eastAsia" w:ascii="宋体" w:hAnsi="宋体" w:cs="宋体"/>
                <w:i/>
                <w:szCs w:val="24"/>
              </w:rPr>
              <w:t>（分项/单价报价不超过相应的分项/单价的预算金额或者最高限价）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12.1；12.2</w:t>
            </w:r>
          </w:p>
        </w:tc>
        <w:tc>
          <w:tcPr>
            <w:tcW w:w="2287" w:type="dxa"/>
            <w:tcBorders>
              <w:top w:val="single" w:color="auto" w:sz="6" w:space="0"/>
              <w:left w:val="single" w:color="auto" w:sz="6" w:space="0"/>
              <w:right w:val="single" w:color="auto" w:sz="6"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是否接受备选报价方案</w:t>
            </w:r>
          </w:p>
        </w:tc>
        <w:tc>
          <w:tcPr>
            <w:tcW w:w="5927" w:type="dxa"/>
            <w:vAlign w:val="center"/>
          </w:tcPr>
          <w:p>
            <w:pPr>
              <w:wordWrap w:val="0"/>
              <w:autoSpaceDE w:val="0"/>
              <w:autoSpaceDN w:val="0"/>
              <w:spacing w:line="312" w:lineRule="auto"/>
              <w:rPr>
                <w:rFonts w:ascii="宋体" w:hAnsi="宋体"/>
                <w:szCs w:val="24"/>
              </w:rPr>
            </w:pPr>
            <w:r>
              <w:rPr>
                <w:rFonts w:hint="eastAsia" w:ascii="宋体" w:hAnsi="宋体"/>
                <w:b/>
                <w:szCs w:val="24"/>
                <w:bdr w:val="single" w:color="auto" w:sz="4" w:space="0"/>
              </w:rPr>
              <w:t>√</w:t>
            </w:r>
            <w:r>
              <w:rPr>
                <w:rFonts w:hint="eastAsia" w:ascii="宋体" w:hAnsi="宋体"/>
                <w:szCs w:val="24"/>
              </w:rPr>
              <w:t>不接受。</w:t>
            </w:r>
          </w:p>
          <w:p>
            <w:pPr>
              <w:wordWrap w:val="0"/>
              <w:autoSpaceDE w:val="0"/>
              <w:autoSpaceDN w:val="0"/>
              <w:spacing w:line="312" w:lineRule="auto"/>
              <w:rPr>
                <w:rFonts w:ascii="宋体" w:hAnsi="宋体"/>
                <w:szCs w:val="24"/>
              </w:rPr>
            </w:pPr>
            <w:r>
              <w:rPr>
                <w:rFonts w:hint="eastAsia" w:ascii="宋体" w:hAnsi="宋体"/>
                <w:szCs w:val="24"/>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12.3</w:t>
            </w:r>
          </w:p>
        </w:tc>
        <w:tc>
          <w:tcPr>
            <w:tcW w:w="2287" w:type="dxa"/>
            <w:tcBorders>
              <w:top w:val="single" w:color="auto" w:sz="6" w:space="0"/>
              <w:left w:val="single" w:color="auto" w:sz="6" w:space="0"/>
              <w:right w:val="single" w:color="auto" w:sz="6"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是否允许分包</w:t>
            </w:r>
          </w:p>
        </w:tc>
        <w:tc>
          <w:tcPr>
            <w:tcW w:w="5927" w:type="dxa"/>
            <w:vAlign w:val="center"/>
          </w:tcPr>
          <w:p>
            <w:pPr>
              <w:wordWrap w:val="0"/>
              <w:autoSpaceDE w:val="0"/>
              <w:autoSpaceDN w:val="0"/>
              <w:spacing w:line="312" w:lineRule="auto"/>
              <w:rPr>
                <w:rFonts w:ascii="宋体" w:hAnsi="宋体"/>
                <w:szCs w:val="24"/>
              </w:rPr>
            </w:pPr>
            <w:r>
              <w:rPr>
                <w:rFonts w:hint="eastAsia" w:ascii="宋体" w:hAnsi="宋体"/>
                <w:b/>
                <w:szCs w:val="24"/>
                <w:bdr w:val="single" w:color="auto" w:sz="4" w:space="0"/>
              </w:rPr>
              <w:t>√</w:t>
            </w:r>
            <w:r>
              <w:rPr>
                <w:rFonts w:hint="eastAsia" w:ascii="宋体" w:hAnsi="宋体"/>
                <w:szCs w:val="24"/>
              </w:rPr>
              <w:t xml:space="preserve">不允许。 </w:t>
            </w:r>
          </w:p>
          <w:p>
            <w:pPr>
              <w:wordWrap w:val="0"/>
              <w:autoSpaceDE w:val="0"/>
              <w:autoSpaceDN w:val="0"/>
              <w:spacing w:line="312" w:lineRule="auto"/>
              <w:rPr>
                <w:rFonts w:ascii="宋体" w:hAnsi="宋体"/>
                <w:szCs w:val="24"/>
                <w:u w:val="single"/>
              </w:rPr>
            </w:pPr>
            <w:r>
              <w:rPr>
                <w:rFonts w:hint="eastAsia" w:ascii="宋体" w:hAnsi="宋体"/>
                <w:szCs w:val="24"/>
              </w:rPr>
              <w:t>□允许。</w:t>
            </w:r>
            <w:r>
              <w:rPr>
                <w:rFonts w:hint="eastAsia" w:ascii="宋体" w:hAnsi="宋体"/>
                <w:szCs w:val="24"/>
                <w:u w:val="single"/>
              </w:rPr>
              <w:t>（详见《采购需求》）</w:t>
            </w:r>
          </w:p>
          <w:p>
            <w:pPr>
              <w:wordWrap w:val="0"/>
              <w:autoSpaceDE w:val="0"/>
              <w:autoSpaceDN w:val="0"/>
              <w:spacing w:line="312" w:lineRule="auto"/>
              <w:rPr>
                <w:rFonts w:ascii="宋体" w:hAnsi="宋体"/>
                <w:szCs w:val="24"/>
              </w:rPr>
            </w:pPr>
            <w:r>
              <w:rPr>
                <w:rFonts w:hint="eastAsia" w:ascii="宋体" w:hAnsi="宋体"/>
                <w:szCs w:val="24"/>
              </w:rPr>
              <w:t>□允许。采用预留份额（合同分包形式）专门面向中小企业采购，详见《磋商邀请》。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13.1</w:t>
            </w:r>
          </w:p>
        </w:tc>
        <w:tc>
          <w:tcPr>
            <w:tcW w:w="2287" w:type="dxa"/>
            <w:tcBorders>
              <w:top w:val="single" w:color="auto" w:sz="6" w:space="0"/>
              <w:left w:val="single" w:color="auto" w:sz="6" w:space="0"/>
              <w:right w:val="single" w:color="auto" w:sz="6"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联合体报价</w:t>
            </w:r>
          </w:p>
        </w:tc>
        <w:tc>
          <w:tcPr>
            <w:tcW w:w="5927" w:type="dxa"/>
            <w:vAlign w:val="center"/>
          </w:tcPr>
          <w:p>
            <w:pPr>
              <w:wordWrap w:val="0"/>
              <w:autoSpaceDE w:val="0"/>
              <w:autoSpaceDN w:val="0"/>
              <w:spacing w:line="312" w:lineRule="auto"/>
              <w:ind w:left="240" w:hanging="241" w:hangingChars="100"/>
              <w:rPr>
                <w:rFonts w:ascii="宋体" w:hAnsi="宋体"/>
                <w:szCs w:val="24"/>
              </w:rPr>
            </w:pPr>
            <w:r>
              <w:rPr>
                <w:rFonts w:hint="eastAsia" w:ascii="宋体" w:hAnsi="宋体"/>
                <w:b/>
                <w:szCs w:val="24"/>
                <w:bdr w:val="single" w:color="auto" w:sz="4" w:space="0"/>
              </w:rPr>
              <w:t>√</w:t>
            </w:r>
            <w:r>
              <w:rPr>
                <w:rFonts w:hint="eastAsia" w:ascii="宋体" w:hAnsi="宋体"/>
                <w:szCs w:val="24"/>
              </w:rPr>
              <w:t>不接受。所有有关联合体的条款内容不适用。</w:t>
            </w:r>
          </w:p>
          <w:p>
            <w:pPr>
              <w:wordWrap w:val="0"/>
              <w:autoSpaceDE w:val="0"/>
              <w:autoSpaceDN w:val="0"/>
              <w:spacing w:line="312" w:lineRule="auto"/>
              <w:rPr>
                <w:rFonts w:ascii="宋体" w:hAnsi="宋体"/>
                <w:szCs w:val="24"/>
              </w:rPr>
            </w:pPr>
            <w:r>
              <w:rPr>
                <w:rFonts w:hint="eastAsia" w:ascii="宋体" w:hAnsi="宋体"/>
                <w:szCs w:val="24"/>
              </w:rPr>
              <w:t>□接受。详见</w:t>
            </w:r>
            <w:r>
              <w:rPr>
                <w:rFonts w:hint="eastAsia" w:ascii="宋体" w:hAnsi="宋体"/>
                <w:kern w:val="0"/>
                <w:szCs w:val="24"/>
              </w:rPr>
              <w:t>本项目《磋商邀请》。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Merge w:val="restart"/>
            <w:vAlign w:val="center"/>
          </w:tcPr>
          <w:p>
            <w:pPr>
              <w:wordWrap w:val="0"/>
              <w:autoSpaceDE w:val="0"/>
              <w:autoSpaceDN w:val="0"/>
              <w:spacing w:line="312" w:lineRule="auto"/>
              <w:jc w:val="center"/>
              <w:rPr>
                <w:rFonts w:ascii="宋体" w:hAnsi="宋体"/>
                <w:szCs w:val="24"/>
              </w:rPr>
            </w:pPr>
            <w:r>
              <w:rPr>
                <w:rFonts w:hint="eastAsia" w:ascii="宋体" w:hAnsi="宋体"/>
                <w:szCs w:val="24"/>
              </w:rPr>
              <w:t>15</w:t>
            </w:r>
          </w:p>
        </w:tc>
        <w:tc>
          <w:tcPr>
            <w:tcW w:w="2287" w:type="dxa"/>
            <w:vMerge w:val="restart"/>
            <w:tcBorders>
              <w:top w:val="single" w:color="auto" w:sz="6" w:space="0"/>
              <w:left w:val="single" w:color="auto" w:sz="6" w:space="0"/>
              <w:right w:val="single" w:color="auto" w:sz="6"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磋商保证金</w:t>
            </w:r>
          </w:p>
        </w:tc>
        <w:tc>
          <w:tcPr>
            <w:tcW w:w="5927" w:type="dxa"/>
            <w:vAlign w:val="center"/>
          </w:tcPr>
          <w:p>
            <w:pPr>
              <w:wordWrap w:val="0"/>
              <w:autoSpaceDE w:val="0"/>
              <w:autoSpaceDN w:val="0"/>
              <w:spacing w:line="312" w:lineRule="auto"/>
              <w:rPr>
                <w:rFonts w:ascii="宋体" w:hAnsi="宋体"/>
                <w:szCs w:val="24"/>
              </w:rPr>
            </w:pPr>
            <w:r>
              <w:rPr>
                <w:rFonts w:hint="eastAsia" w:ascii="宋体" w:hAnsi="宋体"/>
                <w:b/>
                <w:szCs w:val="24"/>
                <w:bdr w:val="single" w:color="auto" w:sz="4" w:space="0"/>
              </w:rPr>
              <w:t>√</w:t>
            </w:r>
            <w:r>
              <w:rPr>
                <w:rFonts w:hint="eastAsia" w:ascii="宋体" w:hAnsi="宋体"/>
                <w:szCs w:val="24"/>
              </w:rPr>
              <w:t>不收取。所有有关磋商保证金的条款内容不适用。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Merge w:val="continue"/>
            <w:vAlign w:val="center"/>
          </w:tcPr>
          <w:p/>
        </w:tc>
        <w:tc>
          <w:tcPr>
            <w:tcW w:w="2287" w:type="dxa"/>
            <w:vMerge w:val="continue"/>
            <w:tcBorders>
              <w:top w:val="single" w:color="auto" w:sz="6" w:space="0"/>
              <w:left w:val="single" w:color="auto" w:sz="6" w:space="0"/>
              <w:right w:val="single" w:color="auto" w:sz="6" w:space="0"/>
            </w:tcBorders>
            <w:vAlign w:val="center"/>
          </w:tcPr>
          <w:p/>
        </w:tc>
        <w:tc>
          <w:tcPr>
            <w:tcW w:w="5927" w:type="dxa"/>
            <w:vAlign w:val="center"/>
          </w:tcPr>
          <w:p>
            <w:pPr>
              <w:wordWrap w:val="0"/>
              <w:autoSpaceDE w:val="0"/>
              <w:autoSpaceDN w:val="0"/>
              <w:spacing w:line="312" w:lineRule="auto"/>
              <w:rPr>
                <w:rFonts w:ascii="宋体" w:hAnsi="宋体"/>
                <w:szCs w:val="24"/>
              </w:rPr>
            </w:pPr>
            <w:r>
              <w:rPr>
                <w:rFonts w:hint="eastAsia" w:ascii="宋体" w:hAnsi="宋体"/>
                <w:szCs w:val="24"/>
              </w:rPr>
              <w:t>□收取。</w:t>
            </w:r>
          </w:p>
          <w:p>
            <w:pPr>
              <w:pStyle w:val="37"/>
              <w:kinsoku w:val="0"/>
              <w:wordWrap w:val="0"/>
              <w:overflowPunct w:val="0"/>
              <w:autoSpaceDE w:val="0"/>
              <w:autoSpaceDN w:val="0"/>
              <w:spacing w:line="312" w:lineRule="auto"/>
              <w:rPr>
                <w:rFonts w:hAnsi="宋体"/>
              </w:rPr>
            </w:pPr>
            <w:r>
              <w:rPr>
                <w:rFonts w:hint="eastAsia" w:hAnsi="宋体"/>
              </w:rPr>
              <w:t>（1）金额：人民币</w:t>
            </w:r>
            <w:r>
              <w:rPr>
                <w:rFonts w:hint="eastAsia" w:hAnsi="宋体"/>
                <w:u w:val="single"/>
              </w:rPr>
              <w:t xml:space="preserve">      </w:t>
            </w:r>
            <w:r>
              <w:rPr>
                <w:rFonts w:hint="eastAsia" w:hAnsi="宋体"/>
              </w:rPr>
              <w:t>元</w:t>
            </w:r>
          </w:p>
          <w:p>
            <w:pPr>
              <w:pStyle w:val="37"/>
              <w:spacing w:line="312" w:lineRule="auto"/>
              <w:rPr>
                <w:rFonts w:hAnsi="宋体"/>
              </w:rPr>
            </w:pPr>
            <w:r>
              <w:rPr>
                <w:rFonts w:hint="eastAsia" w:hAnsi="宋体"/>
              </w:rPr>
              <w:t>（2）递交时间：提交响应文件截止时间前完成缴纳或递交。供应商必须提前办理缴纳响应保证金的事宜，否则需自行承担保证金无法成功缴纳的风险。</w:t>
            </w:r>
          </w:p>
          <w:p>
            <w:pPr>
              <w:pStyle w:val="37"/>
              <w:spacing w:line="312" w:lineRule="auto"/>
              <w:rPr>
                <w:rFonts w:hAnsi="宋体"/>
                <w:i/>
              </w:rPr>
            </w:pPr>
            <w:r>
              <w:rPr>
                <w:rFonts w:hint="eastAsia" w:hAnsi="宋体"/>
              </w:rPr>
              <w:t>（3）形式（可自行选择）：银行转账、支票、汇票、本票、响应保函或担保函或保证保险函</w:t>
            </w:r>
            <w:r>
              <w:rPr>
                <w:rFonts w:hint="eastAsia" w:hAnsi="宋体"/>
                <w:i/>
              </w:rPr>
              <w:t>。</w:t>
            </w:r>
          </w:p>
          <w:p>
            <w:pPr>
              <w:pStyle w:val="37"/>
              <w:spacing w:line="312" w:lineRule="auto"/>
              <w:rPr>
                <w:rFonts w:hAnsi="宋体"/>
              </w:rPr>
            </w:pPr>
            <w:r>
              <w:rPr>
                <w:rFonts w:hint="eastAsia" w:hAnsi="宋体"/>
              </w:rPr>
              <w:t>（4）有效期：与报价有效期一致。</w:t>
            </w:r>
          </w:p>
          <w:p>
            <w:pPr>
              <w:pStyle w:val="37"/>
              <w:spacing w:line="312" w:lineRule="auto"/>
              <w:rPr>
                <w:rFonts w:hAnsi="宋体"/>
              </w:rPr>
            </w:pPr>
            <w:r>
              <w:rPr>
                <w:rFonts w:hint="eastAsia" w:hAnsi="宋体"/>
              </w:rPr>
              <w:t>（5）缴纳方式：</w:t>
            </w:r>
          </w:p>
          <w:p>
            <w:pPr>
              <w:pStyle w:val="37"/>
              <w:spacing w:line="312" w:lineRule="auto"/>
              <w:ind w:firstLine="480" w:firstLineChars="200"/>
              <w:rPr>
                <w:rFonts w:hAnsi="宋体"/>
              </w:rPr>
            </w:pPr>
            <w:r>
              <w:rPr>
                <w:rFonts w:hint="eastAsia" w:hAnsi="宋体" w:cs="仿宋"/>
                <w:kern w:val="2"/>
              </w:rPr>
              <w:t>①如采用银行转账形式提交的，</w:t>
            </w:r>
            <w:r>
              <w:rPr>
                <w:rFonts w:hint="eastAsia" w:hAnsi="宋体"/>
              </w:rPr>
              <w:t>请供应商自行登录广东华伦招标有限公司网站“供应商在线服务”查询由系统随机为每个项目每位供应商随机分配的响应保证金缴纳账号</w:t>
            </w:r>
            <w:r>
              <w:rPr>
                <w:rFonts w:hint="eastAsia" w:hAnsi="宋体" w:cs="仿宋"/>
                <w:kern w:val="2"/>
              </w:rPr>
              <w:t>（</w:t>
            </w:r>
            <w:r>
              <w:rPr>
                <w:rFonts w:hint="eastAsia" w:hAnsi="宋体"/>
                <w:b/>
              </w:rPr>
              <w:t>此账号仅限收取响应保证金）</w:t>
            </w:r>
            <w:r>
              <w:rPr>
                <w:rFonts w:hint="eastAsia" w:hAnsi="宋体"/>
              </w:rPr>
              <w:t>。详细操作详见广东华伦招标有限公司网站</w:t>
            </w:r>
            <w:r>
              <w:rPr>
                <w:rFonts w:hint="eastAsia" w:hAnsi="宋体"/>
                <w:u w:val="single"/>
              </w:rPr>
              <w:t>（https://www.gdhualun.com.cn/）</w:t>
            </w:r>
            <w:r>
              <w:rPr>
                <w:rFonts w:hint="eastAsia" w:hAnsi="宋体"/>
              </w:rPr>
              <w:t>“通知公告”栏中《供应商操作指南》。缴纳凭证的原件可单独封装或放在《报价信封》中，复印件或打印件放在响应文件中，注明事由：</w:t>
            </w:r>
            <w:r>
              <w:rPr>
                <w:rFonts w:hint="eastAsia" w:hAnsi="宋体"/>
                <w:b/>
                <w:bCs/>
                <w:u w:val="single"/>
              </w:rPr>
              <w:t>（项目文件编号0809-XXXXXXXXXXXX）</w:t>
            </w:r>
            <w:r>
              <w:rPr>
                <w:rFonts w:hint="eastAsia" w:hAnsi="宋体"/>
              </w:rPr>
              <w:t>响应保证金。到账情况以提交响应文件截止时间时广东华伦招标有限公司查询的信息为准。</w:t>
            </w:r>
          </w:p>
          <w:p>
            <w:pPr>
              <w:pStyle w:val="37"/>
              <w:spacing w:line="312" w:lineRule="auto"/>
              <w:ind w:firstLine="480" w:firstLineChars="200"/>
              <w:rPr>
                <w:rFonts w:hAnsi="宋体"/>
              </w:rPr>
            </w:pPr>
            <w:r>
              <w:rPr>
                <w:rFonts w:hint="eastAsia" w:hAnsi="宋体"/>
              </w:rPr>
              <w:t>②</w:t>
            </w:r>
            <w:r>
              <w:rPr>
                <w:rFonts w:hint="eastAsia" w:hAnsi="宋体" w:cs="仿宋"/>
                <w:kern w:val="2"/>
              </w:rPr>
              <w:t>如采用</w:t>
            </w:r>
            <w:r>
              <w:rPr>
                <w:rFonts w:hint="eastAsia" w:ascii="Times New Roman" w:hAnsi="宋体" w:cs="仿宋"/>
                <w:kern w:val="2"/>
              </w:rPr>
              <w:t>支票、汇票、本票形式提</w:t>
            </w:r>
            <w:r>
              <w:rPr>
                <w:rFonts w:hint="eastAsia" w:hAnsi="宋体" w:cs="仿宋"/>
                <w:kern w:val="2"/>
              </w:rPr>
              <w:t>交的：</w:t>
            </w:r>
            <w:r>
              <w:rPr>
                <w:rFonts w:hint="eastAsia" w:hAnsi="宋体"/>
              </w:rPr>
              <w:t>请供应商自行登录广东华伦招标有限公司网站“供应商在线服务”查询由系统随机为每个项目每位供应商随机分配的响应保证金缴纳账号</w:t>
            </w:r>
            <w:r>
              <w:rPr>
                <w:rFonts w:hint="eastAsia" w:hAnsi="宋体" w:cs="仿宋"/>
                <w:kern w:val="2"/>
              </w:rPr>
              <w:t>（</w:t>
            </w:r>
            <w:r>
              <w:rPr>
                <w:rFonts w:hint="eastAsia" w:hAnsi="宋体"/>
                <w:b/>
              </w:rPr>
              <w:t>此账号仅限收取响应保证金）</w:t>
            </w:r>
            <w:r>
              <w:rPr>
                <w:rFonts w:hint="eastAsia" w:hAnsi="宋体"/>
              </w:rPr>
              <w:t>。详细操作详见广东华伦招标有限公司网站</w:t>
            </w:r>
            <w:r>
              <w:rPr>
                <w:rFonts w:hint="eastAsia" w:hAnsi="宋体"/>
                <w:u w:val="single"/>
              </w:rPr>
              <w:t>（https://www.gdhualun.com.cn/）</w:t>
            </w:r>
            <w:r>
              <w:rPr>
                <w:rFonts w:hint="eastAsia" w:hAnsi="宋体"/>
              </w:rPr>
              <w:t>“通知公告”栏中《供应商操作指南》。</w:t>
            </w:r>
            <w:r>
              <w:rPr>
                <w:rFonts w:hint="eastAsia" w:ascii="Times New Roman" w:hAnsi="宋体" w:cs="Times New Roman"/>
              </w:rPr>
              <w:t>票据原件可单独封装或放入《报价信封》内，与响应文件同时送达指定的响应文件递交地点，票据复印件或打印件放入响应文件中。</w:t>
            </w:r>
            <w:r>
              <w:rPr>
                <w:rFonts w:hint="eastAsia" w:hAnsi="宋体"/>
              </w:rPr>
              <w:t>注明事由：</w:t>
            </w:r>
            <w:r>
              <w:rPr>
                <w:rFonts w:hint="eastAsia" w:hAnsi="宋体"/>
                <w:b/>
                <w:bCs/>
                <w:u w:val="single"/>
              </w:rPr>
              <w:t>（项目文件编号0809-XXXXXXXXXXXX）</w:t>
            </w:r>
            <w:r>
              <w:rPr>
                <w:rFonts w:hint="eastAsia" w:hAnsi="宋体"/>
              </w:rPr>
              <w:t>响应保证金。</w:t>
            </w:r>
          </w:p>
          <w:p>
            <w:pPr>
              <w:pStyle w:val="28"/>
              <w:spacing w:before="0" w:beforeAutospacing="0" w:after="0" w:afterAutospacing="0" w:line="312" w:lineRule="auto"/>
              <w:ind w:firstLine="420"/>
              <w:rPr>
                <w:rFonts w:cs="宋体"/>
                <w:color w:val="auto"/>
              </w:rPr>
            </w:pPr>
            <w:r>
              <w:rPr>
                <w:rFonts w:hint="eastAsia" w:cs="宋体"/>
                <w:color w:val="auto"/>
              </w:rPr>
              <w:t>③如采用金融机构、担保公司或保险机构开具的响应保函或担保函或保证保险函等形式提交的，保函或担保函或保证保险函须开具给采购人（保险受益人须为采购人），并与响应文件一同递交（原件可单独封装或放在《报价信封》中，复印件或打印件放在响应文件中）。</w:t>
            </w:r>
          </w:p>
          <w:p>
            <w:pPr>
              <w:pStyle w:val="28"/>
              <w:spacing w:before="0" w:beforeAutospacing="0" w:after="0" w:afterAutospacing="0" w:line="312" w:lineRule="auto"/>
              <w:ind w:firstLine="420"/>
              <w:rPr>
                <w:color w:val="auto"/>
              </w:rPr>
            </w:pPr>
            <w:r>
              <w:rPr>
                <w:rFonts w:hint="eastAsia" w:cs="宋体"/>
                <w:color w:val="auto"/>
              </w:rPr>
              <w:t>如供应商根据相关规定可办理电子保函的，电子保函与纸质保函具有同样效力。供应商须提供电子保函打印件或购买凭证作为核验凭证，并与响应文件一同递交（可单独封装或放在《报价信封》中）。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16.1</w:t>
            </w:r>
          </w:p>
        </w:tc>
        <w:tc>
          <w:tcPr>
            <w:tcW w:w="2287" w:type="dxa"/>
            <w:tcBorders>
              <w:top w:val="single" w:color="auto" w:sz="6" w:space="0"/>
              <w:left w:val="single" w:color="auto" w:sz="6" w:space="0"/>
              <w:right w:val="single" w:color="auto" w:sz="6"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磋商有效期</w:t>
            </w:r>
          </w:p>
        </w:tc>
        <w:tc>
          <w:tcPr>
            <w:tcW w:w="5927" w:type="dxa"/>
            <w:vAlign w:val="center"/>
          </w:tcPr>
          <w:p>
            <w:pPr>
              <w:spacing w:line="312" w:lineRule="auto"/>
              <w:rPr>
                <w:rFonts w:ascii="宋体" w:hAnsi="宋体"/>
                <w:szCs w:val="24"/>
              </w:rPr>
            </w:pPr>
            <w:r>
              <w:rPr>
                <w:rFonts w:hint="eastAsia" w:ascii="宋体" w:hAnsi="宋体"/>
                <w:szCs w:val="24"/>
              </w:rPr>
              <w:t>从提交首次响应文件的截止之日起</w:t>
            </w:r>
            <w:r>
              <w:rPr>
                <w:rFonts w:hint="eastAsia" w:ascii="宋体" w:hAnsi="宋体"/>
                <w:szCs w:val="24"/>
                <w:u w:val="single"/>
              </w:rPr>
              <w:t>90</w:t>
            </w:r>
            <w:r>
              <w:rPr>
                <w:rFonts w:hint="eastAsia" w:ascii="宋体" w:hAnsi="宋体"/>
                <w:szCs w:val="24"/>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17.1；17.4；17.5</w:t>
            </w:r>
          </w:p>
        </w:tc>
        <w:tc>
          <w:tcPr>
            <w:tcW w:w="2287" w:type="dxa"/>
            <w:tcBorders>
              <w:top w:val="single" w:color="auto" w:sz="6" w:space="0"/>
              <w:left w:val="single" w:color="auto" w:sz="6" w:space="0"/>
              <w:right w:val="single" w:color="auto" w:sz="6" w:space="0"/>
            </w:tcBorders>
            <w:vAlign w:val="center"/>
          </w:tcPr>
          <w:p>
            <w:pPr>
              <w:wordWrap w:val="0"/>
              <w:autoSpaceDE w:val="0"/>
              <w:autoSpaceDN w:val="0"/>
              <w:spacing w:line="312" w:lineRule="auto"/>
              <w:jc w:val="left"/>
              <w:rPr>
                <w:rFonts w:ascii="宋体" w:hAnsi="宋体"/>
                <w:szCs w:val="24"/>
              </w:rPr>
            </w:pPr>
            <w:r>
              <w:rPr>
                <w:rFonts w:hint="eastAsia" w:ascii="宋体" w:hAnsi="宋体"/>
                <w:szCs w:val="24"/>
              </w:rPr>
              <w:t>响应文件组成及份数；</w:t>
            </w:r>
          </w:p>
          <w:p>
            <w:pPr>
              <w:wordWrap w:val="0"/>
              <w:autoSpaceDE w:val="0"/>
              <w:autoSpaceDN w:val="0"/>
              <w:spacing w:line="312" w:lineRule="auto"/>
              <w:jc w:val="left"/>
              <w:rPr>
                <w:rFonts w:ascii="宋体" w:hAnsi="宋体"/>
                <w:szCs w:val="24"/>
              </w:rPr>
            </w:pPr>
            <w:r>
              <w:rPr>
                <w:rFonts w:hint="eastAsia" w:ascii="宋体" w:hAnsi="宋体"/>
                <w:szCs w:val="24"/>
              </w:rPr>
              <w:t>响应文件的封装</w:t>
            </w:r>
          </w:p>
        </w:tc>
        <w:tc>
          <w:tcPr>
            <w:tcW w:w="5927" w:type="dxa"/>
            <w:vAlign w:val="center"/>
          </w:tcPr>
          <w:p>
            <w:pPr>
              <w:spacing w:line="312" w:lineRule="auto"/>
              <w:rPr>
                <w:rFonts w:ascii="宋体" w:hAnsi="宋体"/>
                <w:szCs w:val="24"/>
              </w:rPr>
            </w:pPr>
          </w:p>
          <w:tbl>
            <w:tblPr>
              <w:tblStyle w:val="30"/>
              <w:tblW w:w="0" w:type="auto"/>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621"/>
              <w:gridCol w:w="1134"/>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687" w:type="dxa"/>
                </w:tcPr>
                <w:p>
                  <w:pPr>
                    <w:wordWrap/>
                    <w:spacing w:line="240" w:lineRule="auto"/>
                    <w:jc w:val="center"/>
                    <w:rPr>
                      <w:rFonts w:ascii="宋体" w:hAnsi="宋体"/>
                      <w:b/>
                      <w:sz w:val="21"/>
                      <w:szCs w:val="21"/>
                    </w:rPr>
                  </w:pPr>
                  <w:r>
                    <w:rPr>
                      <w:rFonts w:hint="eastAsia" w:ascii="宋体" w:hAnsi="宋体"/>
                      <w:b/>
                      <w:sz w:val="21"/>
                      <w:szCs w:val="21"/>
                    </w:rPr>
                    <w:t>序号</w:t>
                  </w:r>
                </w:p>
              </w:tc>
              <w:tc>
                <w:tcPr>
                  <w:tcW w:w="1621" w:type="dxa"/>
                </w:tcPr>
                <w:p>
                  <w:pPr>
                    <w:wordWrap/>
                    <w:spacing w:line="240" w:lineRule="auto"/>
                    <w:jc w:val="center"/>
                    <w:rPr>
                      <w:rFonts w:ascii="宋体" w:hAnsi="宋体"/>
                      <w:b/>
                      <w:sz w:val="21"/>
                      <w:szCs w:val="21"/>
                    </w:rPr>
                  </w:pPr>
                  <w:r>
                    <w:rPr>
                      <w:rFonts w:hint="eastAsia" w:ascii="宋体" w:hAnsi="宋体"/>
                      <w:b/>
                      <w:sz w:val="21"/>
                      <w:szCs w:val="21"/>
                    </w:rPr>
                    <w:t>响应文件组成</w:t>
                  </w:r>
                </w:p>
              </w:tc>
              <w:tc>
                <w:tcPr>
                  <w:tcW w:w="1134" w:type="dxa"/>
                </w:tcPr>
                <w:p>
                  <w:pPr>
                    <w:wordWrap/>
                    <w:spacing w:line="240" w:lineRule="auto"/>
                    <w:jc w:val="center"/>
                    <w:rPr>
                      <w:rFonts w:ascii="宋体" w:hAnsi="宋体"/>
                      <w:b/>
                      <w:sz w:val="21"/>
                      <w:szCs w:val="21"/>
                    </w:rPr>
                  </w:pPr>
                  <w:r>
                    <w:rPr>
                      <w:rFonts w:hint="eastAsia" w:ascii="宋体" w:hAnsi="宋体"/>
                      <w:b/>
                      <w:sz w:val="21"/>
                      <w:szCs w:val="21"/>
                    </w:rPr>
                    <w:t>数量</w:t>
                  </w:r>
                </w:p>
              </w:tc>
              <w:tc>
                <w:tcPr>
                  <w:tcW w:w="1807" w:type="dxa"/>
                </w:tcPr>
                <w:p>
                  <w:pPr>
                    <w:wordWrap/>
                    <w:spacing w:line="240" w:lineRule="auto"/>
                    <w:jc w:val="center"/>
                    <w:rPr>
                      <w:rFonts w:ascii="宋体" w:hAnsi="宋体"/>
                      <w:b/>
                      <w:sz w:val="21"/>
                      <w:szCs w:val="21"/>
                    </w:rPr>
                  </w:pPr>
                  <w:r>
                    <w:rPr>
                      <w:rFonts w:hint="eastAsia" w:ascii="宋体" w:hAnsi="宋体"/>
                      <w:b/>
                      <w:sz w:val="21"/>
                      <w:szCs w:val="21"/>
                    </w:rPr>
                    <w:t>封装要求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trPr>
              <w:tc>
                <w:tcPr>
                  <w:tcW w:w="687" w:type="dxa"/>
                  <w:vMerge w:val="restart"/>
                  <w:vAlign w:val="center"/>
                </w:tcPr>
                <w:p>
                  <w:pPr>
                    <w:wordWrap/>
                    <w:spacing w:line="240" w:lineRule="auto"/>
                    <w:jc w:val="center"/>
                    <w:rPr>
                      <w:rFonts w:ascii="宋体" w:hAnsi="宋体"/>
                      <w:sz w:val="21"/>
                      <w:szCs w:val="21"/>
                    </w:rPr>
                  </w:pPr>
                  <w:r>
                    <w:rPr>
                      <w:rFonts w:hint="eastAsia" w:ascii="宋体" w:hAnsi="宋体"/>
                      <w:sz w:val="21"/>
                      <w:szCs w:val="21"/>
                    </w:rPr>
                    <w:t>1</w:t>
                  </w:r>
                </w:p>
              </w:tc>
              <w:tc>
                <w:tcPr>
                  <w:tcW w:w="1621" w:type="dxa"/>
                  <w:tcBorders>
                    <w:top w:val="single" w:color="auto" w:sz="4" w:space="0"/>
                    <w:left w:val="single" w:color="auto" w:sz="4" w:space="0"/>
                    <w:right w:val="single" w:color="auto" w:sz="4" w:space="0"/>
                  </w:tcBorders>
                  <w:vAlign w:val="center"/>
                </w:tcPr>
                <w:p>
                  <w:pPr>
                    <w:wordWrap/>
                    <w:spacing w:line="240" w:lineRule="auto"/>
                    <w:jc w:val="center"/>
                    <w:rPr>
                      <w:rFonts w:ascii="宋体" w:hAnsi="宋体"/>
                      <w:sz w:val="21"/>
                      <w:szCs w:val="21"/>
                    </w:rPr>
                  </w:pPr>
                  <w:r>
                    <w:rPr>
                      <w:rFonts w:hint="eastAsia" w:ascii="宋体" w:hAnsi="宋体"/>
                      <w:sz w:val="21"/>
                      <w:szCs w:val="21"/>
                    </w:rPr>
                    <w:t>纸质正本</w:t>
                  </w:r>
                </w:p>
              </w:tc>
              <w:tc>
                <w:tcPr>
                  <w:tcW w:w="1134" w:type="dxa"/>
                  <w:tcBorders>
                    <w:top w:val="single" w:color="auto" w:sz="4" w:space="0"/>
                    <w:left w:val="single" w:color="auto" w:sz="4" w:space="0"/>
                    <w:right w:val="single" w:color="auto" w:sz="4" w:space="0"/>
                  </w:tcBorders>
                  <w:vAlign w:val="center"/>
                </w:tcPr>
                <w:p>
                  <w:pPr>
                    <w:wordWrap/>
                    <w:spacing w:line="240" w:lineRule="auto"/>
                    <w:jc w:val="center"/>
                    <w:rPr>
                      <w:rFonts w:ascii="宋体" w:hAnsi="宋体"/>
                      <w:sz w:val="21"/>
                      <w:szCs w:val="21"/>
                    </w:rPr>
                  </w:pPr>
                  <w:r>
                    <w:rPr>
                      <w:rFonts w:hint="eastAsia" w:ascii="宋体" w:hAnsi="宋体"/>
                      <w:sz w:val="21"/>
                      <w:szCs w:val="21"/>
                    </w:rPr>
                    <w:t>1份</w:t>
                  </w:r>
                </w:p>
              </w:tc>
              <w:tc>
                <w:tcPr>
                  <w:tcW w:w="1807" w:type="dxa"/>
                  <w:vMerge w:val="restart"/>
                  <w:vAlign w:val="center"/>
                </w:tcPr>
                <w:p>
                  <w:pPr>
                    <w:wordWrap/>
                    <w:spacing w:line="240" w:lineRule="auto"/>
                    <w:jc w:val="center"/>
                    <w:rPr>
                      <w:rFonts w:ascii="宋体" w:hAnsi="宋体"/>
                      <w:sz w:val="21"/>
                      <w:szCs w:val="21"/>
                    </w:rPr>
                  </w:pPr>
                  <w:r>
                    <w:rPr>
                      <w:rFonts w:hint="eastAsia" w:ascii="宋体" w:hAnsi="宋体"/>
                      <w:sz w:val="21"/>
                      <w:szCs w:val="21"/>
                    </w:rPr>
                    <w:t>一个包装</w:t>
                  </w:r>
                </w:p>
                <w:p>
                  <w:pPr>
                    <w:wordWrap/>
                    <w:spacing w:line="240" w:lineRule="auto"/>
                    <w:jc w:val="center"/>
                    <w:rPr>
                      <w:rFonts w:ascii="宋体" w:hAnsi="宋体"/>
                      <w:sz w:val="21"/>
                      <w:szCs w:val="21"/>
                    </w:rPr>
                  </w:pPr>
                  <w:r>
                    <w:rPr>
                      <w:rFonts w:hint="eastAsia" w:ascii="宋体" w:hAnsi="宋体"/>
                      <w:sz w:val="21"/>
                      <w:szCs w:val="21"/>
                    </w:rPr>
                    <w:t>（封装在一起）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trPr>
              <w:tc>
                <w:tcPr>
                  <w:tcW w:w="687" w:type="dxa"/>
                  <w:vMerge w:val="continue"/>
                  <w:vAlign w:val="center"/>
                </w:tcPr>
                <w:p/>
              </w:tc>
              <w:tc>
                <w:tcPr>
                  <w:tcW w:w="1621" w:type="dxa"/>
                  <w:tcBorders>
                    <w:top w:val="single" w:color="auto" w:sz="4" w:space="0"/>
                    <w:left w:val="single" w:color="auto" w:sz="4" w:space="0"/>
                    <w:right w:val="single" w:color="auto" w:sz="4" w:space="0"/>
                  </w:tcBorders>
                  <w:vAlign w:val="center"/>
                </w:tcPr>
                <w:p>
                  <w:pPr>
                    <w:wordWrap/>
                    <w:spacing w:line="240" w:lineRule="auto"/>
                    <w:jc w:val="center"/>
                    <w:rPr>
                      <w:rFonts w:ascii="宋体" w:hAnsi="宋体"/>
                      <w:sz w:val="21"/>
                      <w:szCs w:val="21"/>
                    </w:rPr>
                  </w:pPr>
                  <w:r>
                    <w:rPr>
                      <w:rFonts w:hint="eastAsia" w:ascii="宋体" w:hAnsi="宋体"/>
                      <w:sz w:val="21"/>
                      <w:szCs w:val="21"/>
                    </w:rPr>
                    <w:t>电子文件</w:t>
                  </w:r>
                </w:p>
              </w:tc>
              <w:tc>
                <w:tcPr>
                  <w:tcW w:w="1134" w:type="dxa"/>
                  <w:tcBorders>
                    <w:top w:val="single" w:color="auto" w:sz="4" w:space="0"/>
                    <w:left w:val="single" w:color="auto" w:sz="4" w:space="0"/>
                    <w:right w:val="single" w:color="auto" w:sz="4" w:space="0"/>
                  </w:tcBorders>
                  <w:vAlign w:val="center"/>
                </w:tcPr>
                <w:p>
                  <w:pPr>
                    <w:wordWrap/>
                    <w:spacing w:line="240" w:lineRule="auto"/>
                    <w:jc w:val="center"/>
                    <w:rPr>
                      <w:rFonts w:ascii="宋体" w:hAnsi="宋体"/>
                      <w:sz w:val="21"/>
                      <w:szCs w:val="21"/>
                    </w:rPr>
                  </w:pPr>
                  <w:r>
                    <w:rPr>
                      <w:rFonts w:hint="eastAsia" w:ascii="宋体" w:hAnsi="宋体"/>
                      <w:sz w:val="21"/>
                      <w:szCs w:val="21"/>
                    </w:rPr>
                    <w:t>1份</w:t>
                  </w:r>
                </w:p>
              </w:tc>
              <w:tc>
                <w:tcPr>
                  <w:tcW w:w="1807"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trPr>
              <w:tc>
                <w:tcPr>
                  <w:tcW w:w="687" w:type="dxa"/>
                  <w:vAlign w:val="center"/>
                </w:tcPr>
                <w:p>
                  <w:pPr>
                    <w:wordWrap/>
                    <w:spacing w:line="240" w:lineRule="auto"/>
                    <w:jc w:val="center"/>
                    <w:rPr>
                      <w:rFonts w:ascii="宋体" w:hAnsi="宋体"/>
                      <w:sz w:val="21"/>
                      <w:szCs w:val="21"/>
                    </w:rPr>
                  </w:pPr>
                  <w:r>
                    <w:rPr>
                      <w:rFonts w:hint="eastAsia" w:ascii="宋体" w:hAnsi="宋体"/>
                      <w:sz w:val="21"/>
                      <w:szCs w:val="21"/>
                    </w:rPr>
                    <w:t>2</w:t>
                  </w:r>
                </w:p>
              </w:tc>
              <w:tc>
                <w:tcPr>
                  <w:tcW w:w="1621" w:type="dxa"/>
                  <w:tcBorders>
                    <w:top w:val="single" w:color="auto" w:sz="4" w:space="0"/>
                    <w:left w:val="single" w:color="auto" w:sz="4" w:space="0"/>
                    <w:right w:val="single" w:color="auto" w:sz="4" w:space="0"/>
                  </w:tcBorders>
                  <w:vAlign w:val="center"/>
                </w:tcPr>
                <w:p>
                  <w:pPr>
                    <w:wordWrap/>
                    <w:spacing w:line="240" w:lineRule="auto"/>
                    <w:jc w:val="center"/>
                    <w:rPr>
                      <w:rFonts w:ascii="宋体" w:hAnsi="宋体"/>
                      <w:sz w:val="21"/>
                      <w:szCs w:val="21"/>
                    </w:rPr>
                  </w:pPr>
                  <w:r>
                    <w:rPr>
                      <w:rFonts w:hint="eastAsia" w:ascii="宋体" w:hAnsi="宋体"/>
                      <w:sz w:val="21"/>
                      <w:szCs w:val="21"/>
                    </w:rPr>
                    <w:t>纸质副本</w:t>
                  </w:r>
                </w:p>
              </w:tc>
              <w:tc>
                <w:tcPr>
                  <w:tcW w:w="1134" w:type="dxa"/>
                  <w:tcBorders>
                    <w:top w:val="single" w:color="auto" w:sz="4" w:space="0"/>
                    <w:left w:val="single" w:color="auto" w:sz="4" w:space="0"/>
                    <w:right w:val="single" w:color="auto" w:sz="4" w:space="0"/>
                  </w:tcBorders>
                  <w:vAlign w:val="center"/>
                </w:tcPr>
                <w:p>
                  <w:pPr>
                    <w:wordWrap/>
                    <w:spacing w:line="240" w:lineRule="auto"/>
                    <w:jc w:val="center"/>
                    <w:rPr>
                      <w:rFonts w:ascii="宋体" w:hAnsi="宋体"/>
                      <w:sz w:val="21"/>
                      <w:szCs w:val="21"/>
                    </w:rPr>
                  </w:pPr>
                  <w:r>
                    <w:rPr>
                      <w:rFonts w:hint="eastAsia" w:ascii="宋体" w:hAnsi="宋体"/>
                      <w:sz w:val="21"/>
                      <w:szCs w:val="21"/>
                    </w:rPr>
                    <w:t>3份</w:t>
                  </w:r>
                </w:p>
              </w:tc>
              <w:tc>
                <w:tcPr>
                  <w:tcW w:w="1807" w:type="dxa"/>
                  <w:vAlign w:val="center"/>
                </w:tcPr>
                <w:p>
                  <w:pPr>
                    <w:wordWrap/>
                    <w:spacing w:line="240" w:lineRule="auto"/>
                    <w:jc w:val="center"/>
                    <w:rPr>
                      <w:rFonts w:ascii="宋体" w:hAnsi="宋体"/>
                      <w:sz w:val="21"/>
                      <w:szCs w:val="21"/>
                    </w:rPr>
                  </w:pPr>
                  <w:r>
                    <w:rPr>
                      <w:rFonts w:hint="eastAsia" w:ascii="宋体" w:hAnsi="宋体"/>
                      <w:sz w:val="21"/>
                      <w:szCs w:val="21"/>
                    </w:rPr>
                    <w:t>一个或多个包装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trPr>
              <w:tc>
                <w:tcPr>
                  <w:tcW w:w="687" w:type="dxa"/>
                  <w:vAlign w:val="center"/>
                </w:tcPr>
                <w:p>
                  <w:pPr>
                    <w:wordWrap/>
                    <w:spacing w:line="240" w:lineRule="auto"/>
                    <w:jc w:val="center"/>
                    <w:rPr>
                      <w:rFonts w:ascii="宋体" w:hAnsi="宋体"/>
                      <w:sz w:val="21"/>
                      <w:szCs w:val="21"/>
                    </w:rPr>
                  </w:pPr>
                  <w:r>
                    <w:rPr>
                      <w:rFonts w:hint="eastAsia" w:ascii="宋体" w:hAnsi="宋体"/>
                      <w:sz w:val="21"/>
                      <w:szCs w:val="21"/>
                    </w:rPr>
                    <w:t>3</w:t>
                  </w:r>
                </w:p>
              </w:tc>
              <w:tc>
                <w:tcPr>
                  <w:tcW w:w="1621" w:type="dxa"/>
                  <w:tcBorders>
                    <w:top w:val="single" w:color="auto" w:sz="4" w:space="0"/>
                    <w:left w:val="single" w:color="auto" w:sz="4" w:space="0"/>
                    <w:right w:val="single" w:color="auto" w:sz="4" w:space="0"/>
                  </w:tcBorders>
                  <w:vAlign w:val="center"/>
                </w:tcPr>
                <w:p>
                  <w:pPr>
                    <w:wordWrap/>
                    <w:spacing w:line="240" w:lineRule="auto"/>
                    <w:jc w:val="center"/>
                    <w:rPr>
                      <w:rFonts w:ascii="宋体" w:hAnsi="宋体"/>
                      <w:sz w:val="21"/>
                      <w:szCs w:val="21"/>
                    </w:rPr>
                  </w:pPr>
                  <w:r>
                    <w:rPr>
                      <w:rFonts w:hint="eastAsia" w:ascii="宋体" w:hAnsi="宋体"/>
                      <w:sz w:val="21"/>
                      <w:szCs w:val="21"/>
                    </w:rPr>
                    <w:t>报价信封</w:t>
                  </w:r>
                </w:p>
              </w:tc>
              <w:tc>
                <w:tcPr>
                  <w:tcW w:w="1134" w:type="dxa"/>
                  <w:tcBorders>
                    <w:top w:val="single" w:color="auto" w:sz="4" w:space="0"/>
                    <w:left w:val="single" w:color="auto" w:sz="4" w:space="0"/>
                    <w:right w:val="single" w:color="auto" w:sz="4" w:space="0"/>
                  </w:tcBorders>
                  <w:vAlign w:val="center"/>
                </w:tcPr>
                <w:p>
                  <w:pPr>
                    <w:wordWrap/>
                    <w:spacing w:line="240" w:lineRule="auto"/>
                    <w:jc w:val="center"/>
                    <w:rPr>
                      <w:rFonts w:ascii="宋体" w:hAnsi="宋体"/>
                      <w:sz w:val="21"/>
                      <w:szCs w:val="21"/>
                    </w:rPr>
                  </w:pPr>
                  <w:r>
                    <w:rPr>
                      <w:rFonts w:hint="eastAsia" w:ascii="宋体" w:hAnsi="宋体"/>
                      <w:sz w:val="21"/>
                      <w:szCs w:val="21"/>
                    </w:rPr>
                    <w:t>1份</w:t>
                  </w:r>
                </w:p>
              </w:tc>
              <w:tc>
                <w:tcPr>
                  <w:tcW w:w="1807" w:type="dxa"/>
                  <w:vAlign w:val="center"/>
                </w:tcPr>
                <w:p>
                  <w:pPr>
                    <w:wordWrap/>
                    <w:spacing w:line="240" w:lineRule="auto"/>
                    <w:jc w:val="center"/>
                    <w:rPr>
                      <w:rFonts w:ascii="宋体" w:hAnsi="宋体"/>
                      <w:sz w:val="21"/>
                      <w:szCs w:val="21"/>
                    </w:rPr>
                  </w:pPr>
                  <w:r>
                    <w:rPr>
                      <w:rFonts w:hint="eastAsia" w:ascii="宋体" w:hAnsi="宋体"/>
                      <w:sz w:val="21"/>
                      <w:szCs w:val="21"/>
                    </w:rPr>
                    <w:t>一个包装</w:t>
                  </w:r>
                </w:p>
              </w:tc>
            </w:tr>
          </w:tbl>
          <w:p>
            <w:pPr>
              <w:rPr>
                <w:rFonts w:ascii="宋体" w:hAnsi="宋体"/>
                <w:szCs w:val="24"/>
              </w:rPr>
            </w:pPr>
            <w:r>
              <w:rPr>
                <w:rFonts w:hint="eastAsia" w:ascii="宋体" w:hAnsi="宋体"/>
                <w:szCs w:val="24"/>
              </w:rPr>
              <w:t>备注：</w:t>
            </w:r>
          </w:p>
          <w:p>
            <w:pPr>
              <w:rPr>
                <w:rFonts w:ascii="宋体" w:hAnsi="宋体"/>
                <w:szCs w:val="24"/>
              </w:rPr>
            </w:pPr>
            <w:r>
              <w:rPr>
                <w:rFonts w:hint="eastAsia" w:ascii="宋体" w:hAnsi="宋体"/>
                <w:szCs w:val="24"/>
              </w:rPr>
              <w:t>1.电子文件采用光盘或U盘，详见第17.3条。</w:t>
            </w:r>
          </w:p>
          <w:p>
            <w:pPr>
              <w:rPr>
                <w:rFonts w:ascii="宋体" w:hAnsi="宋体"/>
                <w:szCs w:val="24"/>
              </w:rPr>
            </w:pPr>
            <w:r>
              <w:rPr>
                <w:rFonts w:hint="eastAsia" w:ascii="宋体" w:hAnsi="宋体"/>
                <w:szCs w:val="24"/>
              </w:rPr>
              <w:t>2.所有包装封面标注要求详见第17.5条。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17.2</w:t>
            </w:r>
          </w:p>
        </w:tc>
        <w:tc>
          <w:tcPr>
            <w:tcW w:w="2287"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left"/>
              <w:rPr>
                <w:rFonts w:ascii="宋体" w:hAnsi="宋体"/>
                <w:szCs w:val="24"/>
              </w:rPr>
            </w:pPr>
            <w:r>
              <w:rPr>
                <w:rFonts w:hint="eastAsia" w:ascii="宋体" w:hAnsi="宋体"/>
                <w:szCs w:val="24"/>
              </w:rPr>
              <w:t>响应文件盖章、签署</w:t>
            </w:r>
          </w:p>
        </w:tc>
        <w:tc>
          <w:tcPr>
            <w:tcW w:w="5927" w:type="dxa"/>
            <w:vAlign w:val="center"/>
          </w:tcPr>
          <w:p>
            <w:pPr>
              <w:rPr>
                <w:rFonts w:ascii="宋体" w:hAnsi="宋体"/>
                <w:kern w:val="0"/>
                <w:szCs w:val="24"/>
              </w:rPr>
            </w:pPr>
            <w:r>
              <w:rPr>
                <w:rFonts w:hint="eastAsia" w:ascii="宋体" w:hAnsi="宋体"/>
                <w:szCs w:val="24"/>
              </w:rPr>
              <w:t>1.如接受联合体磋商的：</w:t>
            </w:r>
            <w:r>
              <w:rPr>
                <w:rFonts w:hint="eastAsia" w:ascii="宋体" w:hAnsi="宋体"/>
                <w:kern w:val="0"/>
                <w:szCs w:val="24"/>
              </w:rPr>
              <w:t>详见第13.5条。</w:t>
            </w:r>
          </w:p>
          <w:p>
            <w:pPr>
              <w:rPr>
                <w:rStyle w:val="44"/>
                <w:rFonts w:hAnsi="宋体"/>
                <w:sz w:val="24"/>
                <w:szCs w:val="24"/>
              </w:rPr>
            </w:pPr>
            <w:r>
              <w:rPr>
                <w:rFonts w:hint="eastAsia" w:ascii="宋体" w:hAnsi="宋体"/>
                <w:szCs w:val="24"/>
              </w:rPr>
              <w:t>2.如</w:t>
            </w:r>
            <w:r>
              <w:rPr>
                <w:rStyle w:val="44"/>
                <w:rFonts w:hint="eastAsia" w:hAnsi="宋体"/>
                <w:sz w:val="24"/>
                <w:szCs w:val="24"/>
              </w:rPr>
              <w:t>接受分支机构</w:t>
            </w:r>
            <w:r>
              <w:rPr>
                <w:rFonts w:hint="eastAsia" w:ascii="宋体" w:hAnsi="宋体"/>
                <w:szCs w:val="24"/>
              </w:rPr>
              <w:t>磋商</w:t>
            </w:r>
            <w:r>
              <w:rPr>
                <w:rStyle w:val="44"/>
                <w:rFonts w:hint="eastAsia" w:hAnsi="宋体"/>
                <w:sz w:val="24"/>
                <w:szCs w:val="24"/>
              </w:rPr>
              <w:t>的：详见第</w:t>
            </w:r>
            <w:r>
              <w:rPr>
                <w:rStyle w:val="44"/>
                <w:rFonts w:hint="eastAsia" w:ascii="宋体" w:hAnsi="宋体" w:cs="宋体"/>
                <w:sz w:val="24"/>
                <w:szCs w:val="24"/>
              </w:rPr>
              <w:t>14.3</w:t>
            </w:r>
            <w:r>
              <w:rPr>
                <w:rStyle w:val="44"/>
                <w:rFonts w:hint="eastAsia" w:hAnsi="宋体"/>
                <w:sz w:val="24"/>
                <w:szCs w:val="24"/>
              </w:rPr>
              <w:t>条、17.6条。</w:t>
            </w:r>
          </w:p>
          <w:p>
            <w:pPr>
              <w:rPr>
                <w:rFonts w:ascii="宋体" w:hAnsi="宋体"/>
                <w:szCs w:val="24"/>
              </w:rPr>
            </w:pPr>
            <w:r>
              <w:rPr>
                <w:rStyle w:val="44"/>
                <w:rFonts w:hint="eastAsia" w:ascii="宋体" w:hAnsi="宋体" w:cs="宋体"/>
                <w:sz w:val="24"/>
                <w:szCs w:val="24"/>
              </w:rPr>
              <w:t>3.如要求以合同分包形式报价的：详见第17.6条。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20.2</w:t>
            </w:r>
          </w:p>
        </w:tc>
        <w:tc>
          <w:tcPr>
            <w:tcW w:w="2287"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是否授权磋商小组确定成交</w:t>
            </w:r>
            <w:r>
              <w:rPr>
                <w:rFonts w:hint="eastAsia" w:ascii="宋体" w:hAnsi="宋体" w:cs="宋体"/>
                <w:kern w:val="0"/>
                <w:szCs w:val="24"/>
              </w:rPr>
              <w:t>供应商</w:t>
            </w:r>
          </w:p>
        </w:tc>
        <w:tc>
          <w:tcPr>
            <w:tcW w:w="5927" w:type="dxa"/>
            <w:vAlign w:val="center"/>
          </w:tcPr>
          <w:p>
            <w:pPr>
              <w:wordWrap w:val="0"/>
              <w:autoSpaceDE w:val="0"/>
              <w:autoSpaceDN w:val="0"/>
              <w:spacing w:line="312" w:lineRule="auto"/>
              <w:rPr>
                <w:rFonts w:ascii="宋体" w:hAnsi="宋体"/>
                <w:szCs w:val="24"/>
              </w:rPr>
            </w:pPr>
            <w:r>
              <w:rPr>
                <w:rFonts w:hint="eastAsia" w:ascii="宋体" w:hAnsi="宋体"/>
                <w:b/>
                <w:szCs w:val="24"/>
                <w:bdr w:val="single" w:color="auto" w:sz="4" w:space="0"/>
              </w:rPr>
              <w:t>√</w:t>
            </w:r>
            <w:r>
              <w:rPr>
                <w:rFonts w:hint="eastAsia" w:ascii="宋体" w:hAnsi="宋体"/>
                <w:szCs w:val="24"/>
              </w:rPr>
              <w:t>否</w:t>
            </w:r>
          </w:p>
          <w:p>
            <w:pPr>
              <w:wordWrap w:val="0"/>
              <w:autoSpaceDE w:val="0"/>
              <w:autoSpaceDN w:val="0"/>
              <w:spacing w:line="312" w:lineRule="auto"/>
              <w:rPr>
                <w:rFonts w:ascii="宋体" w:hAnsi="宋体"/>
                <w:szCs w:val="24"/>
              </w:rPr>
            </w:pPr>
            <w:r>
              <w:rPr>
                <w:rFonts w:hint="eastAsia" w:ascii="宋体" w:hAnsi="宋体"/>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21.1</w:t>
            </w:r>
          </w:p>
        </w:tc>
        <w:tc>
          <w:tcPr>
            <w:tcW w:w="2287" w:type="dxa"/>
            <w:tcBorders>
              <w:top w:val="single" w:color="auto" w:sz="4" w:space="0"/>
              <w:left w:val="single" w:color="auto" w:sz="4" w:space="0"/>
              <w:right w:val="single" w:color="auto" w:sz="4" w:space="0"/>
            </w:tcBorders>
            <w:vAlign w:val="center"/>
          </w:tcPr>
          <w:p>
            <w:pPr>
              <w:wordWrap w:val="0"/>
              <w:autoSpaceDE w:val="0"/>
              <w:autoSpaceDN w:val="0"/>
              <w:spacing w:line="312" w:lineRule="auto"/>
              <w:rPr>
                <w:rFonts w:ascii="宋体" w:hAnsi="宋体"/>
                <w:szCs w:val="24"/>
              </w:rPr>
            </w:pPr>
            <w:r>
              <w:rPr>
                <w:rFonts w:hint="eastAsia" w:ascii="宋体" w:hAnsi="宋体"/>
                <w:szCs w:val="24"/>
              </w:rPr>
              <w:t>合同签订时间</w:t>
            </w:r>
          </w:p>
        </w:tc>
        <w:tc>
          <w:tcPr>
            <w:tcW w:w="5927" w:type="dxa"/>
            <w:vAlign w:val="center"/>
          </w:tcPr>
          <w:p>
            <w:pPr>
              <w:wordWrap w:val="0"/>
              <w:autoSpaceDE w:val="0"/>
              <w:autoSpaceDN w:val="0"/>
              <w:spacing w:line="312" w:lineRule="auto"/>
              <w:rPr>
                <w:rFonts w:ascii="宋体" w:hAnsi="宋体"/>
                <w:szCs w:val="24"/>
              </w:rPr>
            </w:pPr>
            <w:r>
              <w:rPr>
                <w:rFonts w:hint="eastAsia" w:ascii="宋体" w:hAnsi="宋体"/>
                <w:szCs w:val="24"/>
              </w:rPr>
              <w:t>自成交通知书发出之日起</w:t>
            </w:r>
            <w:r>
              <w:rPr>
                <w:rFonts w:hint="eastAsia" w:ascii="宋体" w:hAnsi="宋体"/>
                <w:szCs w:val="24"/>
                <w:u w:val="single"/>
              </w:rPr>
              <w:t xml:space="preserve"> 30</w:t>
            </w:r>
            <w:r>
              <w:rPr>
                <w:rFonts w:hint="eastAsia" w:ascii="宋体" w:hAnsi="宋体"/>
                <w:szCs w:val="24"/>
              </w:rPr>
              <w:t>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22</w:t>
            </w:r>
          </w:p>
        </w:tc>
        <w:tc>
          <w:tcPr>
            <w:tcW w:w="2287"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履约保证金</w:t>
            </w:r>
          </w:p>
        </w:tc>
        <w:tc>
          <w:tcPr>
            <w:tcW w:w="5927" w:type="dxa"/>
            <w:vAlign w:val="center"/>
          </w:tcPr>
          <w:p>
            <w:pPr>
              <w:pStyle w:val="37"/>
              <w:kinsoku w:val="0"/>
              <w:wordWrap w:val="0"/>
              <w:overflowPunct w:val="0"/>
              <w:autoSpaceDE w:val="0"/>
              <w:autoSpaceDN w:val="0"/>
              <w:spacing w:line="312" w:lineRule="auto"/>
              <w:rPr>
                <w:rFonts w:hAnsi="宋体"/>
              </w:rPr>
            </w:pPr>
            <w:r>
              <w:rPr>
                <w:rFonts w:hint="eastAsia" w:hAnsi="宋体"/>
              </w:rPr>
              <w:t>是否要求成交供应商提交履约保证金：</w:t>
            </w:r>
          </w:p>
          <w:p>
            <w:pPr>
              <w:pStyle w:val="37"/>
              <w:kinsoku w:val="0"/>
              <w:wordWrap w:val="0"/>
              <w:overflowPunct w:val="0"/>
              <w:autoSpaceDE w:val="0"/>
              <w:autoSpaceDN w:val="0"/>
              <w:spacing w:line="312" w:lineRule="auto"/>
              <w:rPr>
                <w:rFonts w:hAnsi="宋体"/>
              </w:rPr>
            </w:pPr>
            <w:r>
              <w:rPr>
                <w:rFonts w:hint="eastAsia" w:hAnsi="宋体"/>
                <w:b/>
                <w:bdr w:val="single" w:color="auto" w:sz="4" w:space="0"/>
              </w:rPr>
              <w:t>√</w:t>
            </w:r>
            <w:r>
              <w:rPr>
                <w:rFonts w:hint="eastAsia" w:hAnsi="宋体"/>
              </w:rPr>
              <w:t>要求，履约保证金的形式：</w:t>
            </w:r>
            <w:bookmarkStart w:id="82" w:name="OLE_LINK28"/>
            <w:r>
              <w:rPr>
                <w:rFonts w:hint="eastAsia" w:hAnsi="宋体"/>
                <w:u w:val="single"/>
              </w:rPr>
              <w:t>详见采购需求</w:t>
            </w:r>
            <w:bookmarkEnd w:id="82"/>
          </w:p>
          <w:p>
            <w:pPr>
              <w:pStyle w:val="37"/>
              <w:kinsoku w:val="0"/>
              <w:wordWrap w:val="0"/>
              <w:overflowPunct w:val="0"/>
              <w:autoSpaceDE w:val="0"/>
              <w:autoSpaceDN w:val="0"/>
              <w:spacing w:line="312" w:lineRule="auto"/>
              <w:ind w:left="943"/>
              <w:rPr>
                <w:rFonts w:hAnsi="宋体"/>
              </w:rPr>
            </w:pPr>
            <w:r>
              <w:rPr>
                <w:rFonts w:hint="eastAsia" w:hAnsi="宋体"/>
              </w:rPr>
              <w:t>履约保证金的金额：</w:t>
            </w:r>
            <w:r>
              <w:rPr>
                <w:rFonts w:hint="eastAsia" w:hAnsi="宋体"/>
                <w:u w:val="single"/>
              </w:rPr>
              <w:t>详见采购需求</w:t>
            </w:r>
          </w:p>
          <w:p>
            <w:pPr>
              <w:wordWrap w:val="0"/>
              <w:autoSpaceDE w:val="0"/>
              <w:autoSpaceDN w:val="0"/>
              <w:spacing w:line="312" w:lineRule="auto"/>
              <w:rPr>
                <w:rFonts w:ascii="宋体" w:hAnsi="宋体"/>
                <w:szCs w:val="24"/>
              </w:rPr>
            </w:pPr>
            <w:r>
              <w:rPr>
                <w:rFonts w:hint="eastAsia" w:ascii="宋体" w:hAnsi="宋体"/>
                <w:szCs w:val="24"/>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28.1</w:t>
            </w:r>
          </w:p>
        </w:tc>
        <w:tc>
          <w:tcPr>
            <w:tcW w:w="2287"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采购信息发布网站</w:t>
            </w:r>
          </w:p>
        </w:tc>
        <w:tc>
          <w:tcPr>
            <w:tcW w:w="5927" w:type="dxa"/>
            <w:vAlign w:val="center"/>
          </w:tcPr>
          <w:p>
            <w:pPr>
              <w:spacing w:line="312" w:lineRule="auto"/>
              <w:rPr>
                <w:rFonts w:ascii="宋体" w:hAnsi="宋体"/>
                <w:szCs w:val="24"/>
              </w:rPr>
            </w:pPr>
            <w:r>
              <w:rPr>
                <w:rFonts w:hint="eastAsia" w:ascii="宋体" w:hAnsi="宋体"/>
                <w:szCs w:val="24"/>
              </w:rPr>
              <w:t>中国政府采购网（</w:t>
            </w:r>
            <w:r>
              <w:rPr>
                <w:rStyle w:val="34"/>
                <w:rFonts w:hint="eastAsia" w:ascii="宋体" w:hAnsi="宋体"/>
                <w:color w:val="auto"/>
                <w:szCs w:val="24"/>
              </w:rPr>
              <w:fldChar w:fldCharType="begin"/>
            </w:r>
            <w:r>
              <w:instrText xml:space="preserve">HYPERLINK "http://www.ccgp.gov.cn"</w:instrText>
            </w:r>
            <w:r>
              <w:rPr>
                <w:rStyle w:val="34"/>
                <w:rFonts w:hint="eastAsia" w:ascii="宋体" w:hAnsi="宋体"/>
                <w:color w:val="auto"/>
                <w:szCs w:val="24"/>
              </w:rPr>
              <w:fldChar w:fldCharType="separate"/>
            </w:r>
            <w:r>
              <w:rPr>
                <w:rStyle w:val="34"/>
                <w:rFonts w:hint="eastAsia" w:ascii="宋体" w:hAnsi="宋体"/>
                <w:color w:val="auto"/>
                <w:szCs w:val="24"/>
              </w:rPr>
              <w:t>www.ccgp.g</w:t>
            </w:r>
            <w:bookmarkStart w:id="83" w:name="_Hlt48047322"/>
            <w:bookmarkStart w:id="84" w:name="_Hlt48047321"/>
            <w:bookmarkStart w:id="85" w:name="_Hlt48047327"/>
            <w:r>
              <w:rPr>
                <w:rStyle w:val="34"/>
                <w:rFonts w:hint="eastAsia" w:ascii="宋体" w:hAnsi="宋体"/>
                <w:color w:val="auto"/>
                <w:szCs w:val="24"/>
              </w:rPr>
              <w:t>o</w:t>
            </w:r>
            <w:bookmarkEnd w:id="83"/>
            <w:bookmarkEnd w:id="84"/>
            <w:bookmarkEnd w:id="85"/>
            <w:r>
              <w:rPr>
                <w:rStyle w:val="34"/>
                <w:rFonts w:hint="eastAsia" w:ascii="宋体" w:hAnsi="宋体"/>
                <w:color w:val="auto"/>
                <w:szCs w:val="24"/>
              </w:rPr>
              <w:t>v.cn</w:t>
            </w:r>
            <w:r>
              <w:rPr>
                <w:rStyle w:val="34"/>
                <w:rFonts w:hint="eastAsia" w:ascii="宋体" w:hAnsi="宋体"/>
                <w:color w:val="auto"/>
                <w:szCs w:val="24"/>
              </w:rPr>
              <w:fldChar w:fldCharType="end"/>
            </w:r>
            <w:r>
              <w:rPr>
                <w:rStyle w:val="34"/>
                <w:rFonts w:hint="eastAsia"/>
                <w:color w:val="auto"/>
              </w:rPr>
              <w:t>）；</w:t>
            </w:r>
          </w:p>
          <w:p>
            <w:pPr>
              <w:spacing w:line="312" w:lineRule="auto"/>
              <w:rPr>
                <w:rFonts w:ascii="宋体" w:hAnsi="宋体"/>
                <w:szCs w:val="24"/>
              </w:rPr>
            </w:pPr>
            <w:r>
              <w:rPr>
                <w:rFonts w:hint="eastAsia" w:ascii="宋体" w:hAnsi="宋体"/>
                <w:szCs w:val="24"/>
              </w:rPr>
              <w:t>广东华伦招标有限公司网站</w:t>
            </w:r>
            <w:r>
              <w:rPr>
                <w:rFonts w:hint="eastAsia" w:ascii="宋体" w:hAnsi="宋体"/>
                <w:szCs w:val="24"/>
                <w:u w:val="single"/>
              </w:rPr>
              <w:t>（</w:t>
            </w:r>
            <w:r>
              <w:rPr>
                <w:rFonts w:hint="eastAsia" w:hAnsi="宋体"/>
                <w:u w:val="single"/>
              </w:rPr>
              <w:t>https://www.gdhualun.com.cn/</w:t>
            </w:r>
            <w:r>
              <w:rPr>
                <w:rFonts w:hint="eastAsia" w:ascii="宋体" w:hAnsi="宋体"/>
                <w:szCs w:val="24"/>
                <w:u w:val="single"/>
              </w:rPr>
              <w:t>）</w:t>
            </w:r>
            <w:r>
              <w:rPr>
                <w:rFonts w:hint="eastAsia" w:ascii="宋体" w:hAnsi="宋体"/>
                <w:szCs w:val="24"/>
              </w:rPr>
              <w:t xml:space="preserve">等。 </w:t>
            </w:r>
          </w:p>
          <w:p>
            <w:pPr>
              <w:spacing w:line="312" w:lineRule="auto"/>
              <w:rPr>
                <w:rFonts w:ascii="宋体" w:hAnsi="宋体"/>
                <w:szCs w:val="24"/>
              </w:rPr>
            </w:pPr>
            <w:r>
              <w:rPr>
                <w:rFonts w:hint="eastAsia" w:ascii="宋体" w:hAnsi="宋体"/>
                <w:szCs w:val="24"/>
              </w:rPr>
              <w:t>相关公告在法定媒体上公布之日即视为有效送达，不再另行通知。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979" w:type="dxa"/>
            <w:vAlign w:val="center"/>
          </w:tcPr>
          <w:p>
            <w:pPr>
              <w:tabs>
                <w:tab w:val="left" w:pos="945"/>
              </w:tabs>
              <w:wordWrap/>
              <w:autoSpaceDE w:val="0"/>
              <w:autoSpaceDN w:val="0"/>
              <w:spacing w:line="312" w:lineRule="auto"/>
              <w:jc w:val="center"/>
            </w:pPr>
            <w:r>
              <w:rPr>
                <w:rFonts w:hint="eastAsia" w:ascii="宋体" w:hAnsi="宋体"/>
                <w:szCs w:val="24"/>
              </w:rPr>
              <w:t>28.2</w:t>
            </w:r>
          </w:p>
        </w:tc>
        <w:tc>
          <w:tcPr>
            <w:tcW w:w="2287" w:type="dxa"/>
            <w:tcBorders>
              <w:top w:val="single" w:color="auto" w:sz="4" w:space="0"/>
              <w:left w:val="single" w:color="auto" w:sz="4" w:space="0"/>
              <w:right w:val="single" w:color="auto" w:sz="4" w:space="0"/>
            </w:tcBorders>
            <w:vAlign w:val="center"/>
          </w:tcPr>
          <w:p>
            <w:pPr>
              <w:tabs>
                <w:tab w:val="left" w:pos="945"/>
              </w:tabs>
              <w:wordWrap/>
              <w:autoSpaceDE w:val="0"/>
              <w:autoSpaceDN w:val="0"/>
              <w:spacing w:line="312" w:lineRule="auto"/>
            </w:pPr>
            <w:r>
              <w:rPr>
                <w:rFonts w:hint="eastAsia"/>
              </w:rPr>
              <w:t>其他</w:t>
            </w:r>
            <w:r>
              <w:rPr>
                <w:rFonts w:hint="eastAsia" w:ascii="宋体" w:hAnsi="宋体"/>
                <w:szCs w:val="24"/>
              </w:rPr>
              <w:t>说明</w:t>
            </w:r>
          </w:p>
        </w:tc>
        <w:tc>
          <w:tcPr>
            <w:tcW w:w="5927" w:type="dxa"/>
            <w:vAlign w:val="center"/>
          </w:tcPr>
          <w:p>
            <w:pPr>
              <w:pStyle w:val="8"/>
              <w:spacing w:line="312" w:lineRule="auto"/>
              <w:ind w:firstLine="0"/>
              <w:rPr>
                <w:rFonts w:ascii="宋体" w:hAnsi="宋体" w:cs="宋体"/>
                <w:i/>
                <w:iCs/>
                <w:szCs w:val="24"/>
              </w:rPr>
            </w:pPr>
            <w:r>
              <w:rPr>
                <w:rFonts w:hint="eastAsia" w:ascii="宋体" w:hAnsi="宋体"/>
                <w:szCs w:val="24"/>
              </w:rPr>
              <w:t>本项目未纳入政府集中采购目录以内，且未达到采购限额标准，不纳入政府采购管理范围。本项目参考《中华人民共和国政府采购法》相应的采购方式并按照采购人的内控管理制度实施采购活动。</w:t>
            </w:r>
          </w:p>
        </w:tc>
      </w:tr>
    </w:tbl>
    <w:p>
      <w:pPr>
        <w:wordWrap w:val="0"/>
        <w:autoSpaceDE w:val="0"/>
        <w:autoSpaceDN w:val="0"/>
        <w:jc w:val="center"/>
        <w:rPr>
          <w:rFonts w:ascii="宋体" w:hAnsi="宋体"/>
          <w:b/>
          <w:sz w:val="32"/>
          <w:szCs w:val="32"/>
        </w:rPr>
      </w:pPr>
      <w:r>
        <w:rPr>
          <w:rFonts w:ascii="宋体" w:hAnsi="宋体"/>
          <w:szCs w:val="24"/>
        </w:rPr>
        <w:br w:type="page"/>
      </w:r>
      <w:r>
        <w:rPr>
          <w:rFonts w:hint="eastAsia" w:ascii="宋体" w:hAnsi="宋体"/>
          <w:b/>
          <w:sz w:val="32"/>
          <w:szCs w:val="32"/>
        </w:rPr>
        <w:t>供应商须知</w:t>
      </w:r>
    </w:p>
    <w:p>
      <w:pPr>
        <w:pStyle w:val="4"/>
        <w:numPr>
          <w:ilvl w:val="0"/>
          <w:numId w:val="7"/>
        </w:numPr>
        <w:tabs>
          <w:tab w:val="left" w:pos="945"/>
        </w:tabs>
        <w:spacing w:before="0" w:after="0" w:line="360" w:lineRule="auto"/>
        <w:ind w:left="0" w:firstLine="0"/>
        <w:rPr>
          <w:rFonts w:ascii="宋体" w:hAnsi="宋体"/>
          <w:sz w:val="28"/>
          <w:szCs w:val="28"/>
        </w:rPr>
      </w:pPr>
      <w:bookmarkStart w:id="86" w:name="_Toc22806120"/>
      <w:bookmarkStart w:id="87" w:name="_Toc50460135"/>
      <w:bookmarkStart w:id="88" w:name="_Toc55398665"/>
      <w:bookmarkStart w:id="89" w:name="_Toc56180261"/>
      <w:r>
        <w:rPr>
          <w:rFonts w:hint="eastAsia" w:ascii="宋体" w:hAnsi="宋体"/>
          <w:sz w:val="28"/>
          <w:szCs w:val="28"/>
        </w:rPr>
        <w:t>说明</w:t>
      </w:r>
      <w:bookmarkEnd w:id="86"/>
      <w:bookmarkEnd w:id="87"/>
      <w:bookmarkEnd w:id="88"/>
      <w:bookmarkEnd w:id="89"/>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90" w:name="_Toc22806121"/>
      <w:bookmarkStart w:id="91" w:name="_Toc56180262"/>
      <w:bookmarkStart w:id="92" w:name="_Toc55398666"/>
      <w:bookmarkStart w:id="93" w:name="_Toc50460136"/>
      <w:r>
        <w:rPr>
          <w:rFonts w:hint="eastAsia" w:ascii="宋体" w:hAnsi="宋体"/>
          <w:sz w:val="24"/>
          <w:szCs w:val="24"/>
        </w:rPr>
        <w:t>适用范围</w:t>
      </w:r>
      <w:bookmarkEnd w:id="90"/>
      <w:bookmarkEnd w:id="91"/>
      <w:bookmarkEnd w:id="92"/>
      <w:bookmarkEnd w:id="93"/>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适用范围：本磋商文件适用于本磋商邀请中所涉及的项目和内容。</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94" w:name="_Toc22806122"/>
      <w:bookmarkStart w:id="95" w:name="_Toc56180263"/>
      <w:bookmarkStart w:id="96" w:name="_Toc50460137"/>
      <w:bookmarkStart w:id="97" w:name="_Toc55398667"/>
      <w:r>
        <w:rPr>
          <w:rFonts w:hint="eastAsia" w:ascii="宋体" w:hAnsi="宋体"/>
          <w:sz w:val="24"/>
          <w:szCs w:val="24"/>
        </w:rPr>
        <w:t>定义</w:t>
      </w:r>
      <w:bookmarkEnd w:id="94"/>
      <w:bookmarkEnd w:id="95"/>
      <w:bookmarkEnd w:id="96"/>
      <w:bookmarkEnd w:id="97"/>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人”是采购活动当事人之一，负责项目的整体规划、技术方案可行性设计论证与实施，作为合同采购方（用户）的主体承担质疑回复、履行合同、验收与评价等义务，在合同签订后亦称为“甲方”或“买方”或“需方”或“发包人”。</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“供应商/报价人”</w:t>
      </w:r>
      <w:r>
        <w:rPr>
          <w:rFonts w:hint="eastAsia" w:ascii="宋体" w:hAnsi="宋体"/>
        </w:rPr>
        <w:t>是指向采购人提供货物、工程或者服务的法人、其他组织或者自然人。</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“联合体”是指</w:t>
      </w:r>
      <w:r>
        <w:rPr>
          <w:rFonts w:hint="eastAsia" w:ascii="宋体" w:hAnsi="宋体"/>
        </w:rPr>
        <w:t>两个以上的自然人、法人或者其他组织组成一个联合体，以一个供应商的身份共同参加采购活动。</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“成交供应商”（或“成交人”）是指经过法定采购程序被依法确定并授予合同的供应商。在合同签订后亦称为“乙方”或“卖方”或“供方”或“承包人”。</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“监管部门”是指具有依法对本项目采购活动履行监督管理职责的部门。</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“采购代理机构”是指接受采购人委托，在委托的范围内依法组织采购活动的专业中介机构，本项目是指</w:t>
      </w:r>
      <w:r>
        <w:rPr>
          <w:rFonts w:hint="eastAsia" w:ascii="宋体" w:hAnsi="宋体"/>
          <w:b/>
          <w:szCs w:val="24"/>
          <w:u w:val="single"/>
        </w:rPr>
        <w:t>广东华伦招标有限公司</w:t>
      </w:r>
      <w:r>
        <w:rPr>
          <w:rFonts w:hint="eastAsia" w:ascii="宋体" w:hAnsi="宋体"/>
          <w:szCs w:val="24"/>
        </w:rPr>
        <w:t>。</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“货物”是指各种形态和种类的物品，包括原材料、燃料、设备、产品等。</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“工程”是指建设工程，包括建筑物和构筑物的新建、改建、扩建、装修、拆除、修缮等。</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“服务”是指除货物和工程以外的其他采购对象，包括政府自身需要的服务和政府向社会公众提供的公共服务。</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“政府购买服务”是指各级国家机关将属于自身职责范围且适合通过市场化方式提供的服务事项，按照政府采购方式和程序，交由符合条件的服务供应商承担，并根据服务数量和质量等因素向其支付费用的行为。</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综合评分法，是指响应文件满足磋商文件全部实质性要求，且按照评审因素的量化指标评审得分最高的供应商为成交候选供应商的评审方法。</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ab/>
      </w:r>
      <w:r>
        <w:rPr>
          <w:rFonts w:hint="eastAsia" w:ascii="宋体" w:hAnsi="宋体"/>
          <w:szCs w:val="24"/>
        </w:rPr>
        <w:t>日期、天数、时间：未有特别说明时，均为公历日（天）及北京时间。</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98" w:name="_Toc56180264"/>
      <w:bookmarkStart w:id="99" w:name="_Toc50460138"/>
      <w:bookmarkStart w:id="100" w:name="_Toc55398668"/>
      <w:bookmarkStart w:id="101" w:name="_Toc22806123"/>
      <w:r>
        <w:rPr>
          <w:rFonts w:hint="eastAsia" w:ascii="宋体" w:hAnsi="宋体"/>
          <w:sz w:val="24"/>
          <w:szCs w:val="24"/>
        </w:rPr>
        <w:t>合格的标的</w:t>
      </w:r>
      <w:bookmarkEnd w:id="98"/>
      <w:bookmarkEnd w:id="99"/>
      <w:bookmarkEnd w:id="100"/>
      <w:bookmarkEnd w:id="101"/>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合格的标的：是指本项目（采购包）成交供应商须承担的全部工作内容，满足磋商文件对标的规定的参数（指标）、功能、性能、质量、价格、服务期等要求。</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02" w:name="_Toc50460139"/>
      <w:bookmarkStart w:id="103" w:name="_Toc55398669"/>
      <w:bookmarkStart w:id="104" w:name="_Toc22806124"/>
      <w:bookmarkStart w:id="105" w:name="_Toc56180265"/>
      <w:r>
        <w:rPr>
          <w:rFonts w:hint="eastAsia" w:ascii="宋体" w:hAnsi="宋体"/>
          <w:sz w:val="24"/>
          <w:szCs w:val="24"/>
        </w:rPr>
        <w:t>磋商责任、风险及费用</w:t>
      </w:r>
      <w:bookmarkEnd w:id="102"/>
      <w:bookmarkEnd w:id="103"/>
      <w:bookmarkEnd w:id="104"/>
      <w:bookmarkEnd w:id="105"/>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磋商责任、风险：供应商自愿参加本项目的磋商，自行承担磋商的相关工作、责任和风险。</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响应费用：供应商应当自行承担其准备和参加磋商有关的一切费用。不论采购结果如何，采购人和采购代理机构均无义务和责任承担这些费用。</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代理服务费：本次采购活动中，采购代理机构向《供应商须知前附表》中约定的对象收取采购代理服务费（如未约定的，为成交供应商）。如磋商文件约定向成交供应商收取的，采购代理服务费不在磋商报价中单列，由响应供应商综合考虑在报价中。</w:t>
      </w:r>
    </w:p>
    <w:p>
      <w:pPr>
        <w:pStyle w:val="4"/>
        <w:numPr>
          <w:ilvl w:val="0"/>
          <w:numId w:val="7"/>
        </w:numPr>
        <w:tabs>
          <w:tab w:val="left" w:pos="945"/>
        </w:tabs>
        <w:spacing w:before="0" w:after="0" w:line="360" w:lineRule="auto"/>
        <w:ind w:left="0" w:firstLine="0"/>
        <w:rPr>
          <w:rFonts w:ascii="宋体" w:hAnsi="宋体"/>
          <w:sz w:val="28"/>
          <w:szCs w:val="28"/>
        </w:rPr>
      </w:pPr>
      <w:bookmarkStart w:id="106" w:name="_Toc56180266"/>
      <w:bookmarkStart w:id="107" w:name="_Toc55398670"/>
      <w:r>
        <w:rPr>
          <w:rFonts w:hint="eastAsia" w:ascii="宋体" w:hAnsi="宋体"/>
          <w:sz w:val="28"/>
          <w:szCs w:val="28"/>
        </w:rPr>
        <w:t>磋商文件</w:t>
      </w:r>
      <w:bookmarkEnd w:id="106"/>
      <w:bookmarkEnd w:id="107"/>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08" w:name="_Toc22806126"/>
      <w:bookmarkStart w:id="109" w:name="_Toc50460141"/>
      <w:bookmarkStart w:id="110" w:name="_Toc56180267"/>
      <w:bookmarkStart w:id="111" w:name="_Toc55398671"/>
      <w:r>
        <w:rPr>
          <w:rFonts w:hint="eastAsia" w:ascii="宋体" w:hAnsi="宋体"/>
          <w:sz w:val="24"/>
          <w:szCs w:val="24"/>
        </w:rPr>
        <w:t>磋商文件的构成</w:t>
      </w:r>
      <w:bookmarkEnd w:id="108"/>
      <w:bookmarkEnd w:id="109"/>
      <w:bookmarkEnd w:id="110"/>
      <w:bookmarkEnd w:id="111"/>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磋商文件的构成：磋商文件由下列部分以及在采购过程中发出的澄清、修改、答疑文件（如有）构成：</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磋商邀请</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采购需求</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供应商须知</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评审办法</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拟签订的合同文本</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响应文件格式</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在采购过程中由采购人或者采购代理机构发出的澄清、修改、答疑文件等</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本磋商文件的解释权归本磋商文件中所述的采购人、采购代理机构所有。</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按采购人、采购代理机构解释后，磋商文件中相关描述仍有歧义或前后不一致的地方或缺陷，由磋商小组进行评判。</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12" w:name="_Toc56180268"/>
      <w:bookmarkStart w:id="113" w:name="_Toc50460142"/>
      <w:bookmarkStart w:id="114" w:name="_Toc55398672"/>
      <w:bookmarkStart w:id="115" w:name="_Toc22806127"/>
      <w:r>
        <w:rPr>
          <w:rFonts w:hint="eastAsia" w:ascii="宋体" w:hAnsi="宋体"/>
          <w:sz w:val="24"/>
          <w:szCs w:val="24"/>
        </w:rPr>
        <w:t>磋商文件的澄清与修改</w:t>
      </w:r>
      <w:bookmarkEnd w:id="112"/>
      <w:bookmarkEnd w:id="113"/>
      <w:bookmarkEnd w:id="114"/>
      <w:bookmarkEnd w:id="115"/>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无论出于何种原因，采购人或者采购代理机构可主动地或在解答供应商提出的询问、质疑时对磋商文件进行澄清或修改。澄清或修改在原公告发布媒体上发布。澄清或修改的内容为磋商文件、磋商邀请的组成部分，对潜在供应商具有与磋商文件、磋商邀请同等约束力。澄清或修改的内容一经在指定媒体上发布后，将作为通知所有采购文件收受人的书面形式。</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澄清或者修改的内容可能影响响应文件编制的，采购人或者采购代理机构在提交首次响应文件截止时间至少5日前，以书面形式通知所有获取磋商文件的潜在供应商；不足5日的，采购人或者采购代理机构将顺延提交首次响应文件的截止时间；澄清或者修改的内容不影响响应文件编制的，或采购人或者采购代理机构在征得所有获取磋商文件的潜在供应商确认不影响响应文件编制后，可不改变提交首次响应文件截止时间。</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潜在供应商在知悉或应当知悉上述相关澄清/修改/更正后，应立即以书面形式（纸质形式或电子形式中任意一种）向采购人或者采购代理机构予以确认。本项目一旦在原公告发布媒体上发布澄清/修改/更正公告，视为已经通知潜在供应商，若潜在供应商没有在24小时内以书面形式予以确认的，视为其已经收到。</w:t>
      </w:r>
    </w:p>
    <w:p>
      <w:pPr>
        <w:pStyle w:val="4"/>
        <w:numPr>
          <w:ilvl w:val="0"/>
          <w:numId w:val="7"/>
        </w:numPr>
        <w:tabs>
          <w:tab w:val="left" w:pos="945"/>
        </w:tabs>
        <w:spacing w:before="0" w:after="0" w:line="360" w:lineRule="auto"/>
        <w:ind w:left="0" w:firstLine="0"/>
        <w:rPr>
          <w:rFonts w:ascii="宋体" w:hAnsi="宋体"/>
          <w:sz w:val="28"/>
          <w:szCs w:val="28"/>
        </w:rPr>
      </w:pPr>
      <w:bookmarkStart w:id="116" w:name="_Toc56180269"/>
      <w:bookmarkStart w:id="117" w:name="_Toc55398673"/>
      <w:bookmarkStart w:id="118" w:name="_Toc50460143"/>
      <w:r>
        <w:rPr>
          <w:rFonts w:hint="eastAsia" w:ascii="宋体" w:hAnsi="宋体"/>
          <w:sz w:val="28"/>
          <w:szCs w:val="28"/>
        </w:rPr>
        <w:t>响应文件</w:t>
      </w:r>
      <w:bookmarkEnd w:id="116"/>
      <w:bookmarkEnd w:id="117"/>
      <w:bookmarkEnd w:id="118"/>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19" w:name="_Toc55398674"/>
      <w:bookmarkStart w:id="120" w:name="_Toc22806129"/>
      <w:bookmarkStart w:id="121" w:name="_Toc56180270"/>
      <w:bookmarkStart w:id="122" w:name="_Toc50460144"/>
      <w:r>
        <w:rPr>
          <w:rFonts w:hint="eastAsia" w:ascii="宋体" w:hAnsi="宋体"/>
          <w:sz w:val="24"/>
          <w:szCs w:val="24"/>
        </w:rPr>
        <w:t>响应文件的构成</w:t>
      </w:r>
      <w:bookmarkEnd w:id="119"/>
      <w:bookmarkEnd w:id="120"/>
      <w:bookmarkEnd w:id="121"/>
      <w:bookmarkEnd w:id="122"/>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响应文件不限于由商务、技术、价格等部分构成，包括但不限于《采购需求》、《响应文件格式》要求的所有内容。供应商应当按照磋商文件的要求编制响应文件，响应文件应当对磋商文件提出的要求和条件作出明确响应，且符合法律法规的要求。</w:t>
      </w:r>
    </w:p>
    <w:p>
      <w:pPr>
        <w:numPr>
          <w:ilvl w:val="1"/>
          <w:numId w:val="8"/>
        </w:numPr>
        <w:tabs>
          <w:tab w:val="left" w:pos="945"/>
        </w:tabs>
        <w:wordWrap w:val="0"/>
        <w:autoSpaceDE w:val="0"/>
        <w:autoSpaceDN w:val="0"/>
        <w:ind w:left="480" w:hanging="480" w:hangingChars="200"/>
        <w:rPr>
          <w:rFonts w:ascii="宋体" w:hAnsi="宋体" w:cs="宋体"/>
          <w:szCs w:val="24"/>
        </w:rPr>
      </w:pPr>
      <w:r>
        <w:rPr>
          <w:rFonts w:hint="eastAsia" w:ascii="宋体" w:hAnsi="宋体" w:cs="宋体"/>
          <w:szCs w:val="24"/>
        </w:rPr>
        <w:t>样品（演示）</w:t>
      </w:r>
    </w:p>
    <w:p>
      <w:pPr>
        <w:tabs>
          <w:tab w:val="left" w:pos="945"/>
        </w:tabs>
        <w:ind w:left="960" w:hanging="960" w:hangingChars="400"/>
        <w:rPr>
          <w:rFonts w:ascii="宋体" w:hAnsi="宋体" w:cs="宋体"/>
        </w:rPr>
      </w:pPr>
      <w:r>
        <w:rPr>
          <w:rFonts w:hint="eastAsia" w:ascii="宋体" w:hAnsi="宋体" w:cs="宋体"/>
        </w:rPr>
        <w:t>7.2.1   采购文件规定响应供应商提交样品的，样品属于响应文件的组成部分。样品的生产、运输、安装、保全等一切费用由响应供应商自理。</w:t>
      </w:r>
    </w:p>
    <w:p>
      <w:pPr>
        <w:tabs>
          <w:tab w:val="left" w:pos="945"/>
        </w:tabs>
        <w:ind w:left="960" w:hanging="960" w:hangingChars="400"/>
        <w:rPr>
          <w:rFonts w:ascii="宋体" w:hAnsi="宋体" w:cs="宋体"/>
        </w:rPr>
      </w:pPr>
      <w:r>
        <w:rPr>
          <w:rFonts w:hint="eastAsia" w:ascii="宋体" w:hAnsi="宋体" w:cs="宋体"/>
        </w:rPr>
        <w:t>7.2.2   提交首次响应文件截止时间前，响应供应商应将样品送达至指定地点。若需要现场演示的，响应供应商应提前做好演示准备（包括演示设备）。</w:t>
      </w:r>
    </w:p>
    <w:p>
      <w:pPr>
        <w:pStyle w:val="2"/>
        <w:ind w:left="960" w:hanging="960" w:hangingChars="400"/>
      </w:pPr>
      <w:r>
        <w:rPr>
          <w:rFonts w:hint="eastAsia" w:ascii="宋体" w:hAnsi="宋体" w:cs="宋体"/>
        </w:rPr>
        <w:t>7.2.3  采购结果公告发布后，成交供应商的样品由采购人封存，作为履约验收的依据之一。未成交供应商在接到采购代理机构通知后，应按规定时间尽快自行取回样品，否则视同供应商不再认领，代理机构有权进行处理。</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23" w:name="_Toc50460145"/>
      <w:bookmarkStart w:id="124" w:name="_Toc22806130"/>
      <w:bookmarkStart w:id="125" w:name="_Toc56180271"/>
      <w:bookmarkStart w:id="126" w:name="_Toc55398675"/>
      <w:r>
        <w:rPr>
          <w:rFonts w:hint="eastAsia" w:ascii="宋体" w:hAnsi="宋体"/>
          <w:sz w:val="24"/>
          <w:szCs w:val="24"/>
        </w:rPr>
        <w:t>响应的语言及计量单位</w:t>
      </w:r>
      <w:bookmarkEnd w:id="123"/>
      <w:bookmarkEnd w:id="124"/>
      <w:bookmarkEnd w:id="125"/>
      <w:bookmarkEnd w:id="126"/>
    </w:p>
    <w:p>
      <w:pPr>
        <w:numPr>
          <w:ilvl w:val="1"/>
          <w:numId w:val="9"/>
        </w:numPr>
        <w:tabs>
          <w:tab w:val="left" w:pos="945"/>
        </w:tabs>
        <w:wordWrap w:val="0"/>
        <w:autoSpaceDE w:val="0"/>
        <w:autoSpaceDN w:val="0"/>
        <w:ind w:left="960" w:hanging="960" w:hangingChars="400"/>
        <w:rPr>
          <w:rFonts w:ascii="宋体" w:hAnsi="宋体"/>
          <w:szCs w:val="24"/>
        </w:rPr>
      </w:pPr>
      <w:r>
        <w:rPr>
          <w:rFonts w:hint="eastAsia" w:ascii="宋体" w:hAnsi="宋体"/>
          <w:szCs w:val="24"/>
        </w:rPr>
        <w:t>除采购文件另有规定外，</w:t>
      </w:r>
      <w:r>
        <w:rPr>
          <w:rFonts w:hint="eastAsia" w:ascii="宋体" w:hAnsi="宋体" w:cs="宋体"/>
        </w:rPr>
        <w:t>响应供应商</w:t>
      </w:r>
      <w:r>
        <w:rPr>
          <w:rFonts w:hint="eastAsia" w:ascii="宋体" w:hAnsi="宋体"/>
          <w:szCs w:val="24"/>
        </w:rPr>
        <w:t>提交的采购文件以及</w:t>
      </w:r>
      <w:r>
        <w:rPr>
          <w:rFonts w:hint="eastAsia" w:ascii="宋体" w:hAnsi="宋体" w:cs="宋体"/>
        </w:rPr>
        <w:t>响应供应商</w:t>
      </w:r>
      <w:r>
        <w:rPr>
          <w:rFonts w:hint="eastAsia" w:ascii="宋体" w:hAnsi="宋体"/>
          <w:szCs w:val="24"/>
        </w:rPr>
        <w:t>与采购人或者采购代理机构就与磋商有关的所有来往函电均应使用简体中文，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numPr>
          <w:ilvl w:val="1"/>
          <w:numId w:val="9"/>
        </w:numPr>
        <w:tabs>
          <w:tab w:val="left" w:pos="945"/>
        </w:tabs>
        <w:wordWrap w:val="0"/>
        <w:autoSpaceDE w:val="0"/>
        <w:autoSpaceDN w:val="0"/>
        <w:ind w:left="960" w:hanging="960" w:hangingChars="400"/>
        <w:rPr>
          <w:rFonts w:ascii="宋体" w:hAnsi="宋体"/>
          <w:szCs w:val="24"/>
        </w:rPr>
      </w:pPr>
      <w:r>
        <w:rPr>
          <w:rFonts w:hint="eastAsia" w:ascii="宋体" w:hAnsi="宋体"/>
          <w:szCs w:val="24"/>
        </w:rPr>
        <w:t>除非磋商文件另有规定，供应商在响应文件中及其与采购人或者采购代理机构的所有往来文件中的计量单位均应采用中华人民共和国法定计量单位。</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27" w:name="_Toc50460146"/>
      <w:bookmarkStart w:id="128" w:name="_Toc56180272"/>
      <w:bookmarkStart w:id="129" w:name="_Toc22806131"/>
      <w:bookmarkStart w:id="130" w:name="_Toc55398676"/>
      <w:r>
        <w:rPr>
          <w:rFonts w:hint="eastAsia" w:ascii="宋体" w:hAnsi="宋体"/>
          <w:sz w:val="24"/>
          <w:szCs w:val="24"/>
        </w:rPr>
        <w:t>响应文件合规性</w:t>
      </w:r>
      <w:bookmarkEnd w:id="127"/>
      <w:bookmarkEnd w:id="128"/>
      <w:bookmarkEnd w:id="129"/>
      <w:bookmarkEnd w:id="130"/>
    </w:p>
    <w:p>
      <w:pPr>
        <w:numPr>
          <w:ilvl w:val="1"/>
          <w:numId w:val="10"/>
        </w:numPr>
        <w:tabs>
          <w:tab w:val="left" w:pos="945"/>
        </w:tabs>
        <w:wordWrap w:val="0"/>
        <w:autoSpaceDE w:val="0"/>
        <w:autoSpaceDN w:val="0"/>
        <w:ind w:left="960" w:hanging="960" w:hangingChars="400"/>
        <w:rPr>
          <w:rFonts w:ascii="宋体" w:hAnsi="宋体"/>
          <w:szCs w:val="24"/>
        </w:rPr>
      </w:pPr>
      <w:r>
        <w:rPr>
          <w:rFonts w:hint="eastAsia" w:ascii="宋体" w:hAnsi="宋体"/>
          <w:szCs w:val="24"/>
        </w:rPr>
        <w:t>响应文件的编制应符合相关法律、法规、部门规章、规范性文件及磋商文件的要求，技术及服务方案应符合国家、地方和行业相关强制性标准和规范。</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31" w:name="_Toc55398677"/>
      <w:bookmarkStart w:id="132" w:name="_Toc22806132"/>
      <w:bookmarkStart w:id="133" w:name="_Toc56180273"/>
      <w:bookmarkStart w:id="134" w:name="_Toc50460147"/>
      <w:r>
        <w:rPr>
          <w:rFonts w:hint="eastAsia" w:ascii="宋体" w:hAnsi="宋体"/>
          <w:sz w:val="24"/>
          <w:szCs w:val="24"/>
        </w:rPr>
        <w:t>响应文件的编制</w:t>
      </w:r>
      <w:bookmarkEnd w:id="131"/>
      <w:bookmarkEnd w:id="132"/>
      <w:bookmarkEnd w:id="133"/>
      <w:bookmarkEnd w:id="134"/>
    </w:p>
    <w:p>
      <w:pPr>
        <w:numPr>
          <w:ilvl w:val="1"/>
          <w:numId w:val="11"/>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应认真阅读、并充分理解磋商文件的全部内容（包括所有的澄清、修改、答疑、更正内容、重要事项、格式、条款和技术、商务要求等）。供应商没有按照磋商文件要求（包括形式要求和内容要求）提交全部资料，或者其报价没有对磋商文件的所有要求做出实质性响应，由此造成的一切风险及后果均由供应商自行承担。上述风险及后果包括有可能导致其报价被拒绝或被认定为无效报价或报价无效，项目采用综合评分法评审，也有可能造成对其不利评审得分的结果。</w:t>
      </w:r>
    </w:p>
    <w:p>
      <w:pPr>
        <w:numPr>
          <w:ilvl w:val="1"/>
          <w:numId w:val="11"/>
        </w:numPr>
        <w:tabs>
          <w:tab w:val="left" w:pos="945"/>
        </w:tabs>
        <w:wordWrap w:val="0"/>
        <w:autoSpaceDE w:val="0"/>
        <w:autoSpaceDN w:val="0"/>
        <w:ind w:left="960" w:hanging="960" w:hangingChars="400"/>
        <w:rPr>
          <w:rFonts w:ascii="宋体" w:hAnsi="宋体"/>
          <w:szCs w:val="24"/>
        </w:rPr>
      </w:pPr>
      <w:r>
        <w:rPr>
          <w:rFonts w:hint="eastAsia" w:ascii="宋体" w:hAnsi="宋体"/>
          <w:szCs w:val="24"/>
        </w:rPr>
        <w:t>响应文件应当按照磋商文件第六部分《响应文件格式》中已规定的格式编制和盖章、签署。格式中给定的表格，供应商可以根据响应实际情况自行增减行数。格式中注明“供参考”或“格式自定”字样的部分，供应商可以根据响应实际情况自行增减内容或自定格式，但不得删改其实质性内容和要求（包括盖章、签署要求）。格式中注明“如适用”、“如有”字样的部分，供应商可以根据磋商文件本条款规定或第六部分《响应文件格式》中的总说明（如有）及自身响应实际适用或有无情况使用（如不适用或无，可保留相关格式，并相应注明“不适用”或“无此内容”字样）。</w:t>
      </w:r>
    </w:p>
    <w:p>
      <w:pPr>
        <w:numPr>
          <w:ilvl w:val="1"/>
          <w:numId w:val="11"/>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供应商应当对响应文件进行牢固装订，对未经装订或装订不牢的响应文件可能发生的文件散落或缺损，由此产生的后果由供应商承担。</w:t>
      </w:r>
    </w:p>
    <w:p>
      <w:pPr>
        <w:numPr>
          <w:ilvl w:val="1"/>
          <w:numId w:val="11"/>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供应商必须对响应文件所提供的全部资料的真实性、完整性承担法律责任，无条件接受采购人、采购代理机构或者有关监管机构在采购过程中对其中任何资料依法进行必要的核实的要求。</w:t>
      </w:r>
    </w:p>
    <w:p>
      <w:pPr>
        <w:numPr>
          <w:ilvl w:val="1"/>
          <w:numId w:val="11"/>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供应商须确保其提供响应文件的全部内容均未侵犯任何第三方合法权益和知识产权。因此构成任何侵权行为，均由供应商承担全部责任，由此造成的法律责任、经济处罚和补偿全部由供应商承担，与采购人无关。</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35" w:name="_Toc55398678"/>
      <w:bookmarkStart w:id="136" w:name="_Toc50460148"/>
      <w:bookmarkStart w:id="137" w:name="_Toc56180274"/>
      <w:bookmarkStart w:id="138" w:name="_Toc22806133"/>
      <w:r>
        <w:rPr>
          <w:rFonts w:hint="eastAsia" w:ascii="宋体" w:hAnsi="宋体"/>
          <w:sz w:val="24"/>
          <w:szCs w:val="24"/>
        </w:rPr>
        <w:t>响应报价</w:t>
      </w:r>
      <w:bookmarkEnd w:id="135"/>
      <w:bookmarkEnd w:id="136"/>
      <w:bookmarkEnd w:id="137"/>
      <w:bookmarkEnd w:id="138"/>
    </w:p>
    <w:p>
      <w:pPr>
        <w:numPr>
          <w:ilvl w:val="1"/>
          <w:numId w:val="12"/>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供应商所提供的货物和服务均应采用人民币报价。</w:t>
      </w:r>
    </w:p>
    <w:p>
      <w:pPr>
        <w:numPr>
          <w:ilvl w:val="1"/>
          <w:numId w:val="12"/>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应在《采购需求》规定的采购范围、内容、标准、责任范围按照磋商文件给定的格式和要求进行合理报价。并按《首次报价一览表》和《分项报价明细表》（如有，分项内容按照《采购需求》）确定的内容报出分项价格和总价。除非《采购需求》中另有约定，否则响应报价为完成本次采购项目全部采购内容的报价。磋商报价中包含不在采购范围内和与采购无关的其他商品、服务的，在评审过程中计算其磋商报价时不予核减；若成交，签订合同时予以核减。</w:t>
      </w:r>
    </w:p>
    <w:p>
      <w:pPr>
        <w:tabs>
          <w:tab w:val="left" w:pos="945"/>
        </w:tabs>
        <w:wordWrap w:val="0"/>
        <w:autoSpaceDE w:val="0"/>
        <w:autoSpaceDN w:val="0"/>
        <w:ind w:left="1080" w:leftChars="450" w:firstLine="361" w:firstLineChars="150"/>
        <w:rPr>
          <w:rFonts w:ascii="宋体" w:hAnsi="宋体"/>
          <w:szCs w:val="24"/>
        </w:rPr>
      </w:pPr>
      <w:r>
        <w:rPr>
          <w:rFonts w:hint="eastAsia" w:ascii="宋体" w:hAnsi="宋体"/>
          <w:b/>
          <w:szCs w:val="24"/>
        </w:rPr>
        <w:t>磋商报价中对报价标的的主体、关键内容有漏项、缺项的，其报价无效。除上述规定外，供应商有非主体、非关键内容的缺项、漏项（数量不符合将被视为漏项），均视为报价中已包含相关费用，如成交不得再向采购人收取任何该费用。</w:t>
      </w:r>
    </w:p>
    <w:p>
      <w:pPr>
        <w:numPr>
          <w:ilvl w:val="1"/>
          <w:numId w:val="12"/>
        </w:numPr>
        <w:tabs>
          <w:tab w:val="left" w:pos="945"/>
        </w:tabs>
        <w:wordWrap w:val="0"/>
        <w:autoSpaceDE w:val="0"/>
        <w:autoSpaceDN w:val="0"/>
        <w:ind w:left="960" w:hanging="960" w:hangingChars="400"/>
        <w:rPr>
          <w:rFonts w:ascii="宋体" w:hAnsi="宋体"/>
          <w:szCs w:val="24"/>
        </w:rPr>
      </w:pPr>
      <w:r>
        <w:rPr>
          <w:rFonts w:hint="eastAsia" w:ascii="宋体" w:hAnsi="宋体"/>
          <w:szCs w:val="24"/>
        </w:rPr>
        <w:t>响应报价时应符合下列要求：</w:t>
      </w:r>
    </w:p>
    <w:p>
      <w:pPr>
        <w:numPr>
          <w:ilvl w:val="2"/>
          <w:numId w:val="12"/>
        </w:numPr>
        <w:tabs>
          <w:tab w:val="left" w:pos="945"/>
        </w:tabs>
        <w:wordWrap w:val="0"/>
        <w:autoSpaceDE w:val="0"/>
        <w:autoSpaceDN w:val="0"/>
        <w:ind w:left="960" w:hanging="960" w:hangingChars="400"/>
        <w:rPr>
          <w:rFonts w:ascii="宋体" w:hAnsi="宋体"/>
          <w:szCs w:val="24"/>
        </w:rPr>
      </w:pPr>
      <w:r>
        <w:rPr>
          <w:rFonts w:hint="eastAsia" w:ascii="宋体" w:hAnsi="宋体"/>
          <w:szCs w:val="24"/>
        </w:rPr>
        <w:t>对于报价已含在其他部分或报价总价中的项目应当标明“已含在……中”；</w:t>
      </w:r>
    </w:p>
    <w:p>
      <w:pPr>
        <w:numPr>
          <w:ilvl w:val="2"/>
          <w:numId w:val="12"/>
        </w:numPr>
        <w:tabs>
          <w:tab w:val="left" w:pos="945"/>
        </w:tabs>
        <w:wordWrap w:val="0"/>
        <w:autoSpaceDE w:val="0"/>
        <w:autoSpaceDN w:val="0"/>
        <w:ind w:left="960" w:hanging="960" w:hangingChars="400"/>
        <w:rPr>
          <w:rFonts w:ascii="宋体" w:hAnsi="宋体"/>
          <w:szCs w:val="24"/>
        </w:rPr>
      </w:pPr>
      <w:r>
        <w:rPr>
          <w:rFonts w:hint="eastAsia" w:ascii="宋体" w:hAnsi="宋体"/>
          <w:szCs w:val="24"/>
        </w:rPr>
        <w:t>除非《采购需求》中另有约定，根据合同约定和现行税法税则及政府有关行政主管部门规定完成本项目应缴纳一切税费均应包含在响应报价中；</w:t>
      </w:r>
    </w:p>
    <w:p>
      <w:pPr>
        <w:numPr>
          <w:ilvl w:val="2"/>
          <w:numId w:val="12"/>
        </w:numPr>
        <w:tabs>
          <w:tab w:val="left" w:pos="945"/>
        </w:tabs>
        <w:wordWrap w:val="0"/>
        <w:autoSpaceDE w:val="0"/>
        <w:autoSpaceDN w:val="0"/>
        <w:ind w:left="960" w:hanging="960" w:hangingChars="400"/>
        <w:rPr>
          <w:rFonts w:ascii="宋体" w:hAnsi="宋体"/>
          <w:szCs w:val="24"/>
        </w:rPr>
      </w:pPr>
      <w:r>
        <w:rPr>
          <w:rFonts w:hint="eastAsia" w:ascii="宋体" w:hAnsi="宋体"/>
          <w:szCs w:val="24"/>
        </w:rPr>
        <w:t>除非《采购需求》中另有约定，响应报价应包含项目标的主体实施及相关配套、伴随和售后服务的所有费用。不论《采购需求》中是否规定，凡属于本项目合法实施所必需的货物、服务、工作，以及相应的费用及须向第三方支付必要的知识产权使用费，均应包含在响应报价内。</w:t>
      </w:r>
    </w:p>
    <w:p>
      <w:pPr>
        <w:numPr>
          <w:ilvl w:val="2"/>
          <w:numId w:val="12"/>
        </w:numPr>
        <w:tabs>
          <w:tab w:val="left" w:pos="945"/>
        </w:tabs>
        <w:wordWrap w:val="0"/>
        <w:autoSpaceDE w:val="0"/>
        <w:autoSpaceDN w:val="0"/>
        <w:ind w:left="960" w:hanging="960" w:hangingChars="400"/>
        <w:rPr>
          <w:rFonts w:ascii="宋体" w:hAnsi="宋体"/>
          <w:szCs w:val="24"/>
        </w:rPr>
      </w:pPr>
      <w:r>
        <w:rPr>
          <w:rFonts w:hint="eastAsia" w:ascii="宋体" w:hAnsi="宋体"/>
          <w:szCs w:val="24"/>
        </w:rPr>
        <w:t>响应报价应当合理，不得影响产品质量或者不能诚信履约，否则在评审时可能被磋商小组将其作为无效响应处理。</w:t>
      </w:r>
    </w:p>
    <w:p>
      <w:pPr>
        <w:numPr>
          <w:ilvl w:val="1"/>
          <w:numId w:val="12"/>
        </w:numPr>
        <w:tabs>
          <w:tab w:val="left" w:pos="945"/>
        </w:tabs>
        <w:wordWrap w:val="0"/>
        <w:autoSpaceDE w:val="0"/>
        <w:autoSpaceDN w:val="0"/>
        <w:ind w:left="960" w:hanging="960" w:hangingChars="400"/>
        <w:rPr>
          <w:rFonts w:ascii="宋体" w:hAnsi="宋体"/>
          <w:szCs w:val="24"/>
        </w:rPr>
      </w:pPr>
      <w:r>
        <w:rPr>
          <w:rFonts w:hint="eastAsia" w:ascii="宋体" w:hAnsi="宋体"/>
          <w:szCs w:val="24"/>
        </w:rPr>
        <w:t>除非《采购需求》或《供应商须知前附表》中另有规定，供应商对每一种规格的货物和每一项服务只允许一个固定报价，不接受具有附加条件的报价，否则其响应将被视为无效。</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39" w:name="_Toc55398679"/>
      <w:bookmarkStart w:id="140" w:name="_Toc50460149"/>
      <w:bookmarkStart w:id="141" w:name="_Toc56180275"/>
      <w:r>
        <w:rPr>
          <w:rFonts w:hint="eastAsia" w:ascii="宋体" w:hAnsi="宋体"/>
          <w:sz w:val="24"/>
          <w:szCs w:val="24"/>
        </w:rPr>
        <w:t>响应方案</w:t>
      </w:r>
      <w:bookmarkEnd w:id="139"/>
      <w:bookmarkEnd w:id="140"/>
      <w:bookmarkEnd w:id="141"/>
    </w:p>
    <w:p>
      <w:pPr>
        <w:numPr>
          <w:ilvl w:val="1"/>
          <w:numId w:val="13"/>
        </w:numPr>
        <w:tabs>
          <w:tab w:val="left" w:pos="945"/>
        </w:tabs>
        <w:wordWrap w:val="0"/>
        <w:autoSpaceDE w:val="0"/>
        <w:autoSpaceDN w:val="0"/>
        <w:ind w:left="960" w:hanging="960" w:hangingChars="400"/>
        <w:rPr>
          <w:rFonts w:ascii="宋体" w:hAnsi="宋体"/>
          <w:szCs w:val="24"/>
        </w:rPr>
      </w:pPr>
      <w:r>
        <w:rPr>
          <w:rFonts w:hint="eastAsia" w:ascii="宋体" w:hAnsi="宋体"/>
          <w:szCs w:val="24"/>
        </w:rPr>
        <w:t>除非《采购需求》或《供应商须知前附表》中另有规定，只允许供应商提供一个响应方案（即不接受提供备选方案），否则其响应将被视为无效。</w:t>
      </w:r>
    </w:p>
    <w:p>
      <w:pPr>
        <w:numPr>
          <w:ilvl w:val="1"/>
          <w:numId w:val="13"/>
        </w:numPr>
        <w:tabs>
          <w:tab w:val="left" w:pos="945"/>
        </w:tabs>
        <w:wordWrap w:val="0"/>
        <w:autoSpaceDE w:val="0"/>
        <w:autoSpaceDN w:val="0"/>
        <w:ind w:left="960" w:hanging="960" w:hangingChars="400"/>
        <w:rPr>
          <w:rFonts w:ascii="宋体" w:hAnsi="宋体"/>
          <w:szCs w:val="24"/>
        </w:rPr>
      </w:pPr>
      <w:r>
        <w:rPr>
          <w:rFonts w:hint="eastAsia" w:ascii="宋体" w:hAnsi="宋体"/>
          <w:szCs w:val="24"/>
        </w:rPr>
        <w:t>如果本项目允许供应商提供备选方案，供应商在编制响应文件时提供两个或以上方案时，应当明确注明其中一个方案为主选方案，其他方案为备选方案。评审时，如无特别说明，仅以主选方案参与评审。</w:t>
      </w:r>
    </w:p>
    <w:p>
      <w:pPr>
        <w:numPr>
          <w:ilvl w:val="1"/>
          <w:numId w:val="13"/>
        </w:numPr>
        <w:tabs>
          <w:tab w:val="left" w:pos="945"/>
        </w:tabs>
        <w:wordWrap w:val="0"/>
        <w:autoSpaceDE w:val="0"/>
        <w:autoSpaceDN w:val="0"/>
        <w:ind w:left="960" w:hanging="960" w:hangingChars="400"/>
        <w:rPr>
          <w:rFonts w:ascii="宋体" w:hAnsi="宋体"/>
          <w:szCs w:val="24"/>
        </w:rPr>
      </w:pPr>
      <w:r>
        <w:rPr>
          <w:rFonts w:hint="eastAsia" w:ascii="宋体" w:hAnsi="宋体"/>
          <w:szCs w:val="24"/>
        </w:rPr>
        <w:tab/>
      </w:r>
      <w:r>
        <w:rPr>
          <w:rFonts w:hint="eastAsia" w:ascii="宋体" w:hAnsi="宋体"/>
          <w:szCs w:val="24"/>
        </w:rPr>
        <w:t>本项目（采购包）不允许转包。除非《磋商邀请》或《采购需求》或《供应商须知前附表》中另有规定，本项目（采购包）不允许分包。根据磋商文件的规定和采购项目的实际情况，成交供应商确需将本项目的非主体、非关键性内容分包给其他承担主体的，须经采购人同意，分包承担主体应当具备相应资质条件且不得再次分包，同时符合法律、法规的其他规定。落实政府采购政策要求以合同分包形式报价标的采购项目（采购包），合同分包应符合《政府采购促进中小企业发展管理办法》（财库〔2020〕46号）的规定。</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42" w:name="_Toc50460150"/>
      <w:bookmarkStart w:id="143" w:name="_Toc55398680"/>
      <w:bookmarkStart w:id="144" w:name="_Toc56180276"/>
      <w:r>
        <w:rPr>
          <w:rFonts w:hint="eastAsia" w:ascii="宋体" w:hAnsi="宋体"/>
          <w:sz w:val="24"/>
          <w:szCs w:val="24"/>
        </w:rPr>
        <w:t>联合体报价</w:t>
      </w:r>
      <w:bookmarkEnd w:id="142"/>
      <w:r>
        <w:rPr>
          <w:rFonts w:hint="eastAsia" w:ascii="宋体" w:hAnsi="宋体"/>
          <w:sz w:val="24"/>
          <w:szCs w:val="24"/>
        </w:rPr>
        <w:t>（不允许联合体报价的项目不适用）</w:t>
      </w:r>
      <w:bookmarkEnd w:id="143"/>
      <w:bookmarkEnd w:id="144"/>
    </w:p>
    <w:p>
      <w:pPr>
        <w:numPr>
          <w:ilvl w:val="1"/>
          <w:numId w:val="14"/>
        </w:numPr>
        <w:tabs>
          <w:tab w:val="left" w:pos="945"/>
        </w:tabs>
        <w:wordWrap w:val="0"/>
        <w:autoSpaceDE w:val="0"/>
        <w:autoSpaceDN w:val="0"/>
        <w:ind w:left="960" w:hanging="960" w:hangingChars="400"/>
        <w:rPr>
          <w:rFonts w:ascii="宋体" w:hAnsi="宋体"/>
          <w:szCs w:val="24"/>
        </w:rPr>
      </w:pPr>
      <w:r>
        <w:rPr>
          <w:rFonts w:hint="eastAsia" w:ascii="宋体" w:hAnsi="宋体"/>
        </w:rPr>
        <w:t>本项目是否允许联合体报价见《磋商邀请》。如未明确载明的，视为允许联合体报价。</w:t>
      </w:r>
    </w:p>
    <w:p>
      <w:pPr>
        <w:numPr>
          <w:ilvl w:val="1"/>
          <w:numId w:val="14"/>
        </w:numPr>
        <w:tabs>
          <w:tab w:val="left" w:pos="945"/>
        </w:tabs>
        <w:wordWrap w:val="0"/>
        <w:autoSpaceDE w:val="0"/>
        <w:autoSpaceDN w:val="0"/>
        <w:ind w:left="960" w:hanging="960" w:hangingChars="400"/>
        <w:rPr>
          <w:rFonts w:ascii="宋体" w:hAnsi="宋体"/>
          <w:szCs w:val="24"/>
        </w:rPr>
      </w:pPr>
      <w:r>
        <w:rPr>
          <w:rFonts w:hint="eastAsia" w:ascii="宋体" w:hAnsi="宋体"/>
        </w:rPr>
        <w:t>参加联合体的各供应商均应当具备《中华人民共和国政府采购法》第二十二条规定的条件，并应当向采购人提交联合协议并在响应文件中提供联合体各方的相关证明材料，载明联合体各方承担的工作和义务。如成交，联合体各方应当共同与采购人签订采购合同，就采购合同约定的事项对采购人承担连带责任。</w:t>
      </w:r>
    </w:p>
    <w:p>
      <w:pPr>
        <w:numPr>
          <w:ilvl w:val="1"/>
          <w:numId w:val="14"/>
        </w:numPr>
        <w:tabs>
          <w:tab w:val="left" w:pos="945"/>
        </w:tabs>
        <w:wordWrap w:val="0"/>
        <w:autoSpaceDE w:val="0"/>
        <w:autoSpaceDN w:val="0"/>
        <w:ind w:left="960" w:hanging="960" w:hangingChars="400"/>
        <w:rPr>
          <w:rFonts w:ascii="宋体" w:hAnsi="宋体"/>
          <w:szCs w:val="24"/>
        </w:rPr>
      </w:pPr>
      <w:r>
        <w:rPr>
          <w:rFonts w:hint="eastAsia" w:ascii="宋体" w:hAnsi="宋体"/>
          <w:szCs w:val="24"/>
        </w:rPr>
        <w:t>联合体中有同类资质的供应商按照联合体分工承担相同工作的，按照资质等级较低的供应商确定资质等级。</w:t>
      </w:r>
    </w:p>
    <w:p>
      <w:pPr>
        <w:numPr>
          <w:ilvl w:val="1"/>
          <w:numId w:val="14"/>
        </w:numPr>
        <w:tabs>
          <w:tab w:val="left" w:pos="945"/>
        </w:tabs>
        <w:wordWrap w:val="0"/>
        <w:autoSpaceDE w:val="0"/>
        <w:autoSpaceDN w:val="0"/>
        <w:ind w:left="960" w:hanging="960" w:hangingChars="400"/>
        <w:rPr>
          <w:rFonts w:ascii="宋体" w:hAnsi="宋体"/>
          <w:szCs w:val="24"/>
        </w:rPr>
      </w:pPr>
      <w:r>
        <w:rPr>
          <w:rFonts w:hint="eastAsia" w:ascii="宋体" w:hAnsi="宋体"/>
          <w:szCs w:val="24"/>
        </w:rPr>
        <w:t>以联合体形式参加政府采购活动的，联合体各方不得再单独参加或者与其他供应商另外组成联合体参加同一合同项下的政府采购活动，若违反规定则其参与的所有响应将视为无效响应。</w:t>
      </w:r>
    </w:p>
    <w:p>
      <w:pPr>
        <w:numPr>
          <w:ilvl w:val="1"/>
          <w:numId w:val="14"/>
        </w:numPr>
        <w:tabs>
          <w:tab w:val="left" w:pos="945"/>
        </w:tabs>
        <w:wordWrap w:val="0"/>
        <w:autoSpaceDE w:val="0"/>
        <w:autoSpaceDN w:val="0"/>
        <w:ind w:left="960" w:hanging="960" w:hangingChars="400"/>
        <w:rPr>
          <w:rFonts w:ascii="宋体" w:hAnsi="宋体"/>
          <w:szCs w:val="24"/>
        </w:rPr>
      </w:pPr>
      <w:r>
        <w:rPr>
          <w:rFonts w:hint="eastAsia" w:ascii="宋体" w:hAnsi="宋体"/>
          <w:szCs w:val="24"/>
        </w:rPr>
        <w:t>以联合体形式报价的，除非响应文件格式有特别说明和《供应商须知前附表》另有规定，全部响应文件（包括联合体各成员提供的自身独立的证明文件）可以由联合体各方共同盖公章、联合体各方法定代表人共同签字（或盖章）、共同推选的授权代表签字（或盖章），也可以根据《联合协议》约定的方式加盖公章及签署。联合体的名称统一表述为“成员1全称、成员2全称、</w:t>
      </w:r>
      <w:r>
        <w:rPr>
          <w:rFonts w:ascii="宋体" w:hAnsi="宋体"/>
          <w:szCs w:val="24"/>
        </w:rPr>
        <w:t>……</w:t>
      </w:r>
      <w:r>
        <w:rPr>
          <w:rFonts w:hint="eastAsia" w:ascii="宋体" w:hAnsi="宋体"/>
          <w:szCs w:val="24"/>
        </w:rPr>
        <w:t>、成员</w:t>
      </w:r>
      <w:r>
        <w:rPr>
          <w:rFonts w:ascii="宋体" w:hAnsi="宋体"/>
          <w:szCs w:val="24"/>
        </w:rPr>
        <w:t>……</w:t>
      </w:r>
      <w:r>
        <w:rPr>
          <w:rFonts w:hint="eastAsia" w:ascii="宋体" w:hAnsi="宋体"/>
          <w:szCs w:val="24"/>
        </w:rPr>
        <w:t>全称联合体”。</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45" w:name="_Toc22806136"/>
      <w:bookmarkStart w:id="146" w:name="_Toc50460151"/>
      <w:bookmarkStart w:id="147" w:name="_Toc55398681"/>
      <w:bookmarkStart w:id="148" w:name="_Toc56180277"/>
      <w:r>
        <w:rPr>
          <w:rFonts w:hint="eastAsia" w:ascii="宋体" w:hAnsi="宋体"/>
          <w:sz w:val="24"/>
          <w:szCs w:val="24"/>
        </w:rPr>
        <w:t>供应商资格、资信、落实政策和满足要求的证明文件</w:t>
      </w:r>
      <w:bookmarkEnd w:id="145"/>
      <w:bookmarkEnd w:id="146"/>
      <w:bookmarkEnd w:id="147"/>
      <w:bookmarkEnd w:id="148"/>
    </w:p>
    <w:p>
      <w:pPr>
        <w:numPr>
          <w:ilvl w:val="1"/>
          <w:numId w:val="15"/>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供应商应按磋商文件的要求，提交相关资格、资信证明文件，为落实政府采购政策，采购标的满足的要求，以及供应商须提供的证明材料。</w:t>
      </w:r>
    </w:p>
    <w:p>
      <w:pPr>
        <w:numPr>
          <w:ilvl w:val="1"/>
          <w:numId w:val="15"/>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供应商信用信息查询</w:t>
      </w:r>
    </w:p>
    <w:p>
      <w:pPr>
        <w:numPr>
          <w:ilvl w:val="2"/>
          <w:numId w:val="16"/>
        </w:numPr>
        <w:tabs>
          <w:tab w:val="left" w:pos="945"/>
        </w:tabs>
        <w:wordWrap w:val="0"/>
        <w:autoSpaceDE w:val="0"/>
        <w:autoSpaceDN w:val="0"/>
        <w:ind w:left="960" w:hanging="960" w:hangingChars="400"/>
        <w:rPr>
          <w:rFonts w:ascii="宋体" w:hAnsi="宋体"/>
          <w:szCs w:val="24"/>
        </w:rPr>
      </w:pPr>
      <w:r>
        <w:rPr>
          <w:rFonts w:hint="eastAsia" w:ascii="宋体" w:hAnsi="宋体"/>
          <w:szCs w:val="24"/>
        </w:rPr>
        <w:t>查询渠道：“信用中国”网站（www.creditchina.gov.cn）、中国政府采购网（www.ccgp.gov.cn）。</w:t>
      </w:r>
    </w:p>
    <w:p>
      <w:pPr>
        <w:numPr>
          <w:ilvl w:val="2"/>
          <w:numId w:val="16"/>
        </w:numPr>
        <w:tabs>
          <w:tab w:val="left" w:pos="945"/>
        </w:tabs>
        <w:wordWrap w:val="0"/>
        <w:autoSpaceDE w:val="0"/>
        <w:autoSpaceDN w:val="0"/>
        <w:ind w:left="960" w:hanging="960" w:hangingChars="400"/>
        <w:rPr>
          <w:rFonts w:ascii="宋体" w:hAnsi="宋体"/>
          <w:szCs w:val="24"/>
        </w:rPr>
      </w:pPr>
      <w:r>
        <w:rPr>
          <w:rFonts w:hint="eastAsia" w:ascii="宋体" w:hAnsi="宋体"/>
          <w:szCs w:val="24"/>
        </w:rPr>
        <w:t>查询截止时点：本项目提交首次响应文件截止时间。</w:t>
      </w:r>
    </w:p>
    <w:p>
      <w:pPr>
        <w:numPr>
          <w:ilvl w:val="2"/>
          <w:numId w:val="16"/>
        </w:numPr>
        <w:tabs>
          <w:tab w:val="left" w:pos="945"/>
        </w:tabs>
        <w:wordWrap w:val="0"/>
        <w:autoSpaceDE w:val="0"/>
        <w:autoSpaceDN w:val="0"/>
        <w:ind w:left="960" w:hanging="960" w:hangingChars="400"/>
        <w:rPr>
          <w:rFonts w:ascii="宋体" w:hAnsi="宋体"/>
          <w:szCs w:val="24"/>
        </w:rPr>
      </w:pPr>
      <w:r>
        <w:rPr>
          <w:rFonts w:hint="eastAsia" w:ascii="宋体" w:hAnsi="宋体"/>
          <w:szCs w:val="24"/>
        </w:rPr>
        <w:t>信用信息查询记录方式：由采购人或者采购代理机构于本查询截止时点后在查询渠道查询。</w:t>
      </w:r>
    </w:p>
    <w:p>
      <w:pPr>
        <w:numPr>
          <w:ilvl w:val="2"/>
          <w:numId w:val="16"/>
        </w:numPr>
        <w:tabs>
          <w:tab w:val="left" w:pos="945"/>
        </w:tabs>
        <w:wordWrap w:val="0"/>
        <w:autoSpaceDE w:val="0"/>
        <w:autoSpaceDN w:val="0"/>
        <w:ind w:left="960" w:hanging="960" w:hangingChars="400"/>
        <w:rPr>
          <w:rFonts w:ascii="宋体" w:hAnsi="宋体"/>
          <w:szCs w:val="24"/>
        </w:rPr>
      </w:pPr>
      <w:r>
        <w:rPr>
          <w:rFonts w:hint="eastAsia" w:ascii="宋体" w:hAnsi="宋体"/>
          <w:szCs w:val="24"/>
        </w:rPr>
        <w:t>证据留存方式：查询渠道查询结果纸质打印件或网页截屏电子件。</w:t>
      </w:r>
    </w:p>
    <w:p>
      <w:pPr>
        <w:numPr>
          <w:ilvl w:val="2"/>
          <w:numId w:val="16"/>
        </w:numPr>
        <w:tabs>
          <w:tab w:val="left" w:pos="945"/>
        </w:tabs>
        <w:wordWrap w:val="0"/>
        <w:autoSpaceDE w:val="0"/>
        <w:autoSpaceDN w:val="0"/>
        <w:ind w:left="960" w:hanging="960" w:hangingChars="400"/>
        <w:rPr>
          <w:rFonts w:ascii="宋体" w:hAnsi="宋体"/>
          <w:szCs w:val="24"/>
        </w:rPr>
      </w:pPr>
      <w:r>
        <w:rPr>
          <w:rFonts w:hint="eastAsia" w:ascii="宋体" w:hAnsi="宋体"/>
          <w:szCs w:val="24"/>
        </w:rPr>
        <w:t>信用信息的使用规则：采购人或者采购代理机构对供应商信用记录进行甄别，对不符合规定条件的供应商，拒绝其参与政府采购活动。</w:t>
      </w:r>
    </w:p>
    <w:p>
      <w:pPr>
        <w:numPr>
          <w:ilvl w:val="0"/>
          <w:numId w:val="17"/>
        </w:numPr>
        <w:tabs>
          <w:tab w:val="left" w:pos="945"/>
        </w:tabs>
        <w:wordWrap w:val="0"/>
        <w:autoSpaceDE w:val="0"/>
        <w:autoSpaceDN w:val="0"/>
        <w:rPr>
          <w:rFonts w:ascii="宋体" w:hAnsi="宋体"/>
          <w:szCs w:val="24"/>
        </w:rPr>
      </w:pPr>
      <w:r>
        <w:rPr>
          <w:rFonts w:hint="eastAsia" w:ascii="宋体" w:hAnsi="宋体"/>
          <w:szCs w:val="24"/>
        </w:rPr>
        <w:t>联合体成员存在不良信用记录的，视同联合体存在不良信用记录。</w:t>
      </w:r>
    </w:p>
    <w:p>
      <w:pPr>
        <w:numPr>
          <w:ilvl w:val="0"/>
          <w:numId w:val="17"/>
        </w:numPr>
        <w:tabs>
          <w:tab w:val="left" w:pos="945"/>
        </w:tabs>
        <w:wordWrap w:val="0"/>
        <w:autoSpaceDE w:val="0"/>
        <w:autoSpaceDN w:val="0"/>
        <w:rPr>
          <w:rFonts w:ascii="宋体" w:hAnsi="宋体"/>
          <w:szCs w:val="24"/>
        </w:rPr>
      </w:pPr>
      <w:r>
        <w:rPr>
          <w:rFonts w:hint="eastAsia" w:ascii="宋体" w:hAnsi="宋体"/>
          <w:szCs w:val="24"/>
        </w:rPr>
        <w:t>如适用，供应商为分支机构或联合体有成员为分支机构的，同时对该分支机构所属总公司（总所）进行信用记录查询，该分支机构所属总公司（总所）存在不良信用记录的，视同供应商（联合体）存在不良信用记录。</w:t>
      </w:r>
    </w:p>
    <w:p>
      <w:pPr>
        <w:numPr>
          <w:ilvl w:val="0"/>
          <w:numId w:val="17"/>
        </w:numPr>
        <w:tabs>
          <w:tab w:val="left" w:pos="945"/>
        </w:tabs>
        <w:wordWrap w:val="0"/>
        <w:autoSpaceDE w:val="0"/>
        <w:autoSpaceDN w:val="0"/>
        <w:rPr>
          <w:rFonts w:ascii="宋体" w:hAnsi="宋体"/>
          <w:szCs w:val="24"/>
        </w:rPr>
      </w:pPr>
      <w:r>
        <w:rPr>
          <w:rFonts w:hint="eastAsia" w:ascii="宋体" w:hAnsi="宋体"/>
          <w:szCs w:val="24"/>
        </w:rPr>
        <w:t>未查询到信用信息的主体，视为其未被列入记录名单。</w:t>
      </w:r>
    </w:p>
    <w:p>
      <w:pPr>
        <w:numPr>
          <w:ilvl w:val="1"/>
          <w:numId w:val="15"/>
        </w:numPr>
        <w:tabs>
          <w:tab w:val="left" w:pos="945"/>
        </w:tabs>
        <w:wordWrap w:val="0"/>
        <w:autoSpaceDE w:val="0"/>
        <w:autoSpaceDN w:val="0"/>
        <w:ind w:left="960" w:hanging="960" w:hangingChars="400"/>
        <w:rPr>
          <w:rStyle w:val="44"/>
          <w:rFonts w:ascii="宋体" w:hAnsi="宋体"/>
          <w:sz w:val="24"/>
          <w:szCs w:val="24"/>
        </w:rPr>
      </w:pPr>
      <w:r>
        <w:rPr>
          <w:rStyle w:val="44"/>
          <w:rFonts w:hint="eastAsia" w:hAnsi="宋体"/>
          <w:sz w:val="24"/>
          <w:szCs w:val="24"/>
        </w:rPr>
        <w:t>对可接受分支机构磋商的项目，分支机构参加磋商的，须提供分支机构的营业执</w:t>
      </w:r>
      <w:r>
        <w:rPr>
          <w:rStyle w:val="44"/>
          <w:rFonts w:hint="eastAsia"/>
          <w:sz w:val="24"/>
          <w:szCs w:val="24"/>
        </w:rPr>
        <w:t>照（执业许可证）复印件、</w:t>
      </w:r>
      <w:r>
        <w:rPr>
          <w:rFonts w:hint="eastAsia" w:ascii="宋体" w:hAnsi="宋体"/>
          <w:szCs w:val="24"/>
        </w:rPr>
        <w:t>总公司（总所）的营业执照副本复印件</w:t>
      </w:r>
      <w:r>
        <w:rPr>
          <w:rStyle w:val="44"/>
          <w:rFonts w:hint="eastAsia"/>
          <w:sz w:val="24"/>
          <w:szCs w:val="24"/>
        </w:rPr>
        <w:t>及</w:t>
      </w:r>
      <w:r>
        <w:rPr>
          <w:rStyle w:val="44"/>
          <w:rFonts w:hint="eastAsia" w:hAnsi="宋体"/>
          <w:sz w:val="24"/>
          <w:szCs w:val="24"/>
        </w:rPr>
        <w:t>总公司（总所）出具给分支机构的</w:t>
      </w:r>
      <w:r>
        <w:rPr>
          <w:rStyle w:val="44"/>
          <w:rFonts w:hint="eastAsia"/>
          <w:sz w:val="24"/>
          <w:szCs w:val="24"/>
        </w:rPr>
        <w:t>授</w:t>
      </w:r>
      <w:r>
        <w:rPr>
          <w:rStyle w:val="44"/>
          <w:rFonts w:hint="eastAsia" w:hAnsi="宋体"/>
          <w:sz w:val="24"/>
          <w:szCs w:val="24"/>
        </w:rPr>
        <w:t>权书，</w:t>
      </w:r>
      <w:r>
        <w:rPr>
          <w:rStyle w:val="44"/>
          <w:rFonts w:hint="eastAsia" w:hAnsi="宋体"/>
          <w:b/>
          <w:sz w:val="24"/>
          <w:szCs w:val="24"/>
        </w:rPr>
        <w:t>授权书须加盖总公司（总所）公章</w:t>
      </w:r>
      <w:r>
        <w:rPr>
          <w:rStyle w:val="44"/>
          <w:rFonts w:hint="eastAsia" w:hAnsi="宋体"/>
          <w:sz w:val="24"/>
          <w:szCs w:val="24"/>
        </w:rPr>
        <w:t>。总公司（总所）可就本项目或此类项目在一定范围或时间内出具授权书。已由总公司（总所）授权的，总公司（总所）取得的相关资质证书对分支机构有效，法律法规或者行业另有规定的除外。对可接受联合体参加磋商的项目，联合体须满足磋商公告及本部分第13条的规定并提供相关资格、资信证明文件。</w:t>
      </w:r>
    </w:p>
    <w:p>
      <w:pPr>
        <w:numPr>
          <w:ilvl w:val="1"/>
          <w:numId w:val="15"/>
        </w:numPr>
        <w:tabs>
          <w:tab w:val="left" w:pos="945"/>
        </w:tabs>
        <w:wordWrap w:val="0"/>
        <w:autoSpaceDE w:val="0"/>
        <w:autoSpaceDN w:val="0"/>
        <w:ind w:left="960" w:hanging="960" w:hangingChars="400"/>
        <w:rPr>
          <w:rFonts w:ascii="宋体" w:hAnsi="宋体"/>
          <w:szCs w:val="24"/>
        </w:rPr>
      </w:pPr>
      <w:r>
        <w:rPr>
          <w:rFonts w:hint="eastAsia" w:ascii="宋体" w:hAnsi="宋体"/>
          <w:szCs w:val="24"/>
        </w:rPr>
        <w:t>关联企业响应说明</w:t>
      </w:r>
    </w:p>
    <w:p>
      <w:pPr>
        <w:tabs>
          <w:tab w:val="left" w:pos="945"/>
        </w:tabs>
        <w:wordWrap w:val="0"/>
        <w:autoSpaceDE w:val="0"/>
        <w:autoSpaceDN w:val="0"/>
        <w:ind w:left="960" w:leftChars="-400" w:hanging="1920" w:hangingChars="800"/>
        <w:rPr>
          <w:rFonts w:ascii="宋体" w:hAnsi="宋体"/>
          <w:szCs w:val="24"/>
        </w:rPr>
      </w:pPr>
      <w:r>
        <w:rPr>
          <w:rFonts w:hint="eastAsia" w:ascii="宋体" w:hAnsi="宋体"/>
          <w:szCs w:val="24"/>
        </w:rPr>
        <w:t xml:space="preserve">        14.4.1  对于不接受联合体响应的采购项目（采购包）：法定代表人或单位负责人为同一个人或者存在直接控股、管理关系的不同供应商，不得同时参加同一项目或同一采购包的磋商。如同时参加，则其响应将被拒绝。</w:t>
      </w:r>
    </w:p>
    <w:p>
      <w:pPr>
        <w:tabs>
          <w:tab w:val="left" w:pos="945"/>
        </w:tabs>
        <w:wordWrap w:val="0"/>
        <w:autoSpaceDE w:val="0"/>
        <w:autoSpaceDN w:val="0"/>
        <w:ind w:left="960" w:hanging="960" w:hangingChars="400"/>
        <w:rPr>
          <w:rFonts w:ascii="宋体" w:hAnsi="宋体"/>
          <w:szCs w:val="24"/>
        </w:rPr>
      </w:pPr>
      <w:r>
        <w:rPr>
          <w:rFonts w:hint="eastAsia" w:ascii="宋体" w:hAnsi="宋体"/>
          <w:szCs w:val="24"/>
        </w:rPr>
        <w:t>14.4.2</w:t>
      </w:r>
      <w:r>
        <w:rPr>
          <w:rFonts w:hint="eastAsia" w:ascii="宋体" w:hAnsi="宋体"/>
          <w:szCs w:val="24"/>
        </w:rPr>
        <w:tab/>
      </w:r>
      <w:r>
        <w:rPr>
          <w:rFonts w:hint="eastAsia" w:ascii="宋体" w:hAnsi="宋体"/>
          <w:szCs w:val="24"/>
        </w:rPr>
        <w:t>对于接受联合体响应的采购项目（采购包）：除联合体外（但不包括以联合体形式部分预留专门面向中小企业的项目（采购包）），法定代表人或单位负责人为同一个人或者存在直接控股、管理关系的不同供应商，不得同时参加同一项目或同一采购包的磋商。如同时参加，则评审时将同时被拒绝。</w:t>
      </w:r>
    </w:p>
    <w:p>
      <w:pPr>
        <w:numPr>
          <w:ilvl w:val="1"/>
          <w:numId w:val="15"/>
        </w:numPr>
        <w:tabs>
          <w:tab w:val="left" w:pos="945"/>
        </w:tabs>
        <w:wordWrap w:val="0"/>
        <w:autoSpaceDE w:val="0"/>
        <w:autoSpaceDN w:val="0"/>
        <w:ind w:left="960" w:hanging="960" w:hangingChars="400"/>
        <w:rPr>
          <w:rFonts w:ascii="宋体" w:hAnsi="宋体"/>
          <w:szCs w:val="24"/>
        </w:rPr>
      </w:pPr>
      <w:r>
        <w:rPr>
          <w:rFonts w:hint="eastAsia" w:ascii="宋体" w:hAnsi="宋体"/>
          <w:szCs w:val="24"/>
        </w:rPr>
        <w:t>关于中小微企业响应</w:t>
      </w:r>
    </w:p>
    <w:p>
      <w:pPr>
        <w:tabs>
          <w:tab w:val="left" w:pos="945"/>
        </w:tabs>
        <w:wordWrap w:val="0"/>
        <w:autoSpaceDE w:val="0"/>
        <w:autoSpaceDN w:val="0"/>
        <w:ind w:left="960" w:leftChars="400" w:firstLine="480" w:firstLineChars="200"/>
        <w:rPr>
          <w:rFonts w:ascii="宋体" w:hAnsi="宋体"/>
          <w:szCs w:val="24"/>
        </w:rPr>
      </w:pPr>
      <w:r>
        <w:rPr>
          <w:rFonts w:hint="eastAsia" w:ascii="宋体" w:hAnsi="宋体"/>
          <w:szCs w:val="24"/>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ascii="宋体" w:hAnsi="宋体"/>
          <w:szCs w:val="24"/>
        </w:rPr>
        <w:tab/>
      </w:r>
      <w:r>
        <w:rPr>
          <w:rFonts w:hint="eastAsia" w:ascii="宋体" w:hAnsi="宋体"/>
          <w:szCs w:val="24"/>
        </w:rPr>
        <w:tab/>
      </w:r>
      <w:r>
        <w:rPr>
          <w:rFonts w:hint="eastAsia" w:ascii="宋体" w:hAnsi="宋体"/>
          <w:szCs w:val="24"/>
        </w:rPr>
        <w:t xml:space="preserve"> 中小企业划分见《关于印发中小企业划型标准规定的通知》（工信部联企业〔2011〕300号) 。</w:t>
      </w:r>
    </w:p>
    <w:p>
      <w:pPr>
        <w:tabs>
          <w:tab w:val="left" w:pos="945"/>
        </w:tabs>
        <w:wordWrap w:val="0"/>
        <w:autoSpaceDE w:val="0"/>
        <w:autoSpaceDN w:val="0"/>
        <w:ind w:left="960" w:leftChars="400" w:firstLine="480" w:firstLineChars="200"/>
        <w:rPr>
          <w:rFonts w:ascii="宋体" w:hAnsi="宋体"/>
          <w:szCs w:val="24"/>
        </w:rPr>
      </w:pPr>
      <w:r>
        <w:rPr>
          <w:rFonts w:hint="eastAsia" w:ascii="宋体" w:hAnsi="宋体"/>
          <w:szCs w:val="24"/>
        </w:rPr>
        <w:t>根据《财政部</w:t>
      </w:r>
      <w:r>
        <w:rPr>
          <w:rFonts w:hint="eastAsia" w:ascii="宋体" w:hAnsi="宋体"/>
          <w:szCs w:val="24"/>
        </w:rPr>
        <w:tab/>
      </w:r>
      <w:r>
        <w:rPr>
          <w:rFonts w:hint="eastAsia" w:ascii="宋体" w:hAnsi="宋体"/>
          <w:szCs w:val="24"/>
        </w:rPr>
        <w:tab/>
      </w:r>
      <w:r>
        <w:rPr>
          <w:rFonts w:hint="eastAsia" w:ascii="宋体" w:hAnsi="宋体"/>
          <w:szCs w:val="24"/>
        </w:rPr>
        <w:t xml:space="preserve"> 司法部关于政府采购支持监狱企业发展有关问题的通知》（财库〔2014〕68号），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提供由省级以上监狱管理局、戒毒管理局(含新疆生产建设兵团)出具的属于监狱企业的证明文件，不再提供《中小企业声明函》。</w:t>
      </w:r>
    </w:p>
    <w:p>
      <w:pPr>
        <w:tabs>
          <w:tab w:val="left" w:pos="945"/>
        </w:tabs>
        <w:wordWrap w:val="0"/>
        <w:autoSpaceDE w:val="0"/>
        <w:autoSpaceDN w:val="0"/>
        <w:ind w:left="960" w:leftChars="400" w:firstLine="480" w:firstLineChars="200"/>
        <w:rPr>
          <w:rFonts w:ascii="宋体" w:hAnsi="宋体"/>
          <w:szCs w:val="24"/>
        </w:rPr>
      </w:pPr>
      <w:r>
        <w:rPr>
          <w:rFonts w:hint="eastAsia" w:ascii="宋体" w:hAnsi="宋体"/>
          <w:szCs w:val="24"/>
        </w:rPr>
        <w:t>根据《财政部 民政部</w:t>
      </w:r>
      <w:r>
        <w:rPr>
          <w:rFonts w:hint="eastAsia" w:ascii="宋体" w:hAnsi="宋体"/>
          <w:szCs w:val="24"/>
        </w:rPr>
        <w:tab/>
      </w:r>
      <w:r>
        <w:rPr>
          <w:rFonts w:hint="eastAsia" w:ascii="宋体" w:hAnsi="宋体"/>
          <w:szCs w:val="24"/>
        </w:rPr>
        <w:tab/>
      </w:r>
      <w:r>
        <w:rPr>
          <w:rFonts w:hint="eastAsia" w:ascii="宋体" w:hAnsi="宋体"/>
          <w:szCs w:val="24"/>
        </w:rPr>
        <w:t xml:space="preserve"> 中国残疾人联合会关于促进残疾人就业政府采购政策的通知》（财库〔2017〕141号），在政府采购活动中，残疾人福利性单位视同小型、微型企业，享受政府采购支持政策的残疾人福利性单位应当同时满足《财政部 民政部</w:t>
      </w:r>
      <w:r>
        <w:rPr>
          <w:rFonts w:hint="eastAsia" w:ascii="宋体" w:hAnsi="宋体"/>
          <w:szCs w:val="24"/>
        </w:rPr>
        <w:tab/>
      </w:r>
      <w:r>
        <w:rPr>
          <w:rFonts w:hint="eastAsia" w:ascii="宋体" w:hAnsi="宋体"/>
          <w:szCs w:val="24"/>
        </w:rPr>
        <w:tab/>
      </w:r>
      <w:r>
        <w:rPr>
          <w:rFonts w:hint="eastAsia" w:ascii="宋体" w:hAnsi="宋体"/>
          <w:szCs w:val="24"/>
        </w:rPr>
        <w:t xml:space="preserve">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tabs>
          <w:tab w:val="left" w:pos="945"/>
        </w:tabs>
        <w:wordWrap w:val="0"/>
        <w:autoSpaceDE w:val="0"/>
        <w:autoSpaceDN w:val="0"/>
        <w:ind w:left="960" w:leftChars="400" w:firstLine="480" w:firstLineChars="200"/>
        <w:rPr>
          <w:rFonts w:ascii="宋体" w:hAnsi="宋体"/>
          <w:szCs w:val="24"/>
        </w:rPr>
      </w:pPr>
      <w:r>
        <w:rPr>
          <w:rFonts w:hint="eastAsia" w:ascii="宋体" w:hAnsi="宋体"/>
          <w:szCs w:val="24"/>
        </w:rPr>
        <w:t>对采用预留份额（要求以联合体形式或合同分包形式参加磋商）</w:t>
      </w:r>
      <w:r>
        <w:rPr>
          <w:rFonts w:hint="eastAsia" w:ascii="宋体" w:hAnsi="宋体"/>
          <w:iCs/>
          <w:szCs w:val="24"/>
        </w:rPr>
        <w:t>专门面向中小企业采购的项目（采购包），</w:t>
      </w:r>
      <w:r>
        <w:rPr>
          <w:rFonts w:hint="eastAsia" w:ascii="宋体" w:hAnsi="宋体"/>
          <w:szCs w:val="24"/>
        </w:rPr>
        <w:t>响应</w:t>
      </w:r>
      <w:r>
        <w:rPr>
          <w:rFonts w:hint="eastAsia" w:ascii="宋体" w:hAnsi="宋体"/>
          <w:iCs/>
          <w:szCs w:val="24"/>
        </w:rPr>
        <w:t>供应商须满足采购公告的规定并提供《联合协议》或《分包意向协议》等相关资格、资信证明文件。</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49" w:name="_Toc50460152"/>
      <w:bookmarkStart w:id="150" w:name="_Toc56180278"/>
      <w:bookmarkStart w:id="151" w:name="_Toc55398682"/>
      <w:r>
        <w:rPr>
          <w:rFonts w:hint="eastAsia" w:ascii="宋体" w:hAnsi="宋体"/>
          <w:sz w:val="24"/>
          <w:szCs w:val="24"/>
        </w:rPr>
        <w:t>磋商保证金</w:t>
      </w:r>
      <w:bookmarkEnd w:id="149"/>
      <w:r>
        <w:rPr>
          <w:rFonts w:hint="eastAsia" w:ascii="宋体" w:hAnsi="宋体"/>
          <w:sz w:val="24"/>
          <w:szCs w:val="24"/>
        </w:rPr>
        <w:t>（不要求缴纳磋商保证金的项目不适用）</w:t>
      </w:r>
      <w:bookmarkEnd w:id="150"/>
      <w:bookmarkEnd w:id="151"/>
    </w:p>
    <w:p>
      <w:pPr>
        <w:numPr>
          <w:ilvl w:val="1"/>
          <w:numId w:val="18"/>
        </w:numPr>
        <w:tabs>
          <w:tab w:val="left" w:pos="945"/>
        </w:tabs>
        <w:wordWrap w:val="0"/>
        <w:autoSpaceDE w:val="0"/>
        <w:autoSpaceDN w:val="0"/>
        <w:ind w:left="960" w:hanging="960" w:hangingChars="400"/>
        <w:rPr>
          <w:rFonts w:ascii="宋体" w:hAnsi="宋体"/>
          <w:szCs w:val="24"/>
        </w:rPr>
      </w:pPr>
      <w:r>
        <w:rPr>
          <w:rFonts w:hint="eastAsia" w:ascii="宋体" w:hAnsi="宋体"/>
          <w:szCs w:val="24"/>
        </w:rPr>
        <w:t>磋商保证金交纳</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本项目是否要求交纳磋商保证金见《供应商须知前附表》。</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如要求交纳磋商保证金的，供应商（</w:t>
      </w:r>
      <w:r>
        <w:rPr>
          <w:rFonts w:ascii="宋体" w:hAnsi="宋体"/>
          <w:szCs w:val="24"/>
        </w:rPr>
        <w:t>联合体报价</w:t>
      </w:r>
      <w:r>
        <w:rPr>
          <w:rFonts w:hint="eastAsia" w:ascii="宋体" w:hAnsi="宋体"/>
          <w:szCs w:val="24"/>
        </w:rPr>
        <w:t>的</w:t>
      </w:r>
      <w:r>
        <w:rPr>
          <w:rFonts w:ascii="宋体" w:hAnsi="宋体"/>
          <w:szCs w:val="24"/>
        </w:rPr>
        <w:t>，</w:t>
      </w:r>
      <w:r>
        <w:rPr>
          <w:rFonts w:hint="eastAsia" w:ascii="宋体" w:hAnsi="宋体"/>
          <w:szCs w:val="24"/>
        </w:rPr>
        <w:t>为</w:t>
      </w:r>
      <w:r>
        <w:rPr>
          <w:rFonts w:ascii="宋体" w:hAnsi="宋体"/>
          <w:szCs w:val="24"/>
        </w:rPr>
        <w:t>联合体任何</w:t>
      </w:r>
      <w:r>
        <w:rPr>
          <w:rFonts w:hint="eastAsia" w:ascii="宋体" w:hAnsi="宋体"/>
          <w:szCs w:val="24"/>
        </w:rPr>
        <w:t>一方或多方</w:t>
      </w:r>
      <w:r>
        <w:rPr>
          <w:rFonts w:ascii="宋体" w:hAnsi="宋体"/>
          <w:szCs w:val="24"/>
        </w:rPr>
        <w:t>成员</w:t>
      </w:r>
      <w:r>
        <w:rPr>
          <w:rFonts w:hint="eastAsia" w:ascii="宋体" w:hAnsi="宋体"/>
          <w:szCs w:val="24"/>
        </w:rPr>
        <w:t>；要求以合同分包形式报价的，为直接参加报价的供应商）应按磋商文件规定的金额在提交首次响应文件截止时间前缴纳磋商保证金，否则其响应无效。</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磋商保证金退还</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rPr>
        <w:t>采购活动成功的，采购人或者采购代理机构自成交通知书发出之日起5个工作日内,退还未成交</w:t>
      </w:r>
      <w:r>
        <w:rPr>
          <w:rFonts w:hint="eastAsia" w:ascii="宋体" w:hAnsi="宋体"/>
          <w:szCs w:val="24"/>
        </w:rPr>
        <w:t>供应商</w:t>
      </w:r>
      <w:r>
        <w:rPr>
          <w:rFonts w:hint="eastAsia" w:ascii="宋体" w:hAnsi="宋体"/>
        </w:rPr>
        <w:t>的磋商保证金，自政府采购合同签订之日起5个工作日内，退还成交</w:t>
      </w:r>
      <w:r>
        <w:rPr>
          <w:rFonts w:hint="eastAsia" w:ascii="宋体" w:hAnsi="宋体"/>
          <w:szCs w:val="24"/>
        </w:rPr>
        <w:t>供应商</w:t>
      </w:r>
      <w:r>
        <w:rPr>
          <w:rFonts w:hint="eastAsia" w:ascii="宋体" w:hAnsi="宋体"/>
        </w:rPr>
        <w:t>的磋商保证金</w:t>
      </w:r>
      <w:r>
        <w:rPr>
          <w:rFonts w:hint="eastAsia" w:ascii="宋体" w:hAnsi="宋体"/>
          <w:szCs w:val="24"/>
        </w:rPr>
        <w:t>或者转为成交供应商的履约保证金，但因供应商自身原因导致无法及时退还的除外</w:t>
      </w:r>
      <w:r>
        <w:rPr>
          <w:rFonts w:hint="eastAsia" w:ascii="宋体" w:hAnsi="宋体"/>
        </w:rPr>
        <w:t>。</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rPr>
        <w:t>采购失败的，采购人或者采购代理机构自失败通知书发出之日起5个工作日内,退还所收取的磋商保证金</w:t>
      </w:r>
      <w:r>
        <w:rPr>
          <w:rFonts w:hint="eastAsia" w:ascii="宋体" w:hAnsi="宋体"/>
          <w:szCs w:val="24"/>
        </w:rPr>
        <w:t>，但因供应商自身原因导致无法及时退还的除外</w:t>
      </w:r>
      <w:r>
        <w:rPr>
          <w:rFonts w:hint="eastAsia" w:ascii="宋体" w:hAnsi="宋体"/>
        </w:rPr>
        <w:t>。</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采购终止的，采购人或者采购代理机构在终止采购活动后5个工作日内，退还所收取的磋商保证金，但因供应商自身原因导致无法及时退还的除外。</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在提交首次响应文件截止时间前撤回已提交的响应文件的，采购人或者采购代理机构自收到供应商书面撤回通知之日起5个工作日内，退还已收取的磋商保证金，但因供应商自身原因导致无法及时退还的除外。</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已提交响应文件的供应商，在提交最后报价之前，可以根据磋商情况退出磋商，采购人或者采购代理机构应当退还已收取的磋商保证金，但因供应商自身原因导致无法及时退还的除外。</w:t>
      </w:r>
    </w:p>
    <w:p>
      <w:pPr>
        <w:numPr>
          <w:ilvl w:val="1"/>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有下列情形之一的，磋商保证金将不予退还：</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供应商在提交响应文件截止时间后撤回响应文件的；</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供应商在响应文件中提供虚假材料的；</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成交后，无正当理由放弃成交资格；</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ab/>
      </w:r>
      <w:r>
        <w:rPr>
          <w:rFonts w:hint="eastAsia" w:ascii="宋体" w:hAnsi="宋体"/>
          <w:szCs w:val="24"/>
        </w:rPr>
        <w:t>除因不可抗力或磋商文件认可的情形以外，成交供应商不与采购人签订合同的；</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供应商与采购人、其他供应商或者采购代理机构恶意串通的；</w:t>
      </w:r>
    </w:p>
    <w:p>
      <w:pPr>
        <w:numPr>
          <w:ilvl w:val="2"/>
          <w:numId w:val="8"/>
        </w:numPr>
        <w:tabs>
          <w:tab w:val="left" w:pos="945"/>
        </w:tabs>
        <w:wordWrap w:val="0"/>
        <w:autoSpaceDE w:val="0"/>
        <w:autoSpaceDN w:val="0"/>
        <w:ind w:left="960" w:hanging="960" w:hangingChars="400"/>
        <w:rPr>
          <w:rFonts w:ascii="宋体" w:hAnsi="宋体"/>
          <w:szCs w:val="24"/>
        </w:rPr>
      </w:pPr>
      <w:r>
        <w:rPr>
          <w:rFonts w:hint="eastAsia" w:ascii="宋体" w:hAnsi="宋体"/>
          <w:szCs w:val="24"/>
        </w:rPr>
        <w:t>磋商文件规定的其他情形。</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52" w:name="_Toc50460153"/>
      <w:bookmarkStart w:id="153" w:name="_Toc55398683"/>
      <w:bookmarkStart w:id="154" w:name="_Toc56180279"/>
      <w:r>
        <w:rPr>
          <w:rFonts w:hint="eastAsia" w:ascii="宋体" w:hAnsi="宋体"/>
          <w:sz w:val="24"/>
          <w:szCs w:val="24"/>
        </w:rPr>
        <w:t>磋商有效期</w:t>
      </w:r>
      <w:bookmarkEnd w:id="152"/>
      <w:bookmarkEnd w:id="153"/>
      <w:bookmarkEnd w:id="154"/>
    </w:p>
    <w:p>
      <w:pPr>
        <w:numPr>
          <w:ilvl w:val="1"/>
          <w:numId w:val="19"/>
        </w:numPr>
        <w:tabs>
          <w:tab w:val="left" w:pos="945"/>
        </w:tabs>
        <w:wordWrap w:val="0"/>
        <w:autoSpaceDE w:val="0"/>
        <w:autoSpaceDN w:val="0"/>
        <w:ind w:left="960" w:hanging="960" w:hangingChars="400"/>
        <w:rPr>
          <w:rFonts w:ascii="宋体" w:hAnsi="宋体"/>
          <w:szCs w:val="24"/>
        </w:rPr>
      </w:pPr>
      <w:r>
        <w:rPr>
          <w:rFonts w:hint="eastAsia" w:ascii="宋体" w:hAnsi="宋体"/>
          <w:szCs w:val="24"/>
        </w:rPr>
        <w:t>磋商有效期从提交首次响应文件的截止之日起算，本项目磋商有效期见《供应商须知前附表》。供应商在响应文件中承诺的磋商有效期不得少于磋商文件中载明的磋商有效期，否则其</w:t>
      </w:r>
      <w:r>
        <w:rPr>
          <w:rFonts w:hint="eastAsia" w:ascii="宋体" w:hAnsi="宋体"/>
          <w:b/>
          <w:szCs w:val="24"/>
        </w:rPr>
        <w:t>响应无效</w:t>
      </w:r>
      <w:r>
        <w:rPr>
          <w:rFonts w:hint="eastAsia" w:ascii="宋体" w:hAnsi="宋体"/>
          <w:szCs w:val="24"/>
        </w:rPr>
        <w:t>。</w:t>
      </w:r>
    </w:p>
    <w:p>
      <w:pPr>
        <w:numPr>
          <w:ilvl w:val="1"/>
          <w:numId w:val="19"/>
        </w:numPr>
        <w:tabs>
          <w:tab w:val="left" w:pos="945"/>
        </w:tabs>
        <w:wordWrap w:val="0"/>
        <w:autoSpaceDE w:val="0"/>
        <w:autoSpaceDN w:val="0"/>
        <w:ind w:left="960" w:hanging="960" w:hangingChars="400"/>
        <w:rPr>
          <w:rFonts w:ascii="宋体" w:hAnsi="宋体"/>
          <w:szCs w:val="24"/>
        </w:rPr>
      </w:pPr>
      <w:r>
        <w:rPr>
          <w:rFonts w:hint="eastAsia" w:ascii="宋体" w:hAnsi="宋体"/>
          <w:szCs w:val="24"/>
        </w:rPr>
        <w:t>在特殊情况下，采购人或者采购代理机构可在磋商有效期届满前要求供应商延长磋商有效期，上述要求与答复均应以书面形式进行，供应商可以拒绝上述要求，要求交纳磋商保证金的，其磋商保证金</w:t>
      </w:r>
      <w:r>
        <w:rPr>
          <w:rFonts w:hint="eastAsia" w:ascii="宋体" w:hAnsi="宋体" w:cs="宋体"/>
        </w:rPr>
        <w:t>予以退还</w:t>
      </w:r>
      <w:r>
        <w:rPr>
          <w:rFonts w:hint="eastAsia" w:ascii="宋体" w:hAnsi="宋体"/>
          <w:szCs w:val="24"/>
        </w:rPr>
        <w:t>。供应商可以拒绝上述要求，但其响应文件在原磋商有效期期满后将</w:t>
      </w:r>
      <w:r>
        <w:rPr>
          <w:rFonts w:hint="eastAsia" w:ascii="宋体" w:hAnsi="宋体"/>
          <w:b/>
          <w:szCs w:val="24"/>
        </w:rPr>
        <w:t>不再有效</w:t>
      </w:r>
      <w:r>
        <w:rPr>
          <w:rFonts w:hint="eastAsia" w:ascii="宋体" w:hAnsi="宋体"/>
          <w:szCs w:val="24"/>
        </w:rPr>
        <w:t>。供应商同意延长磋商有效期的，供应商根据原截止期前应负之权利及责任相应也延至新的截止期。如本项目要求交纳磋商保证金且供应商采用响应</w:t>
      </w:r>
      <w:r>
        <w:rPr>
          <w:rFonts w:hint="eastAsia" w:ascii="宋体" w:hAnsi="宋体" w:cs="宋体"/>
          <w:kern w:val="0"/>
          <w:szCs w:val="24"/>
        </w:rPr>
        <w:t>保函或担保函或保证保险函</w:t>
      </w:r>
      <w:r>
        <w:rPr>
          <w:rFonts w:hint="eastAsia" w:ascii="宋体" w:hAnsi="宋体"/>
          <w:szCs w:val="24"/>
        </w:rPr>
        <w:t>方式交纳的，供应商应确保相关响应</w:t>
      </w:r>
      <w:r>
        <w:rPr>
          <w:rFonts w:hint="eastAsia" w:ascii="宋体" w:hAnsi="宋体" w:cs="宋体"/>
          <w:kern w:val="0"/>
          <w:szCs w:val="24"/>
        </w:rPr>
        <w:t>保函或担保函或保证保险函</w:t>
      </w:r>
      <w:r>
        <w:rPr>
          <w:rFonts w:hint="eastAsia" w:ascii="宋体" w:hAnsi="宋体"/>
          <w:szCs w:val="24"/>
        </w:rPr>
        <w:t>的保证期覆盖新的磋商有效期或重新按规定交纳磋商保证金。</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55" w:name="_Toc56180280"/>
      <w:bookmarkStart w:id="156" w:name="_Toc22806139"/>
      <w:bookmarkStart w:id="157" w:name="_Toc55398684"/>
      <w:bookmarkStart w:id="158" w:name="_Toc50460154"/>
      <w:r>
        <w:rPr>
          <w:rFonts w:hint="eastAsia" w:ascii="宋体" w:hAnsi="宋体"/>
          <w:sz w:val="24"/>
          <w:szCs w:val="24"/>
        </w:rPr>
        <w:t>响应文件的制作、盖章、签署、数量、密封和标记</w:t>
      </w:r>
      <w:bookmarkEnd w:id="155"/>
      <w:bookmarkEnd w:id="156"/>
      <w:bookmarkEnd w:id="157"/>
      <w:bookmarkEnd w:id="158"/>
    </w:p>
    <w:p>
      <w:pPr>
        <w:numPr>
          <w:ilvl w:val="1"/>
          <w:numId w:val="20"/>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供应商应按规定制作一定数量的纸质版正本和副本响应文件及电子版响应文件，具体数量见《供应商须知前附表》。副本可以采用正本的复印件，若副本与正本不符，以正本为准。</w:t>
      </w:r>
    </w:p>
    <w:p>
      <w:pPr>
        <w:numPr>
          <w:ilvl w:val="1"/>
          <w:numId w:val="20"/>
        </w:numPr>
        <w:tabs>
          <w:tab w:val="left" w:pos="945"/>
        </w:tabs>
        <w:wordWrap w:val="0"/>
        <w:autoSpaceDE w:val="0"/>
        <w:autoSpaceDN w:val="0"/>
        <w:ind w:left="960" w:hanging="960" w:hangingChars="400"/>
        <w:rPr>
          <w:rFonts w:ascii="宋体" w:hAnsi="宋体"/>
          <w:szCs w:val="24"/>
        </w:rPr>
      </w:pPr>
      <w:r>
        <w:rPr>
          <w:rFonts w:hint="eastAsia" w:ascii="宋体" w:hAnsi="宋体"/>
          <w:szCs w:val="24"/>
        </w:rPr>
        <w:t>纸质版响应文件的正本需打印或用不褪色墨水书写，并由法定代表人或经其正式授权的代表根据响应文件格式要求盖章及签字或签章。授权代表须出具书面授权证明，其《法定代表人授权书》应附在响应文件中。响应文件中的任何重要的插字、涂改和增删，必须由法定代表人或经其正式授权的代表在旁边签章或签字才有效。</w:t>
      </w:r>
    </w:p>
    <w:p>
      <w:pPr>
        <w:numPr>
          <w:ilvl w:val="1"/>
          <w:numId w:val="20"/>
        </w:numPr>
        <w:tabs>
          <w:tab w:val="left" w:pos="945"/>
        </w:tabs>
        <w:wordWrap w:val="0"/>
        <w:autoSpaceDE w:val="0"/>
        <w:autoSpaceDN w:val="0"/>
        <w:ind w:left="960" w:hanging="960" w:hangingChars="400"/>
        <w:rPr>
          <w:rFonts w:ascii="宋体" w:hAnsi="宋体"/>
          <w:szCs w:val="24"/>
        </w:rPr>
      </w:pPr>
      <w:r>
        <w:rPr>
          <w:rFonts w:hint="eastAsia" w:ascii="宋体" w:hAnsi="宋体"/>
          <w:szCs w:val="24"/>
        </w:rPr>
        <w:t>电子版响应文件由可编辑版本（文字和表格采用WORD或EXCEL格式，图纸采用DWG格式或PDF格式，图片采用JPG或PNG格式或PDF格式）和扫描版本（采用经盖章、签署后的纸质版正本响应文件的电子扫描件，采用PDF格式）两部分组成，</w:t>
      </w:r>
      <w:r>
        <w:rPr>
          <w:rFonts w:hint="eastAsia" w:ascii="宋体" w:hAnsi="宋体"/>
          <w:b/>
          <w:szCs w:val="24"/>
        </w:rPr>
        <w:t>若有《分项报价明细表》，供应商需在电子文档里另外放入《分项报价明细表》（如有）的 excel 格式文件</w:t>
      </w:r>
      <w:r>
        <w:rPr>
          <w:rFonts w:hint="eastAsia" w:ascii="宋体" w:hAnsi="宋体"/>
          <w:szCs w:val="24"/>
        </w:rPr>
        <w:t>。电子版响应文件的介质媒体为光盘或U盘。所有电子版本文件均不留任何密码，无病毒。</w:t>
      </w:r>
    </w:p>
    <w:p>
      <w:pPr>
        <w:numPr>
          <w:ilvl w:val="1"/>
          <w:numId w:val="20"/>
        </w:numPr>
        <w:tabs>
          <w:tab w:val="left" w:pos="945"/>
        </w:tabs>
        <w:wordWrap w:val="0"/>
        <w:autoSpaceDE w:val="0"/>
        <w:autoSpaceDN w:val="0"/>
        <w:ind w:left="960" w:hanging="960" w:hangingChars="400"/>
        <w:rPr>
          <w:rFonts w:ascii="宋体" w:hAnsi="宋体"/>
          <w:szCs w:val="24"/>
        </w:rPr>
      </w:pPr>
      <w:r>
        <w:rPr>
          <w:rFonts w:hint="eastAsia" w:ascii="宋体" w:hAnsi="宋体"/>
          <w:szCs w:val="24"/>
        </w:rPr>
        <w:t>为方便统计首次报价，供应商应按照《响应文件格式》的要求制作《报价信封》一份并单独密封提交。</w:t>
      </w:r>
    </w:p>
    <w:p>
      <w:pPr>
        <w:numPr>
          <w:ilvl w:val="1"/>
          <w:numId w:val="20"/>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应将纸质响应文件正本和电子版响应文件密封在同一包装内；将纸质响应文件副本密封在一个或多个包装内（建议副本包装数尽可能少）；将报价信封密封在一个包装内。包装封口处应加盖供应商公章。上述包装封面上建议按下列要求标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1" w:type="dxa"/>
          </w:tcPr>
          <w:p>
            <w:pPr>
              <w:wordWrap w:val="0"/>
              <w:autoSpaceDE w:val="0"/>
              <w:autoSpaceDN w:val="0"/>
              <w:jc w:val="center"/>
              <w:rPr>
                <w:rFonts w:ascii="宋体" w:hAnsi="宋体"/>
                <w:szCs w:val="24"/>
              </w:rPr>
            </w:pPr>
            <w:r>
              <w:rPr>
                <w:rFonts w:hint="eastAsia" w:ascii="宋体" w:hAnsi="宋体"/>
                <w:szCs w:val="24"/>
              </w:rPr>
              <w:t>“纸质正本和电子文件”/“纸质副本”/“报价信封”</w:t>
            </w:r>
          </w:p>
          <w:p>
            <w:pPr>
              <w:wordWrap w:val="0"/>
              <w:autoSpaceDE w:val="0"/>
              <w:autoSpaceDN w:val="0"/>
              <w:rPr>
                <w:rFonts w:ascii="宋体" w:hAnsi="宋体"/>
                <w:szCs w:val="24"/>
              </w:rPr>
            </w:pPr>
            <w:r>
              <w:rPr>
                <w:rFonts w:hint="eastAsia" w:ascii="宋体" w:hAnsi="宋体"/>
                <w:szCs w:val="24"/>
              </w:rPr>
              <w:t>采购项目名称：</w:t>
            </w:r>
            <w:r>
              <w:rPr>
                <w:rFonts w:hint="eastAsia" w:ascii="宋体" w:hAnsi="宋体"/>
                <w:i/>
                <w:szCs w:val="24"/>
                <w:u w:val="single"/>
              </w:rPr>
              <w:t>（填写磋商文件《磋商邀请》中写明的项目名称）</w:t>
            </w:r>
          </w:p>
          <w:p>
            <w:pPr>
              <w:wordWrap w:val="0"/>
              <w:autoSpaceDE w:val="0"/>
              <w:autoSpaceDN w:val="0"/>
              <w:rPr>
                <w:rFonts w:ascii="宋体" w:hAnsi="宋体"/>
                <w:szCs w:val="24"/>
              </w:rPr>
            </w:pPr>
            <w:r>
              <w:rPr>
                <w:rFonts w:hint="eastAsia" w:ascii="宋体" w:hAnsi="宋体"/>
                <w:szCs w:val="24"/>
              </w:rPr>
              <w:t>采购文件编号：</w:t>
            </w:r>
            <w:r>
              <w:rPr>
                <w:rFonts w:hint="eastAsia" w:ascii="宋体" w:hAnsi="宋体"/>
                <w:i/>
                <w:szCs w:val="24"/>
                <w:u w:val="single"/>
              </w:rPr>
              <w:t>（填写磋商文件《磋商邀请》中写明的文件编号）</w:t>
            </w:r>
          </w:p>
          <w:p>
            <w:pPr>
              <w:wordWrap w:val="0"/>
              <w:autoSpaceDE w:val="0"/>
              <w:autoSpaceDN w:val="0"/>
              <w:rPr>
                <w:rFonts w:ascii="宋体" w:hAnsi="宋体"/>
                <w:szCs w:val="24"/>
              </w:rPr>
            </w:pPr>
            <w:r>
              <w:rPr>
                <w:rFonts w:hint="eastAsia" w:ascii="宋体" w:hAnsi="宋体"/>
                <w:szCs w:val="24"/>
              </w:rPr>
              <w:t>响应采购包（如有）：</w:t>
            </w:r>
            <w:r>
              <w:rPr>
                <w:rFonts w:hint="eastAsia" w:ascii="宋体" w:hAnsi="宋体"/>
                <w:i/>
                <w:szCs w:val="24"/>
                <w:u w:val="single"/>
              </w:rPr>
              <w:t>（填写磋商文件《磋商邀请》中写明的采购包编号）</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供应商名称：（请填写名称并加盖公章）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供应商地址：</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供应商法定代表人或其授权委托人姓名、联系电话：</w:t>
            </w:r>
            <w:r>
              <w:rPr>
                <w:rFonts w:hint="eastAsia" w:ascii="宋体" w:hAnsi="宋体"/>
                <w:szCs w:val="24"/>
                <w:u w:val="single"/>
              </w:rPr>
              <w:t xml:space="preserve">     </w:t>
            </w:r>
          </w:p>
          <w:p>
            <w:pPr>
              <w:wordWrap w:val="0"/>
              <w:autoSpaceDE w:val="0"/>
              <w:autoSpaceDN w:val="0"/>
              <w:jc w:val="center"/>
              <w:rPr>
                <w:rFonts w:ascii="宋体" w:hAnsi="宋体"/>
                <w:szCs w:val="24"/>
              </w:rPr>
            </w:pPr>
            <w:r>
              <w:rPr>
                <w:rFonts w:hint="eastAsia" w:ascii="宋体" w:hAnsi="宋体"/>
                <w:szCs w:val="24"/>
              </w:rPr>
              <w:t>在（填写</w:t>
            </w:r>
            <w:r>
              <w:rPr>
                <w:rFonts w:hint="eastAsia" w:ascii="宋体" w:hAnsi="宋体"/>
                <w:i/>
                <w:szCs w:val="24"/>
                <w:u w:val="single"/>
              </w:rPr>
              <w:t>《磋商邀请》中规定的</w:t>
            </w:r>
            <w:r>
              <w:rPr>
                <w:rFonts w:ascii="宋体" w:hAnsi="宋体"/>
                <w:i/>
                <w:szCs w:val="24"/>
                <w:u w:val="single"/>
              </w:rPr>
              <w:t>提交首次响应文件时点</w:t>
            </w:r>
            <w:r>
              <w:rPr>
                <w:rFonts w:hint="eastAsia" w:ascii="宋体" w:hAnsi="宋体"/>
                <w:i/>
                <w:szCs w:val="24"/>
                <w:u w:val="single"/>
              </w:rPr>
              <w:t>，如有澄清/修改/更正，请按澄清/修改/更正的时间填写）</w:t>
            </w:r>
            <w:r>
              <w:rPr>
                <w:rFonts w:hint="eastAsia" w:ascii="宋体" w:hAnsi="宋体"/>
                <w:szCs w:val="24"/>
              </w:rPr>
              <w:t>之前不得启封</w:t>
            </w:r>
          </w:p>
        </w:tc>
      </w:tr>
    </w:tbl>
    <w:p>
      <w:pPr>
        <w:numPr>
          <w:ilvl w:val="1"/>
          <w:numId w:val="20"/>
        </w:numPr>
        <w:tabs>
          <w:tab w:val="left" w:pos="945"/>
        </w:tabs>
        <w:wordWrap w:val="0"/>
        <w:autoSpaceDE w:val="0"/>
        <w:autoSpaceDN w:val="0"/>
        <w:ind w:left="960" w:hanging="960" w:hangingChars="400"/>
        <w:rPr>
          <w:rFonts w:ascii="宋体" w:hAnsi="宋体"/>
          <w:szCs w:val="24"/>
        </w:rPr>
      </w:pPr>
      <w:r>
        <w:rPr>
          <w:rFonts w:hint="eastAsia" w:ascii="宋体" w:hAnsi="宋体"/>
          <w:szCs w:val="24"/>
        </w:rPr>
        <w:t>凡磋商文件及响应文件格式中要求供应商盖章及供应商提供的相关（证明）材料的复印件，除自然人供应商可以由自然人签字或签章外，其他形式的法人供应商均应加盖供应商法人公章（法人最高效力的印章）。凡响应文件格式中要求供应商法定代表人和其授权代表签字的，均应由相应人员亲笔签字；凡响应文件格式中要求供应商法定代表人和其授权代表签章的，均应由相应人员亲笔签字或加盖其私章或签字章。</w:t>
      </w:r>
    </w:p>
    <w:p>
      <w:pPr>
        <w:tabs>
          <w:tab w:val="left" w:pos="945"/>
        </w:tabs>
        <w:wordWrap w:val="0"/>
        <w:autoSpaceDE w:val="0"/>
        <w:autoSpaceDN w:val="0"/>
        <w:ind w:left="960" w:leftChars="400" w:firstLine="480" w:firstLineChars="200"/>
        <w:rPr>
          <w:rFonts w:ascii="宋体" w:hAnsi="宋体"/>
          <w:szCs w:val="24"/>
        </w:rPr>
      </w:pPr>
      <w:r>
        <w:rPr>
          <w:rFonts w:hint="eastAsia" w:ascii="宋体" w:hAnsi="宋体"/>
          <w:szCs w:val="24"/>
        </w:rPr>
        <w:t>除非《磋商邀请》或《供应商须知前附表》有特别约定（如非分支机构响应的项目但允许分支机构印章代替的，须在响应文件中附供应商授权盖章声明内容，并明确加盖其分支机构印章部分与供应商自身印章具有同等法律效力，其造成的一切责任和后果均由供应商承担），否则不得采用供应商分支机构的印章代替。</w:t>
      </w:r>
    </w:p>
    <w:p>
      <w:pPr>
        <w:tabs>
          <w:tab w:val="left" w:pos="945"/>
        </w:tabs>
        <w:wordWrap w:val="0"/>
        <w:autoSpaceDE w:val="0"/>
        <w:autoSpaceDN w:val="0"/>
        <w:ind w:left="960" w:leftChars="400" w:firstLine="480" w:firstLineChars="200"/>
        <w:rPr>
          <w:rStyle w:val="44"/>
          <w:rFonts w:hAnsi="宋体"/>
          <w:sz w:val="24"/>
          <w:szCs w:val="24"/>
        </w:rPr>
      </w:pPr>
      <w:r>
        <w:rPr>
          <w:rStyle w:val="44"/>
          <w:rFonts w:hint="eastAsia" w:hAnsi="宋体"/>
          <w:sz w:val="24"/>
          <w:szCs w:val="24"/>
        </w:rPr>
        <w:t>对可接受分支机构磋商的项目（采购包），分支机构参加磋商的，除</w:t>
      </w:r>
      <w:r>
        <w:rPr>
          <w:rFonts w:hint="eastAsia" w:ascii="宋体" w:hAnsi="宋体"/>
          <w:szCs w:val="24"/>
        </w:rPr>
        <w:t>有特别说明的响应文件格式外</w:t>
      </w:r>
      <w:r>
        <w:rPr>
          <w:rStyle w:val="44"/>
          <w:rFonts w:hint="eastAsia" w:hAnsi="宋体"/>
          <w:sz w:val="24"/>
          <w:szCs w:val="24"/>
        </w:rPr>
        <w:t>，报价文件可以采用总公司（总所）或</w:t>
      </w:r>
      <w:r>
        <w:rPr>
          <w:rFonts w:hint="eastAsia" w:ascii="宋体" w:hAnsi="宋体"/>
          <w:szCs w:val="24"/>
        </w:rPr>
        <w:t>分支机构的印章</w:t>
      </w:r>
      <w:r>
        <w:rPr>
          <w:rStyle w:val="44"/>
          <w:rFonts w:hint="eastAsia" w:hAnsi="宋体"/>
          <w:sz w:val="24"/>
          <w:szCs w:val="24"/>
        </w:rPr>
        <w:t>。</w:t>
      </w:r>
    </w:p>
    <w:p>
      <w:pPr>
        <w:tabs>
          <w:tab w:val="left" w:pos="945"/>
        </w:tabs>
        <w:wordWrap w:val="0"/>
        <w:autoSpaceDE w:val="0"/>
        <w:autoSpaceDN w:val="0"/>
        <w:ind w:left="960" w:leftChars="400" w:firstLine="480" w:firstLineChars="200"/>
        <w:rPr>
          <w:rFonts w:ascii="宋体" w:hAnsi="宋体"/>
          <w:szCs w:val="24"/>
        </w:rPr>
      </w:pPr>
      <w:r>
        <w:rPr>
          <w:rFonts w:hint="eastAsia" w:ascii="宋体" w:hAnsi="宋体"/>
          <w:szCs w:val="24"/>
        </w:rPr>
        <w:t>对采用预留份额（合同分包形式）专门面向中小企业采购的项目（采购包）,除非响应文件格式有特别说明和《供应商须知前附表》另有规定外，接受分包合同的企业（即接受分包方）仅需在《分包意向协议》盖章及签署，其他全部响应文件（包括各方提供的自身独立的证明文件，如有）均可以仅由直接参加本项目（采购包）政府采购活动的报价供应商（即分包方）加盖公章及签署（接受分包合同的企业无需盖章及签署）。响应文件中供应商的名称统一表述为“报价供应商的全称”，不需要标注接受分包合同企业的名称。</w:t>
      </w:r>
    </w:p>
    <w:p>
      <w:pPr>
        <w:numPr>
          <w:ilvl w:val="1"/>
          <w:numId w:val="20"/>
        </w:numPr>
        <w:tabs>
          <w:tab w:val="left" w:pos="945"/>
        </w:tabs>
        <w:wordWrap w:val="0"/>
        <w:autoSpaceDE w:val="0"/>
        <w:autoSpaceDN w:val="0"/>
        <w:ind w:left="960" w:hanging="960" w:hangingChars="400"/>
        <w:rPr>
          <w:rFonts w:ascii="宋体" w:hAnsi="宋体"/>
          <w:szCs w:val="24"/>
        </w:rPr>
      </w:pPr>
      <w:r>
        <w:rPr>
          <w:rFonts w:hint="eastAsia" w:ascii="宋体" w:hAnsi="宋体"/>
          <w:szCs w:val="24"/>
        </w:rPr>
        <w:t>不足以造成响应文件可从外包装内散出而导致响应文件泄密的，不认定为响应文件未密封。</w:t>
      </w:r>
    </w:p>
    <w:p>
      <w:pPr>
        <w:numPr>
          <w:ilvl w:val="1"/>
          <w:numId w:val="20"/>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采购代理机构对不可抗力造成的响应文件的损坏、丢失不承担任何责任。</w:t>
      </w:r>
    </w:p>
    <w:p>
      <w:pPr>
        <w:numPr>
          <w:ilvl w:val="1"/>
          <w:numId w:val="20"/>
        </w:numPr>
        <w:tabs>
          <w:tab w:val="left" w:pos="945"/>
        </w:tabs>
        <w:wordWrap w:val="0"/>
        <w:autoSpaceDE w:val="0"/>
        <w:autoSpaceDN w:val="0"/>
        <w:ind w:left="960" w:hanging="960" w:hangingChars="400"/>
        <w:rPr>
          <w:rFonts w:ascii="宋体" w:hAnsi="宋体"/>
          <w:szCs w:val="24"/>
        </w:rPr>
      </w:pPr>
      <w:r>
        <w:rPr>
          <w:rFonts w:hint="eastAsia" w:ascii="宋体" w:hAnsi="宋体"/>
          <w:szCs w:val="24"/>
        </w:rPr>
        <w:t>如果未按要求密封和标记的，采购代理机构对误投或提前启封概不负责。</w:t>
      </w:r>
    </w:p>
    <w:p>
      <w:pPr>
        <w:pStyle w:val="4"/>
        <w:numPr>
          <w:ilvl w:val="0"/>
          <w:numId w:val="7"/>
        </w:numPr>
        <w:tabs>
          <w:tab w:val="left" w:pos="945"/>
        </w:tabs>
        <w:spacing w:before="0" w:after="0" w:line="360" w:lineRule="auto"/>
        <w:ind w:left="0" w:firstLine="0"/>
        <w:rPr>
          <w:rFonts w:ascii="宋体" w:hAnsi="宋体"/>
          <w:sz w:val="28"/>
          <w:szCs w:val="28"/>
        </w:rPr>
      </w:pPr>
      <w:bookmarkStart w:id="159" w:name="_Toc50460155"/>
      <w:bookmarkStart w:id="160" w:name="_Toc56180281"/>
      <w:bookmarkStart w:id="161" w:name="_Toc55398685"/>
      <w:bookmarkStart w:id="162" w:name="_Toc22806140"/>
      <w:r>
        <w:rPr>
          <w:rFonts w:hint="eastAsia" w:ascii="宋体" w:hAnsi="宋体"/>
          <w:sz w:val="28"/>
          <w:szCs w:val="28"/>
        </w:rPr>
        <w:t>响应文件的递交</w:t>
      </w:r>
      <w:bookmarkEnd w:id="159"/>
      <w:bookmarkEnd w:id="160"/>
      <w:bookmarkEnd w:id="161"/>
      <w:bookmarkEnd w:id="162"/>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63" w:name="_Toc56180282"/>
      <w:bookmarkStart w:id="164" w:name="_Toc55398686"/>
      <w:bookmarkStart w:id="165" w:name="_Toc22806141"/>
      <w:bookmarkStart w:id="166" w:name="_Toc50460156"/>
      <w:r>
        <w:rPr>
          <w:rFonts w:hint="eastAsia" w:ascii="宋体" w:hAnsi="宋体"/>
          <w:sz w:val="24"/>
          <w:szCs w:val="24"/>
        </w:rPr>
        <w:t>响应文件提交截止时间</w:t>
      </w:r>
      <w:bookmarkEnd w:id="163"/>
      <w:bookmarkEnd w:id="164"/>
      <w:bookmarkEnd w:id="165"/>
      <w:bookmarkEnd w:id="166"/>
    </w:p>
    <w:p>
      <w:pPr>
        <w:numPr>
          <w:ilvl w:val="1"/>
          <w:numId w:val="21"/>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供应商应当在磋商文件要求提交首次响应文件的截止时间前，将首次响应文件密封送达磋商地点。逾期送达或者密封未完好的响应文件，采购人、采购代理机构予以拒收。</w:t>
      </w:r>
    </w:p>
    <w:p>
      <w:pPr>
        <w:pStyle w:val="5"/>
        <w:numPr>
          <w:ilvl w:val="0"/>
          <w:numId w:val="8"/>
        </w:numPr>
        <w:tabs>
          <w:tab w:val="left" w:pos="945"/>
        </w:tabs>
        <w:spacing w:before="0" w:after="0" w:line="360" w:lineRule="auto"/>
        <w:ind w:left="960" w:hanging="964" w:hangingChars="400"/>
        <w:rPr>
          <w:rFonts w:ascii="宋体" w:hAnsi="宋体"/>
          <w:sz w:val="24"/>
          <w:szCs w:val="24"/>
        </w:rPr>
      </w:pPr>
      <w:bookmarkStart w:id="167" w:name="_Toc56180283"/>
      <w:bookmarkStart w:id="168" w:name="_Toc50460157"/>
      <w:bookmarkStart w:id="169" w:name="_Toc22806142"/>
      <w:bookmarkStart w:id="170" w:name="_Toc55398687"/>
      <w:r>
        <w:rPr>
          <w:rFonts w:hint="eastAsia" w:ascii="宋体" w:hAnsi="宋体"/>
          <w:sz w:val="24"/>
          <w:szCs w:val="24"/>
        </w:rPr>
        <w:t>响应文件的补充、修改和撤回</w:t>
      </w:r>
      <w:bookmarkEnd w:id="167"/>
      <w:bookmarkEnd w:id="168"/>
      <w:bookmarkEnd w:id="169"/>
      <w:bookmarkEnd w:id="170"/>
    </w:p>
    <w:p>
      <w:pPr>
        <w:numPr>
          <w:ilvl w:val="1"/>
          <w:numId w:val="22"/>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在响应文件提交截止时间前，可以对所递交的响应文件进行补充、修改或者撤回，并书面通知采购人或者采购代理机构。补充、修改的内容应当按照磋商文件要求签署、盖章、密封后，作为响应文件的组成部分。在首次响应文件提交截止时间后，供应商不得撤回其响应文件，除磋商期间磋商小组要求外供应商也不得对其响应文件做任何补充、修改。响应供应商在提交最后报价之前可以根据磋商情况退出磋商，但不可撤销其响应文件。</w:t>
      </w:r>
    </w:p>
    <w:p>
      <w:pPr>
        <w:numPr>
          <w:ilvl w:val="1"/>
          <w:numId w:val="22"/>
        </w:numPr>
        <w:tabs>
          <w:tab w:val="left" w:pos="945"/>
        </w:tabs>
        <w:wordWrap w:val="0"/>
        <w:autoSpaceDE w:val="0"/>
        <w:autoSpaceDN w:val="0"/>
        <w:ind w:left="960" w:hanging="960" w:hangingChars="400"/>
        <w:rPr>
          <w:rFonts w:ascii="宋体" w:hAnsi="宋体"/>
          <w:szCs w:val="24"/>
        </w:rPr>
      </w:pPr>
      <w:r>
        <w:rPr>
          <w:rFonts w:hint="eastAsia" w:ascii="宋体" w:hAnsi="宋体"/>
          <w:szCs w:val="24"/>
        </w:rPr>
        <w:tab/>
      </w:r>
      <w:r>
        <w:rPr>
          <w:rFonts w:hint="eastAsia" w:ascii="宋体" w:hAnsi="宋体"/>
          <w:szCs w:val="24"/>
        </w:rPr>
        <w:t>除递交首次响应文件的供应商不足3家的情形外，响应供应商所提交的纸质或电子响应文件在本项目递交响应文件截止时间后均不予退还。</w:t>
      </w:r>
    </w:p>
    <w:p>
      <w:pPr>
        <w:pStyle w:val="4"/>
        <w:numPr>
          <w:ilvl w:val="0"/>
          <w:numId w:val="7"/>
        </w:numPr>
        <w:tabs>
          <w:tab w:val="left" w:pos="945"/>
        </w:tabs>
        <w:spacing w:before="0" w:after="0" w:line="360" w:lineRule="auto"/>
        <w:ind w:left="0" w:firstLine="0"/>
        <w:rPr>
          <w:rFonts w:ascii="宋体" w:hAnsi="宋体"/>
          <w:sz w:val="28"/>
          <w:szCs w:val="28"/>
        </w:rPr>
      </w:pPr>
      <w:bookmarkStart w:id="171" w:name="_Toc22806143"/>
      <w:bookmarkStart w:id="172" w:name="_Toc50460158"/>
      <w:bookmarkStart w:id="173" w:name="_Toc56180284"/>
      <w:bookmarkStart w:id="174" w:name="_Toc55398688"/>
      <w:r>
        <w:rPr>
          <w:rFonts w:hint="eastAsia" w:ascii="宋体" w:hAnsi="宋体"/>
          <w:sz w:val="28"/>
          <w:szCs w:val="28"/>
        </w:rPr>
        <w:t>磋商、评审和成交</w:t>
      </w:r>
      <w:bookmarkEnd w:id="171"/>
      <w:bookmarkEnd w:id="172"/>
      <w:bookmarkEnd w:id="173"/>
      <w:bookmarkEnd w:id="174"/>
    </w:p>
    <w:p>
      <w:pPr>
        <w:tabs>
          <w:tab w:val="left" w:pos="945"/>
        </w:tabs>
        <w:wordWrap w:val="0"/>
        <w:autoSpaceDE w:val="0"/>
        <w:autoSpaceDN w:val="0"/>
        <w:ind w:left="960"/>
        <w:rPr>
          <w:rFonts w:ascii="宋体" w:hAnsi="宋体"/>
          <w:szCs w:val="24"/>
        </w:rPr>
      </w:pPr>
      <w:r>
        <w:rPr>
          <w:rFonts w:hint="eastAsia" w:ascii="宋体" w:hAnsi="宋体"/>
          <w:szCs w:val="24"/>
        </w:rPr>
        <w:t>见磋商文件第四部分《评审办法》</w:t>
      </w:r>
      <w:r>
        <w:rPr>
          <w:rFonts w:hint="eastAsia" w:ascii="宋体" w:hAnsi="宋体"/>
          <w:b/>
          <w:szCs w:val="24"/>
        </w:rPr>
        <w:t>。</w:t>
      </w:r>
    </w:p>
    <w:p>
      <w:pPr>
        <w:pStyle w:val="4"/>
        <w:numPr>
          <w:ilvl w:val="0"/>
          <w:numId w:val="7"/>
        </w:numPr>
        <w:tabs>
          <w:tab w:val="left" w:pos="945"/>
        </w:tabs>
        <w:spacing w:before="0" w:after="0" w:line="360" w:lineRule="auto"/>
        <w:ind w:left="0" w:firstLine="0"/>
        <w:rPr>
          <w:rFonts w:ascii="宋体" w:hAnsi="宋体"/>
          <w:sz w:val="28"/>
          <w:szCs w:val="28"/>
        </w:rPr>
      </w:pPr>
      <w:bookmarkStart w:id="175" w:name="_Toc50460159"/>
      <w:bookmarkStart w:id="176" w:name="_Toc56180285"/>
      <w:bookmarkStart w:id="177" w:name="_Toc22806151"/>
      <w:bookmarkStart w:id="178" w:name="_Toc55398689"/>
      <w:r>
        <w:rPr>
          <w:rFonts w:hint="eastAsia" w:ascii="宋体" w:hAnsi="宋体"/>
          <w:sz w:val="28"/>
          <w:szCs w:val="28"/>
        </w:rPr>
        <w:t>成交和合同</w:t>
      </w:r>
      <w:bookmarkEnd w:id="175"/>
      <w:bookmarkEnd w:id="176"/>
      <w:bookmarkEnd w:id="177"/>
      <w:bookmarkEnd w:id="178"/>
    </w:p>
    <w:p>
      <w:pPr>
        <w:pStyle w:val="5"/>
        <w:numPr>
          <w:ilvl w:val="0"/>
          <w:numId w:val="23"/>
        </w:numPr>
        <w:tabs>
          <w:tab w:val="left" w:pos="945"/>
        </w:tabs>
        <w:spacing w:before="0" w:after="0" w:line="360" w:lineRule="auto"/>
        <w:ind w:left="960" w:hanging="964" w:hangingChars="400"/>
        <w:rPr>
          <w:rFonts w:ascii="宋体" w:hAnsi="宋体"/>
          <w:sz w:val="24"/>
          <w:szCs w:val="24"/>
        </w:rPr>
      </w:pPr>
      <w:bookmarkStart w:id="179" w:name="_Toc50460160"/>
      <w:bookmarkStart w:id="180" w:name="_Toc56180286"/>
      <w:bookmarkStart w:id="181" w:name="_Toc55398690"/>
      <w:bookmarkStart w:id="182" w:name="_Toc22806152"/>
      <w:r>
        <w:rPr>
          <w:rFonts w:hint="eastAsia" w:ascii="宋体" w:hAnsi="宋体"/>
          <w:sz w:val="24"/>
          <w:szCs w:val="24"/>
        </w:rPr>
        <w:t>成交</w:t>
      </w:r>
      <w:bookmarkEnd w:id="179"/>
      <w:bookmarkEnd w:id="180"/>
      <w:bookmarkEnd w:id="181"/>
      <w:bookmarkEnd w:id="182"/>
    </w:p>
    <w:p>
      <w:pPr>
        <w:numPr>
          <w:ilvl w:val="1"/>
          <w:numId w:val="24"/>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采购代理机构在评审结束后2个工作日内将评审报告送采购人。</w:t>
      </w:r>
    </w:p>
    <w:p>
      <w:pPr>
        <w:numPr>
          <w:ilvl w:val="1"/>
          <w:numId w:val="24"/>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采购人应当在收到评审报告后5个工作日内，从评审报告提出的成交候选供应商中，按照排序由高到低的原则确定成交供应商，也可以书面授权磋商小组直接确定成交供应商。</w:t>
      </w:r>
    </w:p>
    <w:p>
      <w:pPr>
        <w:numPr>
          <w:ilvl w:val="1"/>
          <w:numId w:val="24"/>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人或者采购代理机构应当在成交供应商确定后2个工作日内，在省级以上财政部门指定的政府采购信息发布媒体上公告成交结果，成交公告期限为1个工作日。成交公告同时作为采购代理机构通知除成交供应商外的其他响应供应商没有成交的书面形式，采购代理机构可以不再以其它方式另行通知。</w:t>
      </w:r>
    </w:p>
    <w:p>
      <w:pPr>
        <w:numPr>
          <w:ilvl w:val="1"/>
          <w:numId w:val="24"/>
        </w:numPr>
        <w:tabs>
          <w:tab w:val="left" w:pos="945"/>
        </w:tabs>
        <w:wordWrap w:val="0"/>
        <w:autoSpaceDE w:val="0"/>
        <w:autoSpaceDN w:val="0"/>
        <w:ind w:left="960" w:hanging="960" w:hangingChars="400"/>
        <w:rPr>
          <w:rFonts w:ascii="宋体" w:hAnsi="宋体"/>
          <w:szCs w:val="24"/>
        </w:rPr>
      </w:pPr>
      <w:r>
        <w:rPr>
          <w:rFonts w:hint="eastAsia" w:ascii="宋体" w:hAnsi="宋体"/>
          <w:szCs w:val="24"/>
        </w:rPr>
        <w:t>成交通知书发出后，采购人不得违法改变成交结果，成交供应商无正当理由不得放弃成交。</w:t>
      </w:r>
    </w:p>
    <w:p>
      <w:pPr>
        <w:numPr>
          <w:ilvl w:val="1"/>
          <w:numId w:val="24"/>
        </w:numPr>
        <w:tabs>
          <w:tab w:val="left" w:pos="945"/>
        </w:tabs>
        <w:wordWrap w:val="0"/>
        <w:autoSpaceDE w:val="0"/>
        <w:autoSpaceDN w:val="0"/>
        <w:ind w:left="960" w:hanging="960" w:hangingChars="400"/>
        <w:rPr>
          <w:rFonts w:ascii="宋体" w:hAnsi="宋体"/>
          <w:szCs w:val="24"/>
        </w:rPr>
      </w:pPr>
      <w:r>
        <w:rPr>
          <w:rFonts w:hint="eastAsia" w:ascii="宋体" w:hAnsi="宋体"/>
        </w:rPr>
        <w:t>成交供应商拒绝与采购人签订合同的，采购人可以按照第20.2条规定的原则确定其他供应商作为成交供应商并签订政府采购合同，也可以重新开展政府采购活动。拒绝签订政府采购合同的成交供应商不得参加对该项目重新开展的采购活动。</w:t>
      </w:r>
    </w:p>
    <w:p>
      <w:pPr>
        <w:numPr>
          <w:ilvl w:val="1"/>
          <w:numId w:val="24"/>
        </w:numPr>
        <w:tabs>
          <w:tab w:val="left" w:pos="945"/>
        </w:tabs>
        <w:wordWrap w:val="0"/>
        <w:autoSpaceDE w:val="0"/>
        <w:autoSpaceDN w:val="0"/>
        <w:ind w:left="960" w:hanging="960" w:hangingChars="400"/>
        <w:rPr>
          <w:rFonts w:ascii="宋体" w:hAnsi="宋体"/>
          <w:szCs w:val="24"/>
        </w:rPr>
      </w:pPr>
      <w:r>
        <w:rPr>
          <w:rFonts w:hint="eastAsia" w:ascii="宋体" w:hAnsi="宋体"/>
          <w:szCs w:val="24"/>
        </w:rPr>
        <w:t>如本项目约定由成交供应商支付采购代理服务费的，成交供应商应按照磋商文件的约定一次性向采购代理机构缴纳足额采购代理服务费。</w:t>
      </w:r>
    </w:p>
    <w:p>
      <w:pPr>
        <w:pStyle w:val="5"/>
        <w:numPr>
          <w:ilvl w:val="0"/>
          <w:numId w:val="23"/>
        </w:numPr>
        <w:tabs>
          <w:tab w:val="left" w:pos="945"/>
        </w:tabs>
        <w:spacing w:before="0" w:after="0" w:line="360" w:lineRule="auto"/>
        <w:ind w:left="960" w:hanging="964" w:hangingChars="400"/>
        <w:rPr>
          <w:rFonts w:ascii="宋体" w:hAnsi="宋体"/>
          <w:sz w:val="24"/>
          <w:szCs w:val="24"/>
        </w:rPr>
      </w:pPr>
      <w:bookmarkStart w:id="183" w:name="_Toc50460161"/>
      <w:bookmarkStart w:id="184" w:name="_Toc56180287"/>
      <w:bookmarkStart w:id="185" w:name="_Toc22806153"/>
      <w:bookmarkStart w:id="186" w:name="_Toc55398691"/>
      <w:r>
        <w:rPr>
          <w:rFonts w:hint="eastAsia" w:ascii="宋体" w:hAnsi="宋体"/>
          <w:sz w:val="24"/>
          <w:szCs w:val="24"/>
        </w:rPr>
        <w:t>合同的订立</w:t>
      </w:r>
      <w:bookmarkEnd w:id="183"/>
      <w:bookmarkEnd w:id="184"/>
      <w:bookmarkEnd w:id="185"/>
      <w:bookmarkEnd w:id="186"/>
    </w:p>
    <w:p>
      <w:pPr>
        <w:numPr>
          <w:ilvl w:val="1"/>
          <w:numId w:val="25"/>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人与成交供应商应当在成交通知书发出之日起在《供应商须知前附表》规定的期限内，按照磋商文件确定的合同文本以及采购标的、规格型号、采购金额、采购数量、技术和服务要求等事项签订政府采购合同。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pPr>
        <w:numPr>
          <w:ilvl w:val="1"/>
          <w:numId w:val="25"/>
        </w:numPr>
        <w:tabs>
          <w:tab w:val="left" w:pos="945"/>
        </w:tabs>
        <w:wordWrap w:val="0"/>
        <w:autoSpaceDE w:val="0"/>
        <w:autoSpaceDN w:val="0"/>
        <w:ind w:left="960" w:hanging="960" w:hangingChars="400"/>
        <w:rPr>
          <w:rFonts w:ascii="宋体" w:hAnsi="宋体"/>
          <w:szCs w:val="24"/>
        </w:rPr>
      </w:pPr>
      <w:r>
        <w:rPr>
          <w:rFonts w:hint="eastAsia" w:ascii="宋体" w:hAnsi="宋体"/>
        </w:rPr>
        <w:t>采购人应当自政府采购合同签订之日起2个工作日内，将政府采购合同在省级以上人民政府财政部门指定的媒体上公告，但政府采购合同中涉及国家秘密、商业秘密的内容除外</w:t>
      </w:r>
      <w:r>
        <w:rPr>
          <w:rFonts w:hint="eastAsia" w:ascii="宋体" w:hAnsi="宋体"/>
          <w:szCs w:val="24"/>
        </w:rPr>
        <w:t>。（说明：按规定不能在省级人民政府财政部门指定的媒体上发布公告</w:t>
      </w:r>
      <w:r>
        <w:rPr>
          <w:rFonts w:hint="eastAsia" w:ascii="宋体" w:hAnsi="宋体"/>
        </w:rPr>
        <w:t>的</w:t>
      </w:r>
      <w:r>
        <w:rPr>
          <w:rFonts w:hint="eastAsia" w:ascii="宋体" w:hAnsi="宋体"/>
          <w:szCs w:val="24"/>
        </w:rPr>
        <w:t>项目除外）</w:t>
      </w:r>
    </w:p>
    <w:p>
      <w:pPr>
        <w:pStyle w:val="5"/>
        <w:numPr>
          <w:ilvl w:val="0"/>
          <w:numId w:val="23"/>
        </w:numPr>
        <w:tabs>
          <w:tab w:val="left" w:pos="945"/>
        </w:tabs>
        <w:spacing w:before="0" w:after="0" w:line="360" w:lineRule="auto"/>
        <w:ind w:left="960" w:hanging="964" w:hangingChars="400"/>
        <w:rPr>
          <w:rFonts w:ascii="宋体" w:hAnsi="宋体"/>
          <w:sz w:val="24"/>
          <w:szCs w:val="24"/>
        </w:rPr>
      </w:pPr>
      <w:bookmarkStart w:id="187" w:name="_Toc50460162"/>
      <w:bookmarkStart w:id="188" w:name="_Toc56180288"/>
      <w:bookmarkStart w:id="189" w:name="_Toc22806154"/>
      <w:bookmarkStart w:id="190" w:name="_Toc55398692"/>
      <w:r>
        <w:rPr>
          <w:rFonts w:hint="eastAsia" w:ascii="宋体" w:hAnsi="宋体"/>
          <w:sz w:val="24"/>
          <w:szCs w:val="24"/>
        </w:rPr>
        <w:t>履约保证金</w:t>
      </w:r>
      <w:bookmarkEnd w:id="187"/>
      <w:bookmarkEnd w:id="188"/>
      <w:bookmarkEnd w:id="189"/>
      <w:bookmarkEnd w:id="190"/>
    </w:p>
    <w:p>
      <w:pPr>
        <w:numPr>
          <w:ilvl w:val="1"/>
          <w:numId w:val="26"/>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采购人可根据采购合同履行需要，要求成交供应商提交履约保证金。</w:t>
      </w:r>
    </w:p>
    <w:p>
      <w:pPr>
        <w:numPr>
          <w:ilvl w:val="1"/>
          <w:numId w:val="26"/>
        </w:numPr>
        <w:tabs>
          <w:tab w:val="left" w:pos="945"/>
        </w:tabs>
        <w:wordWrap w:val="0"/>
        <w:autoSpaceDE w:val="0"/>
        <w:autoSpaceDN w:val="0"/>
        <w:ind w:left="960" w:hanging="960" w:hangingChars="400"/>
        <w:rPr>
          <w:rFonts w:ascii="宋体" w:hAnsi="宋体"/>
          <w:szCs w:val="24"/>
        </w:rPr>
      </w:pPr>
      <w:r>
        <w:rPr>
          <w:rFonts w:hint="eastAsia" w:ascii="宋体" w:hAnsi="宋体"/>
          <w:szCs w:val="24"/>
        </w:rPr>
        <w:t>履约保证金可以采用银行转账、支票、汇票、本票或者银行保函（或《政府采购履约担保函》）等形式提交。</w:t>
      </w:r>
    </w:p>
    <w:p>
      <w:pPr>
        <w:numPr>
          <w:ilvl w:val="1"/>
          <w:numId w:val="26"/>
        </w:numPr>
        <w:tabs>
          <w:tab w:val="left" w:pos="945"/>
        </w:tabs>
        <w:wordWrap w:val="0"/>
        <w:autoSpaceDE w:val="0"/>
        <w:autoSpaceDN w:val="0"/>
        <w:ind w:left="960" w:hanging="960" w:hangingChars="400"/>
        <w:rPr>
          <w:rFonts w:ascii="宋体" w:hAnsi="宋体"/>
          <w:szCs w:val="24"/>
        </w:rPr>
      </w:pPr>
      <w:r>
        <w:rPr>
          <w:rFonts w:hint="eastAsia" w:ascii="宋体" w:hAnsi="宋体"/>
          <w:szCs w:val="24"/>
        </w:rPr>
        <w:t>履约保证金在成交供应商履行完采购合同主要义务后，采购人按照合同约定原额退还，履约保证金以履约担保函形式提交的，担保责任终止。</w:t>
      </w:r>
    </w:p>
    <w:p>
      <w:pPr>
        <w:pStyle w:val="5"/>
        <w:numPr>
          <w:ilvl w:val="0"/>
          <w:numId w:val="23"/>
        </w:numPr>
        <w:tabs>
          <w:tab w:val="left" w:pos="945"/>
        </w:tabs>
        <w:spacing w:before="0" w:after="0" w:line="360" w:lineRule="auto"/>
        <w:ind w:left="960" w:hanging="964" w:hangingChars="400"/>
        <w:rPr>
          <w:rFonts w:ascii="宋体" w:hAnsi="宋体"/>
          <w:sz w:val="24"/>
          <w:szCs w:val="24"/>
        </w:rPr>
      </w:pPr>
      <w:bookmarkStart w:id="191" w:name="_Toc56180289"/>
      <w:bookmarkStart w:id="192" w:name="_Toc50460163"/>
      <w:bookmarkStart w:id="193" w:name="_Toc22806155"/>
      <w:bookmarkStart w:id="194" w:name="_Toc55398693"/>
      <w:r>
        <w:rPr>
          <w:rFonts w:hint="eastAsia" w:ascii="宋体" w:hAnsi="宋体"/>
          <w:sz w:val="24"/>
          <w:szCs w:val="24"/>
        </w:rPr>
        <w:t>合同的履行</w:t>
      </w:r>
      <w:bookmarkEnd w:id="191"/>
      <w:bookmarkEnd w:id="192"/>
      <w:bookmarkEnd w:id="193"/>
      <w:bookmarkEnd w:id="194"/>
    </w:p>
    <w:p>
      <w:pPr>
        <w:numPr>
          <w:ilvl w:val="1"/>
          <w:numId w:val="27"/>
        </w:numPr>
        <w:tabs>
          <w:tab w:val="left" w:pos="945"/>
        </w:tabs>
        <w:wordWrap w:val="0"/>
        <w:autoSpaceDE w:val="0"/>
        <w:autoSpaceDN w:val="0"/>
        <w:ind w:left="960" w:hanging="960" w:hangingChars="400"/>
        <w:rPr>
          <w:rFonts w:ascii="宋体" w:hAnsi="宋体"/>
          <w:szCs w:val="24"/>
        </w:rPr>
      </w:pPr>
      <w:r>
        <w:rPr>
          <w:rFonts w:hint="eastAsia" w:ascii="宋体" w:hAnsi="宋体"/>
          <w:szCs w:val="24"/>
        </w:rPr>
        <w:t>政府采购合同订立后，合同各方不得擅自变更、中止或者终止合同。政府采购合同需要变更的，采购人应将有关合同变更内容，以书面形式报监管部门备案；因特殊情况需要中止或终止合同的，采购人应将中止或终止合同的理由以及相应措施，以书面形式报监管部门备案。</w:t>
      </w:r>
    </w:p>
    <w:p>
      <w:pPr>
        <w:numPr>
          <w:ilvl w:val="1"/>
          <w:numId w:val="27"/>
        </w:numPr>
        <w:tabs>
          <w:tab w:val="left" w:pos="945"/>
        </w:tabs>
        <w:wordWrap w:val="0"/>
        <w:autoSpaceDE w:val="0"/>
        <w:autoSpaceDN w:val="0"/>
        <w:ind w:left="960" w:hanging="960" w:hangingChars="400"/>
        <w:rPr>
          <w:rFonts w:ascii="宋体" w:hAnsi="宋体"/>
          <w:szCs w:val="24"/>
        </w:rPr>
      </w:pPr>
      <w:r>
        <w:rPr>
          <w:rFonts w:hint="eastAsia" w:ascii="宋体" w:hAnsi="宋体"/>
          <w:szCs w:val="24"/>
        </w:rPr>
        <w:t>政府采购合同履行中，采购人需追加与合同标的相同的货物、工程或者服务的，在不改变合同其他条款的前提下，可以与供应商签订补充合同，但所补充合同的采购金额不得超过原采购金额的10%。依法签订的补充合同，也应在补充合同签订之日起2个工作日内按规定公告。（说明：按规定不能在省级人民政府财政部门指定的媒体上发布公告</w:t>
      </w:r>
      <w:r>
        <w:rPr>
          <w:rFonts w:hint="eastAsia" w:ascii="宋体" w:hAnsi="宋体"/>
        </w:rPr>
        <w:t>的</w:t>
      </w:r>
      <w:r>
        <w:rPr>
          <w:rFonts w:hint="eastAsia" w:ascii="宋体" w:hAnsi="宋体"/>
          <w:szCs w:val="24"/>
        </w:rPr>
        <w:t>项目除外）</w:t>
      </w:r>
    </w:p>
    <w:p>
      <w:pPr>
        <w:pStyle w:val="4"/>
        <w:numPr>
          <w:ilvl w:val="0"/>
          <w:numId w:val="7"/>
        </w:numPr>
        <w:tabs>
          <w:tab w:val="left" w:pos="945"/>
        </w:tabs>
        <w:spacing w:before="0" w:after="0" w:line="360" w:lineRule="auto"/>
        <w:ind w:left="0" w:firstLine="0"/>
        <w:rPr>
          <w:rFonts w:ascii="宋体" w:hAnsi="宋体"/>
          <w:sz w:val="28"/>
          <w:szCs w:val="28"/>
        </w:rPr>
      </w:pPr>
      <w:bookmarkStart w:id="195" w:name="_Toc55398694"/>
      <w:bookmarkStart w:id="196" w:name="_Toc50460164"/>
      <w:bookmarkStart w:id="197" w:name="_Toc22806156"/>
      <w:bookmarkStart w:id="198" w:name="_Toc56180290"/>
      <w:r>
        <w:rPr>
          <w:rFonts w:hint="eastAsia" w:ascii="宋体" w:hAnsi="宋体"/>
          <w:sz w:val="28"/>
          <w:szCs w:val="28"/>
        </w:rPr>
        <w:t>询问、质疑与投诉</w:t>
      </w:r>
      <w:bookmarkEnd w:id="195"/>
      <w:bookmarkEnd w:id="196"/>
      <w:bookmarkEnd w:id="197"/>
      <w:bookmarkEnd w:id="198"/>
    </w:p>
    <w:p>
      <w:pPr>
        <w:pStyle w:val="5"/>
        <w:numPr>
          <w:ilvl w:val="0"/>
          <w:numId w:val="23"/>
        </w:numPr>
        <w:tabs>
          <w:tab w:val="left" w:pos="945"/>
        </w:tabs>
        <w:spacing w:before="0" w:after="0" w:line="360" w:lineRule="auto"/>
        <w:ind w:left="960" w:hanging="964" w:hangingChars="400"/>
        <w:rPr>
          <w:rFonts w:ascii="宋体" w:hAnsi="宋体"/>
          <w:sz w:val="24"/>
          <w:szCs w:val="24"/>
        </w:rPr>
      </w:pPr>
      <w:bookmarkStart w:id="199" w:name="_Toc56180291"/>
      <w:bookmarkStart w:id="200" w:name="_Toc22806157"/>
      <w:bookmarkStart w:id="201" w:name="_Toc50460165"/>
      <w:bookmarkStart w:id="202" w:name="_Toc55398695"/>
      <w:r>
        <w:rPr>
          <w:rFonts w:hint="eastAsia" w:ascii="宋体" w:hAnsi="宋体"/>
          <w:sz w:val="24"/>
          <w:szCs w:val="24"/>
        </w:rPr>
        <w:t>询问</w:t>
      </w:r>
      <w:bookmarkEnd w:id="199"/>
      <w:bookmarkEnd w:id="200"/>
      <w:bookmarkEnd w:id="201"/>
      <w:bookmarkEnd w:id="202"/>
    </w:p>
    <w:p>
      <w:pPr>
        <w:numPr>
          <w:ilvl w:val="1"/>
          <w:numId w:val="28"/>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供应商对政府采购活动事项有疑问的，可以采用口头或书面形式向采购人或者采购代理机构提出询问（具体联系人及联系方式见《磋商邀请》）。</w:t>
      </w:r>
    </w:p>
    <w:p>
      <w:pPr>
        <w:numPr>
          <w:ilvl w:val="1"/>
          <w:numId w:val="28"/>
        </w:numPr>
        <w:tabs>
          <w:tab w:val="left" w:pos="945"/>
        </w:tabs>
        <w:wordWrap w:val="0"/>
        <w:autoSpaceDE w:val="0"/>
        <w:autoSpaceDN w:val="0"/>
        <w:ind w:left="960" w:hanging="960" w:hangingChars="400"/>
        <w:rPr>
          <w:rFonts w:ascii="宋体" w:hAnsi="宋体"/>
          <w:szCs w:val="24"/>
        </w:rPr>
      </w:pPr>
      <w:r>
        <w:rPr>
          <w:rFonts w:hint="eastAsia" w:ascii="宋体" w:hAnsi="宋体"/>
          <w:szCs w:val="24"/>
        </w:rPr>
        <w:t>采购人或者采购代理机构在3个工作日内对供应商依法提出的询问作出答复。答复的内容不得涉及商业秘密。</w:t>
      </w:r>
    </w:p>
    <w:p>
      <w:pPr>
        <w:numPr>
          <w:ilvl w:val="1"/>
          <w:numId w:val="28"/>
        </w:numPr>
        <w:tabs>
          <w:tab w:val="left" w:pos="945"/>
        </w:tabs>
        <w:wordWrap w:val="0"/>
        <w:autoSpaceDE w:val="0"/>
        <w:autoSpaceDN w:val="0"/>
        <w:ind w:left="960" w:hanging="960" w:hangingChars="400"/>
        <w:rPr>
          <w:rFonts w:ascii="宋体" w:hAnsi="宋体"/>
          <w:szCs w:val="24"/>
        </w:rPr>
      </w:pPr>
      <w:r>
        <w:rPr>
          <w:rFonts w:hint="eastAsia" w:ascii="宋体" w:hAnsi="宋体"/>
          <w:szCs w:val="24"/>
        </w:rPr>
        <w:t>具体询问函的格式详见本须知附件</w:t>
      </w:r>
      <w:r>
        <w:rPr>
          <w:rFonts w:hint="eastAsia" w:ascii="宋体" w:hAnsi="宋体"/>
        </w:rPr>
        <w:t>。</w:t>
      </w:r>
    </w:p>
    <w:p>
      <w:pPr>
        <w:pStyle w:val="5"/>
        <w:numPr>
          <w:ilvl w:val="0"/>
          <w:numId w:val="23"/>
        </w:numPr>
        <w:tabs>
          <w:tab w:val="left" w:pos="945"/>
        </w:tabs>
        <w:spacing w:before="0" w:after="0" w:line="360" w:lineRule="auto"/>
        <w:ind w:left="960" w:hanging="964" w:hangingChars="400"/>
        <w:rPr>
          <w:rFonts w:ascii="宋体" w:hAnsi="宋体"/>
          <w:sz w:val="24"/>
          <w:szCs w:val="24"/>
        </w:rPr>
      </w:pPr>
      <w:bookmarkStart w:id="203" w:name="_Toc50460166"/>
      <w:bookmarkStart w:id="204" w:name="_Toc55398696"/>
      <w:bookmarkStart w:id="205" w:name="_Toc56180292"/>
      <w:bookmarkStart w:id="206" w:name="_Toc22806158"/>
      <w:r>
        <w:rPr>
          <w:rFonts w:hint="eastAsia" w:ascii="宋体" w:hAnsi="宋体"/>
          <w:sz w:val="24"/>
          <w:szCs w:val="24"/>
        </w:rPr>
        <w:t>质疑</w:t>
      </w:r>
      <w:bookmarkEnd w:id="203"/>
      <w:bookmarkEnd w:id="204"/>
      <w:bookmarkEnd w:id="205"/>
      <w:bookmarkEnd w:id="206"/>
    </w:p>
    <w:p>
      <w:pPr>
        <w:numPr>
          <w:ilvl w:val="1"/>
          <w:numId w:val="29"/>
        </w:numPr>
        <w:tabs>
          <w:tab w:val="left" w:pos="945"/>
        </w:tabs>
        <w:wordWrap w:val="0"/>
        <w:autoSpaceDE w:val="0"/>
        <w:autoSpaceDN w:val="0"/>
        <w:ind w:left="960" w:hanging="960" w:hangingChars="400"/>
        <w:rPr>
          <w:rFonts w:ascii="宋体" w:hAnsi="宋体"/>
        </w:rPr>
      </w:pPr>
      <w:r>
        <w:rPr>
          <w:rFonts w:hint="eastAsia" w:ascii="宋体" w:hAnsi="宋体"/>
        </w:rPr>
        <w:t>供应商认为磋商文件、采购过程和成交结果使自己的权益受到损害的，可以在知道或者应知其权益受到损害之日起七个工作日内，以书面形式向采购人或者采购代理机构一次性提出针对同一采购程序环节的质疑。供应商应知其权益受到损害之日，是指：</w:t>
      </w:r>
    </w:p>
    <w:p>
      <w:pPr>
        <w:numPr>
          <w:ilvl w:val="2"/>
          <w:numId w:val="30"/>
        </w:numPr>
        <w:tabs>
          <w:tab w:val="left" w:pos="945"/>
        </w:tabs>
        <w:wordWrap w:val="0"/>
        <w:autoSpaceDE w:val="0"/>
        <w:autoSpaceDN w:val="0"/>
        <w:ind w:left="960" w:hanging="960" w:hangingChars="400"/>
        <w:rPr>
          <w:rFonts w:ascii="宋体" w:hAnsi="宋体"/>
        </w:rPr>
      </w:pPr>
      <w:r>
        <w:rPr>
          <w:rFonts w:hint="eastAsia" w:ascii="宋体" w:hAnsi="宋体"/>
        </w:rPr>
        <w:t>对可以</w:t>
      </w:r>
      <w:r>
        <w:rPr>
          <w:rFonts w:hint="eastAsia" w:ascii="宋体" w:hAnsi="宋体"/>
          <w:szCs w:val="24"/>
        </w:rPr>
        <w:t>质疑</w:t>
      </w:r>
      <w:r>
        <w:rPr>
          <w:rFonts w:hint="eastAsia" w:ascii="宋体" w:hAnsi="宋体"/>
        </w:rPr>
        <w:t>的磋商文件提出质疑的，为收到磋商文件之日或者磋商文件公告期限届满之日；</w:t>
      </w:r>
    </w:p>
    <w:p>
      <w:pPr>
        <w:numPr>
          <w:ilvl w:val="2"/>
          <w:numId w:val="30"/>
        </w:numPr>
        <w:tabs>
          <w:tab w:val="left" w:pos="945"/>
        </w:tabs>
        <w:wordWrap w:val="0"/>
        <w:autoSpaceDE w:val="0"/>
        <w:autoSpaceDN w:val="0"/>
        <w:ind w:left="960" w:hanging="960" w:hangingChars="400"/>
        <w:rPr>
          <w:rFonts w:ascii="宋体" w:hAnsi="宋体"/>
        </w:rPr>
      </w:pPr>
      <w:r>
        <w:rPr>
          <w:rFonts w:hint="eastAsia" w:ascii="宋体" w:hAnsi="宋体"/>
        </w:rPr>
        <w:t>对采购过程提出质疑的，为各采购程序环节结束之日；</w:t>
      </w:r>
    </w:p>
    <w:p>
      <w:pPr>
        <w:numPr>
          <w:ilvl w:val="2"/>
          <w:numId w:val="30"/>
        </w:numPr>
        <w:tabs>
          <w:tab w:val="left" w:pos="945"/>
        </w:tabs>
        <w:wordWrap w:val="0"/>
        <w:autoSpaceDE w:val="0"/>
        <w:autoSpaceDN w:val="0"/>
        <w:ind w:left="960" w:hanging="960" w:hangingChars="400"/>
        <w:rPr>
          <w:rFonts w:ascii="宋体" w:hAnsi="宋体"/>
          <w:szCs w:val="24"/>
        </w:rPr>
      </w:pPr>
      <w:r>
        <w:rPr>
          <w:rFonts w:hint="eastAsia" w:ascii="宋体" w:hAnsi="宋体"/>
        </w:rPr>
        <w:t>对成交结果提出质疑的，为成交结果公告期限届满之日。</w:t>
      </w:r>
    </w:p>
    <w:p>
      <w:pPr>
        <w:numPr>
          <w:ilvl w:val="1"/>
          <w:numId w:val="30"/>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供应商提出的质疑超出采购人对采购代理机构委托授权范围的，采购代理机构应当告知供应商向采购人提出。</w:t>
      </w:r>
    </w:p>
    <w:p>
      <w:pPr>
        <w:numPr>
          <w:ilvl w:val="1"/>
          <w:numId w:val="30"/>
        </w:numPr>
        <w:tabs>
          <w:tab w:val="left" w:pos="945"/>
        </w:tabs>
        <w:wordWrap w:val="0"/>
        <w:autoSpaceDE w:val="0"/>
        <w:autoSpaceDN w:val="0"/>
        <w:ind w:left="960" w:hanging="960" w:hangingChars="400"/>
        <w:rPr>
          <w:rFonts w:ascii="宋体" w:hAnsi="宋体"/>
        </w:rPr>
      </w:pPr>
      <w:r>
        <w:rPr>
          <w:rFonts w:hint="eastAsia" w:ascii="宋体" w:hAnsi="宋体"/>
        </w:rPr>
        <w:t>供应商质疑应当提交质疑函且有明确的请求和必要的证明材料。质疑函应当包括下列内容：</w:t>
      </w:r>
    </w:p>
    <w:p>
      <w:pPr>
        <w:numPr>
          <w:ilvl w:val="2"/>
          <w:numId w:val="31"/>
        </w:numPr>
        <w:tabs>
          <w:tab w:val="left" w:pos="945"/>
        </w:tabs>
        <w:wordWrap w:val="0"/>
        <w:autoSpaceDE w:val="0"/>
        <w:autoSpaceDN w:val="0"/>
        <w:ind w:left="960" w:hanging="960" w:hangingChars="400"/>
        <w:rPr>
          <w:rFonts w:ascii="宋体" w:hAnsi="宋体"/>
        </w:rPr>
      </w:pPr>
      <w:r>
        <w:rPr>
          <w:rFonts w:hint="eastAsia" w:ascii="宋体" w:hAnsi="宋体"/>
        </w:rPr>
        <w:t>供应商的姓名或者名称、地址、邮编、联系人及联系电话；</w:t>
      </w:r>
    </w:p>
    <w:p>
      <w:pPr>
        <w:numPr>
          <w:ilvl w:val="2"/>
          <w:numId w:val="31"/>
        </w:numPr>
        <w:tabs>
          <w:tab w:val="left" w:pos="945"/>
        </w:tabs>
        <w:wordWrap w:val="0"/>
        <w:autoSpaceDE w:val="0"/>
        <w:autoSpaceDN w:val="0"/>
        <w:ind w:left="960" w:hanging="960" w:hangingChars="400"/>
        <w:rPr>
          <w:rFonts w:ascii="宋体" w:hAnsi="宋体"/>
        </w:rPr>
      </w:pPr>
      <w:r>
        <w:rPr>
          <w:rFonts w:hint="eastAsia" w:ascii="宋体" w:hAnsi="宋体"/>
        </w:rPr>
        <w:t>质疑项目的名称、编号；</w:t>
      </w:r>
    </w:p>
    <w:p>
      <w:pPr>
        <w:numPr>
          <w:ilvl w:val="2"/>
          <w:numId w:val="31"/>
        </w:numPr>
        <w:tabs>
          <w:tab w:val="left" w:pos="945"/>
        </w:tabs>
        <w:wordWrap w:val="0"/>
        <w:autoSpaceDE w:val="0"/>
        <w:autoSpaceDN w:val="0"/>
        <w:ind w:left="960" w:hanging="960" w:hangingChars="400"/>
        <w:rPr>
          <w:rFonts w:ascii="宋体" w:hAnsi="宋体"/>
        </w:rPr>
      </w:pPr>
      <w:r>
        <w:rPr>
          <w:rFonts w:hint="eastAsia" w:ascii="宋体" w:hAnsi="宋体"/>
        </w:rPr>
        <w:t>具体、明确的质疑事项和与质疑事项相关的请求；</w:t>
      </w:r>
    </w:p>
    <w:p>
      <w:pPr>
        <w:numPr>
          <w:ilvl w:val="2"/>
          <w:numId w:val="31"/>
        </w:numPr>
        <w:tabs>
          <w:tab w:val="left" w:pos="945"/>
        </w:tabs>
        <w:wordWrap w:val="0"/>
        <w:autoSpaceDE w:val="0"/>
        <w:autoSpaceDN w:val="0"/>
        <w:ind w:left="960" w:hanging="960" w:hangingChars="400"/>
        <w:rPr>
          <w:rFonts w:ascii="宋体" w:hAnsi="宋体"/>
        </w:rPr>
      </w:pPr>
      <w:r>
        <w:rPr>
          <w:rFonts w:hint="eastAsia" w:ascii="宋体" w:hAnsi="宋体"/>
        </w:rPr>
        <w:t>事实依据；</w:t>
      </w:r>
    </w:p>
    <w:p>
      <w:pPr>
        <w:numPr>
          <w:ilvl w:val="2"/>
          <w:numId w:val="31"/>
        </w:numPr>
        <w:tabs>
          <w:tab w:val="left" w:pos="945"/>
        </w:tabs>
        <w:wordWrap w:val="0"/>
        <w:autoSpaceDE w:val="0"/>
        <w:autoSpaceDN w:val="0"/>
        <w:ind w:left="960" w:hanging="960" w:hangingChars="400"/>
        <w:rPr>
          <w:rFonts w:ascii="宋体" w:hAnsi="宋体"/>
        </w:rPr>
      </w:pPr>
      <w:r>
        <w:rPr>
          <w:rFonts w:hint="eastAsia" w:ascii="宋体" w:hAnsi="宋体"/>
        </w:rPr>
        <w:t>必要的法律依据；</w:t>
      </w:r>
    </w:p>
    <w:p>
      <w:pPr>
        <w:numPr>
          <w:ilvl w:val="2"/>
          <w:numId w:val="31"/>
        </w:numPr>
        <w:tabs>
          <w:tab w:val="left" w:pos="945"/>
        </w:tabs>
        <w:wordWrap w:val="0"/>
        <w:autoSpaceDE w:val="0"/>
        <w:autoSpaceDN w:val="0"/>
        <w:ind w:left="960" w:hanging="960" w:hangingChars="400"/>
        <w:rPr>
          <w:rFonts w:ascii="宋体" w:hAnsi="宋体"/>
        </w:rPr>
      </w:pPr>
      <w:r>
        <w:rPr>
          <w:rFonts w:hint="eastAsia" w:ascii="宋体" w:hAnsi="宋体"/>
        </w:rPr>
        <w:t>提出质疑的日期。</w:t>
      </w:r>
    </w:p>
    <w:p>
      <w:pPr>
        <w:numPr>
          <w:ilvl w:val="1"/>
          <w:numId w:val="30"/>
        </w:numPr>
        <w:tabs>
          <w:tab w:val="left" w:pos="945"/>
        </w:tabs>
        <w:wordWrap w:val="0"/>
        <w:autoSpaceDE w:val="0"/>
        <w:autoSpaceDN w:val="0"/>
        <w:ind w:left="960" w:hanging="960" w:hangingChars="400"/>
        <w:rPr>
          <w:rFonts w:ascii="宋体" w:hAnsi="宋体"/>
          <w:szCs w:val="24"/>
        </w:rPr>
      </w:pPr>
      <w:r>
        <w:rPr>
          <w:rFonts w:hint="eastAsia" w:ascii="宋体" w:hAnsi="宋体"/>
          <w:szCs w:val="24"/>
        </w:rPr>
        <w:t>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应当提交供应商签署的授权委托书。以联合体形式参加政府采购活动的，其质疑应当由联合体成员委托主体提出。</w:t>
      </w:r>
    </w:p>
    <w:p>
      <w:pPr>
        <w:numPr>
          <w:ilvl w:val="1"/>
          <w:numId w:val="30"/>
        </w:numPr>
        <w:tabs>
          <w:tab w:val="left" w:pos="945"/>
        </w:tabs>
        <w:wordWrap w:val="0"/>
        <w:autoSpaceDE w:val="0"/>
        <w:autoSpaceDN w:val="0"/>
        <w:ind w:left="960" w:hanging="960" w:hangingChars="400"/>
        <w:rPr>
          <w:rFonts w:ascii="宋体" w:hAnsi="宋体"/>
          <w:szCs w:val="24"/>
        </w:rPr>
      </w:pPr>
      <w:r>
        <w:rPr>
          <w:rFonts w:hint="eastAsia" w:ascii="宋体" w:hAnsi="宋体"/>
          <w:szCs w:val="24"/>
        </w:rPr>
        <w:t>接收质疑函的方式、联系部门、联系电话和通讯地址</w:t>
      </w:r>
    </w:p>
    <w:p>
      <w:pPr>
        <w:numPr>
          <w:ilvl w:val="2"/>
          <w:numId w:val="32"/>
        </w:numPr>
        <w:tabs>
          <w:tab w:val="left" w:pos="945"/>
        </w:tabs>
        <w:wordWrap w:val="0"/>
        <w:autoSpaceDE w:val="0"/>
        <w:autoSpaceDN w:val="0"/>
        <w:ind w:left="960" w:hanging="960" w:hangingChars="400"/>
        <w:rPr>
          <w:rFonts w:ascii="宋体" w:hAnsi="宋体"/>
          <w:szCs w:val="24"/>
        </w:rPr>
      </w:pPr>
      <w:r>
        <w:rPr>
          <w:rFonts w:hint="eastAsia" w:ascii="宋体" w:hAnsi="宋体"/>
          <w:szCs w:val="24"/>
        </w:rPr>
        <w:t>接收方式：采购代理机构办公现场当面接收或邮寄接收或《供应商须知前附表》规定的其他接收方式。</w:t>
      </w:r>
    </w:p>
    <w:p>
      <w:pPr>
        <w:numPr>
          <w:ilvl w:val="2"/>
          <w:numId w:val="32"/>
        </w:numPr>
        <w:tabs>
          <w:tab w:val="left" w:pos="945"/>
        </w:tabs>
        <w:wordWrap w:val="0"/>
        <w:autoSpaceDE w:val="0"/>
        <w:autoSpaceDN w:val="0"/>
        <w:ind w:left="960" w:hanging="960" w:hangingChars="400"/>
        <w:rPr>
          <w:rFonts w:ascii="宋体" w:hAnsi="宋体"/>
          <w:szCs w:val="24"/>
        </w:rPr>
      </w:pPr>
      <w:r>
        <w:rPr>
          <w:rFonts w:hint="eastAsia" w:ascii="宋体" w:hAnsi="宋体"/>
          <w:szCs w:val="24"/>
        </w:rPr>
        <w:t>联系部门：总工室</w:t>
      </w:r>
    </w:p>
    <w:p>
      <w:pPr>
        <w:numPr>
          <w:ilvl w:val="2"/>
          <w:numId w:val="32"/>
        </w:numPr>
        <w:tabs>
          <w:tab w:val="left" w:pos="945"/>
        </w:tabs>
        <w:wordWrap w:val="0"/>
        <w:autoSpaceDE w:val="0"/>
        <w:autoSpaceDN w:val="0"/>
        <w:ind w:left="960" w:hanging="960" w:hangingChars="400"/>
        <w:rPr>
          <w:rFonts w:ascii="宋体" w:hAnsi="宋体"/>
          <w:szCs w:val="24"/>
        </w:rPr>
      </w:pPr>
      <w:r>
        <w:rPr>
          <w:rFonts w:hint="eastAsia" w:ascii="宋体" w:hAnsi="宋体"/>
          <w:szCs w:val="24"/>
        </w:rPr>
        <w:t>联系电话：020-83172166-862</w:t>
      </w:r>
    </w:p>
    <w:p>
      <w:pPr>
        <w:numPr>
          <w:ilvl w:val="2"/>
          <w:numId w:val="32"/>
        </w:numPr>
        <w:tabs>
          <w:tab w:val="left" w:pos="945"/>
        </w:tabs>
        <w:wordWrap w:val="0"/>
        <w:autoSpaceDE w:val="0"/>
        <w:autoSpaceDN w:val="0"/>
        <w:ind w:left="960" w:hanging="960" w:hangingChars="400"/>
        <w:rPr>
          <w:rFonts w:ascii="宋体" w:hAnsi="宋体"/>
          <w:szCs w:val="24"/>
        </w:rPr>
      </w:pPr>
      <w:r>
        <w:rPr>
          <w:rFonts w:hint="eastAsia" w:ascii="宋体" w:hAnsi="宋体"/>
          <w:szCs w:val="24"/>
        </w:rPr>
        <w:t>通讯地址：广东省广州市越秀区广仁路1号广仁大厦7楼</w:t>
      </w:r>
    </w:p>
    <w:p>
      <w:pPr>
        <w:numPr>
          <w:ilvl w:val="1"/>
          <w:numId w:val="30"/>
        </w:numPr>
        <w:tabs>
          <w:tab w:val="left" w:pos="945"/>
        </w:tabs>
        <w:wordWrap w:val="0"/>
        <w:autoSpaceDE w:val="0"/>
        <w:autoSpaceDN w:val="0"/>
        <w:ind w:left="960" w:hanging="960" w:hangingChars="400"/>
        <w:rPr>
          <w:rFonts w:ascii="宋体" w:hAnsi="宋体"/>
          <w:szCs w:val="24"/>
        </w:rPr>
      </w:pPr>
      <w:r>
        <w:rPr>
          <w:rFonts w:hint="eastAsia" w:ascii="宋体" w:hAnsi="宋体"/>
        </w:rPr>
        <w:t>采购人或者采购代理机构应当在收到供应商的书面质疑后七个工作日内作出答复，并以书面形式通知质疑供应商和其他有关供应商，但答复的内容不得涉及商业秘密。</w:t>
      </w:r>
    </w:p>
    <w:p>
      <w:pPr>
        <w:numPr>
          <w:ilvl w:val="1"/>
          <w:numId w:val="30"/>
        </w:numPr>
        <w:tabs>
          <w:tab w:val="left" w:pos="945"/>
        </w:tabs>
        <w:wordWrap w:val="0"/>
        <w:autoSpaceDE w:val="0"/>
        <w:autoSpaceDN w:val="0"/>
        <w:ind w:left="960" w:hanging="960" w:hangingChars="400"/>
        <w:rPr>
          <w:rFonts w:ascii="宋体" w:hAnsi="宋体"/>
          <w:szCs w:val="24"/>
        </w:rPr>
      </w:pPr>
      <w:r>
        <w:rPr>
          <w:rFonts w:hint="eastAsia" w:ascii="宋体" w:hAnsi="宋体" w:cs="黑体"/>
          <w:bCs/>
        </w:rPr>
        <w:t>质疑供应商须提供相关证明材料，包括但不限于权益受损害的情况说明及受损害的原因、证据内容等，并对质疑内容的真实性承担责任。供应商捏造事实、提供虚假材料或者以非法手段取得证明材料不能作为质疑的证明材料</w:t>
      </w:r>
      <w:r>
        <w:rPr>
          <w:rFonts w:hint="eastAsia" w:ascii="宋体" w:hAnsi="宋体"/>
          <w:szCs w:val="24"/>
        </w:rPr>
        <w:t>。</w:t>
      </w:r>
    </w:p>
    <w:p>
      <w:pPr>
        <w:numPr>
          <w:ilvl w:val="1"/>
          <w:numId w:val="30"/>
        </w:numPr>
        <w:tabs>
          <w:tab w:val="left" w:pos="945"/>
        </w:tabs>
        <w:wordWrap w:val="0"/>
        <w:autoSpaceDE w:val="0"/>
        <w:autoSpaceDN w:val="0"/>
        <w:ind w:left="960" w:hanging="960" w:hangingChars="400"/>
        <w:rPr>
          <w:rFonts w:ascii="宋体" w:hAnsi="宋体"/>
          <w:szCs w:val="24"/>
        </w:rPr>
      </w:pPr>
      <w:r>
        <w:rPr>
          <w:rFonts w:hint="eastAsia" w:ascii="宋体" w:hAnsi="宋体"/>
          <w:szCs w:val="24"/>
        </w:rPr>
        <w:t>质疑函和投诉书应当使用中文。相关当事人提供外文书证或者外国语视听资料的，应当附有中文译本，由翻译机构盖章或者翻译人员签字。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pPr>
        <w:numPr>
          <w:ilvl w:val="1"/>
          <w:numId w:val="30"/>
        </w:numPr>
        <w:tabs>
          <w:tab w:val="left" w:pos="945"/>
        </w:tabs>
        <w:wordWrap w:val="0"/>
        <w:autoSpaceDE w:val="0"/>
        <w:autoSpaceDN w:val="0"/>
        <w:ind w:left="960" w:hanging="960" w:hangingChars="400"/>
        <w:rPr>
          <w:rFonts w:ascii="宋体" w:hAnsi="宋体"/>
          <w:szCs w:val="24"/>
        </w:rPr>
      </w:pPr>
      <w:r>
        <w:rPr>
          <w:rFonts w:hint="eastAsia" w:ascii="宋体" w:hAnsi="宋体"/>
          <w:szCs w:val="24"/>
        </w:rPr>
        <w:t>对在质疑答复过程中知悉的国家秘密、商业秘密、个人隐私和依法不予公开的信息，采购人、采购代理机构等相关知情人应当保密。</w:t>
      </w:r>
    </w:p>
    <w:p>
      <w:pPr>
        <w:numPr>
          <w:ilvl w:val="1"/>
          <w:numId w:val="30"/>
        </w:numPr>
        <w:tabs>
          <w:tab w:val="left" w:pos="945"/>
        </w:tabs>
        <w:wordWrap w:val="0"/>
        <w:autoSpaceDE w:val="0"/>
        <w:autoSpaceDN w:val="0"/>
        <w:ind w:left="960" w:hanging="960" w:hangingChars="400"/>
        <w:rPr>
          <w:rFonts w:ascii="宋体" w:hAnsi="宋体"/>
          <w:szCs w:val="24"/>
        </w:rPr>
      </w:pPr>
      <w:r>
        <w:rPr>
          <w:rFonts w:hint="eastAsia" w:ascii="宋体" w:hAnsi="宋体"/>
          <w:szCs w:val="24"/>
        </w:rPr>
        <w:t>具体质疑函的格式详见本须知附件。</w:t>
      </w:r>
    </w:p>
    <w:p>
      <w:pPr>
        <w:pStyle w:val="5"/>
        <w:numPr>
          <w:ilvl w:val="0"/>
          <w:numId w:val="23"/>
        </w:numPr>
        <w:tabs>
          <w:tab w:val="left" w:pos="945"/>
        </w:tabs>
        <w:spacing w:before="0" w:after="0" w:line="360" w:lineRule="auto"/>
        <w:ind w:left="960" w:hanging="964" w:hangingChars="400"/>
        <w:rPr>
          <w:rFonts w:ascii="宋体" w:hAnsi="宋体"/>
          <w:sz w:val="24"/>
          <w:szCs w:val="24"/>
        </w:rPr>
      </w:pPr>
      <w:bookmarkStart w:id="207" w:name="_Toc56180293"/>
      <w:bookmarkStart w:id="208" w:name="_Toc50460167"/>
      <w:bookmarkStart w:id="209" w:name="_Toc55398697"/>
      <w:bookmarkStart w:id="210" w:name="_Toc22806159"/>
      <w:r>
        <w:rPr>
          <w:rFonts w:hint="eastAsia" w:ascii="宋体" w:hAnsi="宋体"/>
          <w:sz w:val="24"/>
          <w:szCs w:val="24"/>
        </w:rPr>
        <w:t>投诉</w:t>
      </w:r>
      <w:bookmarkEnd w:id="207"/>
      <w:bookmarkEnd w:id="208"/>
      <w:bookmarkEnd w:id="209"/>
      <w:bookmarkEnd w:id="210"/>
    </w:p>
    <w:p>
      <w:pPr>
        <w:numPr>
          <w:ilvl w:val="1"/>
          <w:numId w:val="33"/>
        </w:numPr>
        <w:tabs>
          <w:tab w:val="left" w:pos="945"/>
        </w:tabs>
        <w:wordWrap w:val="0"/>
        <w:autoSpaceDE w:val="0"/>
        <w:autoSpaceDN w:val="0"/>
        <w:ind w:left="960" w:hanging="960" w:hangingChars="400"/>
        <w:rPr>
          <w:rFonts w:ascii="宋体" w:hAnsi="宋体"/>
          <w:szCs w:val="24"/>
        </w:rPr>
      </w:pPr>
      <w:r>
        <w:rPr>
          <w:rFonts w:hint="eastAsia" w:ascii="宋体" w:hAnsi="宋体"/>
          <w:szCs w:val="24"/>
        </w:rPr>
        <w:t xml:space="preserve">质疑供应商对采购人、采购代理机构的答复不满意或者采购人、采购代理机构未在规定的时间内作出答复的，可以在答复期满后十五个工作日内向同级政府采购监督管理部门投诉。                </w:t>
      </w:r>
    </w:p>
    <w:p>
      <w:pPr>
        <w:numPr>
          <w:ilvl w:val="1"/>
          <w:numId w:val="33"/>
        </w:numPr>
        <w:tabs>
          <w:tab w:val="left" w:pos="945"/>
        </w:tabs>
        <w:wordWrap w:val="0"/>
        <w:autoSpaceDE w:val="0"/>
        <w:autoSpaceDN w:val="0"/>
        <w:ind w:left="960" w:hanging="960" w:hangingChars="400"/>
        <w:rPr>
          <w:rFonts w:ascii="宋体" w:hAnsi="宋体"/>
          <w:szCs w:val="24"/>
        </w:rPr>
      </w:pPr>
      <w:r>
        <w:rPr>
          <w:rFonts w:hint="eastAsia" w:ascii="宋体" w:hAnsi="宋体"/>
          <w:szCs w:val="24"/>
        </w:rPr>
        <w:t>根据《中华人民共和国政府采购法实施条例》（第658号）第七十三条，“供应商捏造事实、提供虚假材料或者以非法手段取得证明材料进行投诉的，由财政部门列入不良行为记录名单，禁止其1至3年内参加政府采购活动。”</w:t>
      </w:r>
    </w:p>
    <w:p>
      <w:pPr>
        <w:pStyle w:val="4"/>
        <w:numPr>
          <w:ilvl w:val="0"/>
          <w:numId w:val="7"/>
        </w:numPr>
        <w:tabs>
          <w:tab w:val="left" w:pos="945"/>
        </w:tabs>
        <w:spacing w:before="0" w:after="0" w:line="360" w:lineRule="auto"/>
        <w:ind w:left="0" w:firstLine="0"/>
        <w:rPr>
          <w:rFonts w:ascii="宋体" w:hAnsi="宋体"/>
          <w:sz w:val="28"/>
          <w:szCs w:val="28"/>
        </w:rPr>
      </w:pPr>
      <w:bookmarkStart w:id="211" w:name="_Toc22806160"/>
      <w:bookmarkStart w:id="212" w:name="_Toc50460168"/>
      <w:bookmarkStart w:id="213" w:name="_Toc55398698"/>
      <w:bookmarkStart w:id="214" w:name="_Toc56180294"/>
      <w:r>
        <w:rPr>
          <w:rFonts w:hint="eastAsia" w:ascii="宋体" w:hAnsi="宋体"/>
          <w:sz w:val="28"/>
          <w:szCs w:val="28"/>
        </w:rPr>
        <w:t>相关法律</w:t>
      </w:r>
      <w:bookmarkEnd w:id="211"/>
      <w:bookmarkEnd w:id="212"/>
      <w:bookmarkEnd w:id="213"/>
      <w:bookmarkEnd w:id="214"/>
    </w:p>
    <w:p>
      <w:pPr>
        <w:pStyle w:val="5"/>
        <w:numPr>
          <w:ilvl w:val="0"/>
          <w:numId w:val="23"/>
        </w:numPr>
        <w:tabs>
          <w:tab w:val="left" w:pos="945"/>
        </w:tabs>
        <w:spacing w:before="0" w:after="0" w:line="360" w:lineRule="auto"/>
        <w:ind w:left="960" w:hanging="964" w:hangingChars="400"/>
        <w:rPr>
          <w:rFonts w:ascii="宋体" w:hAnsi="宋体"/>
          <w:sz w:val="24"/>
          <w:szCs w:val="24"/>
        </w:rPr>
      </w:pPr>
      <w:bookmarkStart w:id="215" w:name="_Toc55398699"/>
      <w:bookmarkStart w:id="216" w:name="_Toc56180295"/>
      <w:bookmarkStart w:id="217" w:name="_Toc22806161"/>
      <w:bookmarkStart w:id="218" w:name="_Toc50460169"/>
      <w:r>
        <w:rPr>
          <w:rFonts w:hint="eastAsia" w:ascii="宋体" w:hAnsi="宋体"/>
          <w:sz w:val="24"/>
          <w:szCs w:val="24"/>
        </w:rPr>
        <w:t>适用法律</w:t>
      </w:r>
      <w:bookmarkEnd w:id="215"/>
      <w:bookmarkEnd w:id="216"/>
      <w:bookmarkEnd w:id="217"/>
      <w:bookmarkEnd w:id="218"/>
    </w:p>
    <w:p>
      <w:pPr>
        <w:numPr>
          <w:ilvl w:val="1"/>
          <w:numId w:val="34"/>
        </w:numPr>
        <w:tabs>
          <w:tab w:val="left" w:pos="945"/>
        </w:tabs>
        <w:wordWrap w:val="0"/>
        <w:autoSpaceDE w:val="0"/>
        <w:autoSpaceDN w:val="0"/>
        <w:ind w:left="960" w:hanging="960" w:hangingChars="400"/>
        <w:rPr>
          <w:rFonts w:ascii="宋体" w:hAnsi="宋体"/>
          <w:szCs w:val="24"/>
        </w:rPr>
      </w:pPr>
      <w:r>
        <w:rPr>
          <w:rFonts w:hint="eastAsia" w:ascii="宋体" w:hAnsi="宋体"/>
          <w:szCs w:val="24"/>
        </w:rPr>
        <w:t>本磋商文件依据《中华人民共和国政府采购法》《中华人民共和国政府采购法实施条例》《政府采购竞争性磋商采购方式管理暂行办法》《政府购买服务管理办法》及其配套的法律、法规、规章制度编制。</w:t>
      </w:r>
    </w:p>
    <w:p>
      <w:pPr>
        <w:pStyle w:val="4"/>
        <w:numPr>
          <w:ilvl w:val="0"/>
          <w:numId w:val="7"/>
        </w:numPr>
        <w:tabs>
          <w:tab w:val="left" w:pos="945"/>
        </w:tabs>
        <w:spacing w:before="0" w:after="0" w:line="360" w:lineRule="auto"/>
        <w:ind w:left="0" w:firstLine="0"/>
        <w:rPr>
          <w:rFonts w:ascii="宋体" w:hAnsi="宋体"/>
          <w:sz w:val="24"/>
        </w:rPr>
      </w:pPr>
      <w:bookmarkStart w:id="219" w:name="_Toc50460170"/>
      <w:bookmarkStart w:id="220" w:name="_Toc56180296"/>
      <w:bookmarkStart w:id="221" w:name="_Toc55398700"/>
      <w:bookmarkStart w:id="222" w:name="_Toc22806163"/>
      <w:r>
        <w:rPr>
          <w:rFonts w:hint="eastAsia" w:ascii="宋体" w:hAnsi="宋体"/>
          <w:sz w:val="28"/>
          <w:szCs w:val="28"/>
        </w:rPr>
        <w:t>其他事项</w:t>
      </w:r>
      <w:bookmarkEnd w:id="219"/>
      <w:bookmarkEnd w:id="220"/>
      <w:bookmarkEnd w:id="221"/>
    </w:p>
    <w:p>
      <w:pPr>
        <w:pStyle w:val="5"/>
        <w:numPr>
          <w:ilvl w:val="0"/>
          <w:numId w:val="23"/>
        </w:numPr>
        <w:tabs>
          <w:tab w:val="left" w:pos="945"/>
        </w:tabs>
        <w:spacing w:before="0" w:after="0" w:line="360" w:lineRule="auto"/>
        <w:ind w:left="960" w:hanging="964" w:hangingChars="400"/>
        <w:rPr>
          <w:rFonts w:ascii="宋体" w:hAnsi="宋体"/>
          <w:sz w:val="24"/>
          <w:szCs w:val="24"/>
        </w:rPr>
      </w:pPr>
      <w:r>
        <w:rPr>
          <w:rFonts w:hint="eastAsia" w:ascii="宋体" w:hAnsi="宋体"/>
          <w:sz w:val="24"/>
          <w:szCs w:val="24"/>
        </w:rPr>
        <w:tab/>
      </w:r>
      <w:bookmarkStart w:id="223" w:name="_Toc56180298"/>
      <w:bookmarkStart w:id="224" w:name="_Toc50460172"/>
      <w:bookmarkStart w:id="225" w:name="_Toc55398702"/>
      <w:r>
        <w:rPr>
          <w:rFonts w:hint="eastAsia" w:ascii="宋体" w:hAnsi="宋体"/>
          <w:sz w:val="24"/>
          <w:szCs w:val="24"/>
        </w:rPr>
        <w:t>需要补充的其他内容</w:t>
      </w:r>
      <w:bookmarkEnd w:id="223"/>
      <w:bookmarkEnd w:id="224"/>
      <w:bookmarkEnd w:id="225"/>
    </w:p>
    <w:p>
      <w:pPr>
        <w:tabs>
          <w:tab w:val="left" w:pos="945"/>
        </w:tabs>
        <w:wordWrap w:val="0"/>
        <w:autoSpaceDE w:val="0"/>
        <w:autoSpaceDN w:val="0"/>
        <w:ind w:left="567" w:firstLine="360" w:firstLineChars="150"/>
        <w:rPr>
          <w:rFonts w:ascii="宋体" w:hAnsi="宋体"/>
        </w:rPr>
      </w:pPr>
      <w:r>
        <w:rPr>
          <w:rFonts w:hint="eastAsia" w:ascii="宋体" w:hAnsi="宋体"/>
        </w:rPr>
        <w:t>见《供应商须知前附表》。</w:t>
      </w:r>
    </w:p>
    <w:bookmarkEnd w:id="222"/>
    <w:p>
      <w:pPr>
        <w:pStyle w:val="4"/>
        <w:numPr>
          <w:ilvl w:val="0"/>
          <w:numId w:val="7"/>
        </w:numPr>
        <w:tabs>
          <w:tab w:val="left" w:pos="945"/>
        </w:tabs>
        <w:spacing w:before="0" w:after="0" w:line="360" w:lineRule="auto"/>
        <w:ind w:left="0" w:firstLine="0"/>
        <w:rPr>
          <w:rFonts w:ascii="宋体" w:hAnsi="宋体"/>
          <w:sz w:val="28"/>
          <w:szCs w:val="28"/>
        </w:rPr>
      </w:pPr>
      <w:bookmarkStart w:id="226" w:name="_Toc50460173"/>
      <w:bookmarkStart w:id="227" w:name="_Toc55398703"/>
      <w:bookmarkStart w:id="228" w:name="_Toc56180299"/>
      <w:r>
        <w:rPr>
          <w:rFonts w:hint="eastAsia" w:ascii="宋体" w:hAnsi="宋体"/>
          <w:sz w:val="28"/>
          <w:szCs w:val="28"/>
        </w:rPr>
        <w:t>附表与附件</w:t>
      </w:r>
      <w:bookmarkEnd w:id="226"/>
      <w:bookmarkEnd w:id="227"/>
      <w:bookmarkEnd w:id="228"/>
    </w:p>
    <w:p>
      <w:pPr>
        <w:pStyle w:val="4"/>
        <w:tabs>
          <w:tab w:val="left" w:pos="945"/>
        </w:tabs>
        <w:spacing w:before="0" w:after="0" w:line="360" w:lineRule="auto"/>
        <w:rPr>
          <w:sz w:val="24"/>
        </w:rPr>
      </w:pPr>
      <w:bookmarkStart w:id="229" w:name="_Toc55398704"/>
      <w:bookmarkStart w:id="230" w:name="_Toc56180300"/>
      <w:bookmarkStart w:id="231" w:name="_Toc50460174"/>
      <w:bookmarkStart w:id="232" w:name="_Toc22806164"/>
      <w:r>
        <w:rPr>
          <w:rFonts w:hint="eastAsia"/>
          <w:sz w:val="24"/>
        </w:rPr>
        <w:t>附件1：供应商提交询问函、质疑函、投诉函的格式</w:t>
      </w:r>
      <w:bookmarkEnd w:id="229"/>
      <w:bookmarkEnd w:id="230"/>
      <w:bookmarkEnd w:id="231"/>
    </w:p>
    <w:p>
      <w:pPr>
        <w:pStyle w:val="5"/>
        <w:numPr>
          <w:ilvl w:val="0"/>
          <w:numId w:val="0"/>
        </w:numPr>
        <w:tabs>
          <w:tab w:val="left" w:pos="945"/>
        </w:tabs>
        <w:spacing w:before="0" w:after="0" w:line="360" w:lineRule="auto"/>
        <w:ind w:left="425" w:hanging="425"/>
        <w:rPr>
          <w:rFonts w:ascii="宋体" w:hAnsi="宋体"/>
          <w:sz w:val="24"/>
          <w:szCs w:val="24"/>
        </w:rPr>
      </w:pPr>
      <w:bookmarkStart w:id="233" w:name="_Toc22806170"/>
      <w:r>
        <w:rPr>
          <w:rFonts w:ascii="宋体" w:hAnsi="宋体"/>
          <w:sz w:val="24"/>
          <w:szCs w:val="24"/>
        </w:rPr>
        <w:br w:type="page"/>
      </w:r>
      <w:bookmarkStart w:id="234" w:name="_Toc55398705"/>
      <w:bookmarkStart w:id="235" w:name="_Toc50460175"/>
      <w:bookmarkStart w:id="236" w:name="_Toc56180301"/>
      <w:r>
        <w:rPr>
          <w:rFonts w:hint="eastAsia" w:ascii="宋体" w:hAnsi="宋体"/>
          <w:sz w:val="24"/>
          <w:szCs w:val="24"/>
        </w:rPr>
        <w:t>格式1：询问函格式</w:t>
      </w:r>
      <w:bookmarkEnd w:id="233"/>
      <w:bookmarkEnd w:id="234"/>
      <w:bookmarkEnd w:id="235"/>
      <w:bookmarkEnd w:id="236"/>
    </w:p>
    <w:p>
      <w:pPr>
        <w:wordWrap w:val="0"/>
        <w:autoSpaceDE w:val="0"/>
        <w:autoSpaceDN w:val="0"/>
        <w:jc w:val="center"/>
        <w:rPr>
          <w:rFonts w:ascii="宋体" w:hAnsi="宋体"/>
          <w:b/>
          <w:szCs w:val="24"/>
        </w:rPr>
      </w:pPr>
      <w:r>
        <w:rPr>
          <w:rFonts w:hint="eastAsia" w:ascii="宋体" w:hAnsi="宋体"/>
          <w:b/>
          <w:szCs w:val="24"/>
        </w:rPr>
        <w:t>询问函</w:t>
      </w:r>
    </w:p>
    <w:p>
      <w:pPr>
        <w:wordWrap w:val="0"/>
        <w:autoSpaceDE w:val="0"/>
        <w:autoSpaceDN w:val="0"/>
        <w:rPr>
          <w:rFonts w:ascii="宋体" w:hAnsi="宋体"/>
          <w:szCs w:val="24"/>
        </w:rPr>
      </w:pPr>
      <w:r>
        <w:rPr>
          <w:rFonts w:hint="eastAsia" w:ascii="宋体" w:hAnsi="宋体"/>
          <w:szCs w:val="24"/>
        </w:rPr>
        <w:t>广东华伦招标有限公司：</w:t>
      </w:r>
    </w:p>
    <w:p>
      <w:pPr>
        <w:wordWrap w:val="0"/>
        <w:autoSpaceDE w:val="0"/>
        <w:autoSpaceDN w:val="0"/>
        <w:ind w:firstLine="480" w:firstLineChars="200"/>
        <w:rPr>
          <w:rFonts w:ascii="宋体" w:hAnsi="宋体"/>
          <w:szCs w:val="24"/>
        </w:rPr>
      </w:pPr>
      <w:r>
        <w:rPr>
          <w:rFonts w:hint="eastAsia" w:ascii="宋体" w:hAnsi="宋体"/>
          <w:szCs w:val="24"/>
        </w:rPr>
        <w:t>我单位已按规定获取磋商文件并准备参与</w:t>
      </w:r>
      <w:r>
        <w:rPr>
          <w:rFonts w:hint="eastAsia" w:ascii="宋体" w:hAnsi="宋体"/>
          <w:i/>
          <w:szCs w:val="24"/>
          <w:u w:val="single"/>
        </w:rPr>
        <w:t>2026-2027年广州白云机场海关南1、2号楼物业管理服务</w:t>
      </w:r>
      <w:r>
        <w:rPr>
          <w:rFonts w:hint="eastAsia" w:ascii="宋体" w:hAnsi="宋体"/>
          <w:szCs w:val="24"/>
        </w:rPr>
        <w:t>（采购文件编号：</w:t>
      </w:r>
      <w:r>
        <w:rPr>
          <w:rFonts w:hint="eastAsia" w:ascii="宋体" w:hAnsi="宋体"/>
          <w:i/>
          <w:szCs w:val="24"/>
          <w:u w:val="single"/>
        </w:rPr>
        <w:t>0809-25401GJC302013801</w:t>
      </w:r>
      <w:r>
        <w:rPr>
          <w:rFonts w:hint="eastAsia" w:ascii="宋体" w:hAnsi="宋体"/>
          <w:szCs w:val="24"/>
        </w:rPr>
        <w:t>）的响应（或报价）活动，现有以下几个内容（或条款）存在疑问（或无法理解），特提出询问。</w:t>
      </w:r>
    </w:p>
    <w:p>
      <w:pPr>
        <w:wordWrap w:val="0"/>
        <w:autoSpaceDE w:val="0"/>
        <w:autoSpaceDN w:val="0"/>
        <w:ind w:firstLine="480" w:firstLineChars="200"/>
        <w:rPr>
          <w:rFonts w:ascii="宋体" w:hAnsi="宋体"/>
          <w:szCs w:val="24"/>
        </w:rPr>
      </w:pPr>
      <w:r>
        <w:rPr>
          <w:rFonts w:hint="eastAsia" w:ascii="宋体" w:hAnsi="宋体"/>
          <w:szCs w:val="24"/>
        </w:rPr>
        <w:t>一、</w:t>
      </w:r>
      <w:r>
        <w:rPr>
          <w:rFonts w:hint="eastAsia" w:ascii="宋体" w:hAnsi="宋体"/>
          <w:szCs w:val="24"/>
          <w:u w:val="single"/>
        </w:rPr>
        <w:t xml:space="preserve">                     </w:t>
      </w:r>
      <w:r>
        <w:rPr>
          <w:rFonts w:hint="eastAsia" w:ascii="宋体" w:hAnsi="宋体"/>
          <w:szCs w:val="24"/>
        </w:rPr>
        <w:t>（事项一）</w:t>
      </w:r>
    </w:p>
    <w:p>
      <w:pPr>
        <w:wordWrap w:val="0"/>
        <w:autoSpaceDE w:val="0"/>
        <w:autoSpaceDN w:val="0"/>
        <w:ind w:firstLine="480" w:firstLineChars="200"/>
        <w:rPr>
          <w:rFonts w:ascii="宋体" w:hAnsi="宋体"/>
          <w:szCs w:val="24"/>
        </w:rPr>
      </w:pPr>
      <w:r>
        <w:rPr>
          <w:rFonts w:hint="eastAsia" w:ascii="宋体" w:hAnsi="宋体"/>
          <w:szCs w:val="24"/>
        </w:rPr>
        <w:t>（1）</w:t>
      </w:r>
      <w:r>
        <w:rPr>
          <w:rFonts w:hint="eastAsia" w:ascii="宋体" w:hAnsi="宋体"/>
          <w:szCs w:val="24"/>
          <w:u w:val="single"/>
        </w:rPr>
        <w:t xml:space="preserve">                    </w:t>
      </w:r>
      <w:r>
        <w:rPr>
          <w:rFonts w:hint="eastAsia" w:ascii="宋体" w:hAnsi="宋体"/>
          <w:szCs w:val="24"/>
        </w:rPr>
        <w:t>（问题或条款内容）</w:t>
      </w:r>
    </w:p>
    <w:p>
      <w:pPr>
        <w:wordWrap w:val="0"/>
        <w:autoSpaceDE w:val="0"/>
        <w:autoSpaceDN w:val="0"/>
        <w:ind w:firstLine="480" w:firstLineChars="200"/>
        <w:rPr>
          <w:rFonts w:ascii="宋体" w:hAnsi="宋体"/>
          <w:szCs w:val="24"/>
        </w:rPr>
      </w:pPr>
      <w:r>
        <w:rPr>
          <w:rFonts w:hint="eastAsia" w:ascii="宋体" w:hAnsi="宋体"/>
          <w:szCs w:val="24"/>
        </w:rPr>
        <w:t>（2）</w:t>
      </w:r>
      <w:r>
        <w:rPr>
          <w:rFonts w:hint="eastAsia" w:ascii="宋体" w:hAnsi="宋体"/>
          <w:szCs w:val="24"/>
          <w:u w:val="single"/>
        </w:rPr>
        <w:t xml:space="preserve">                    </w:t>
      </w:r>
      <w:r>
        <w:rPr>
          <w:rFonts w:hint="eastAsia" w:ascii="宋体" w:hAnsi="宋体"/>
          <w:szCs w:val="24"/>
        </w:rPr>
        <w:t>（说明疑问或无法理解原因）</w:t>
      </w:r>
    </w:p>
    <w:p>
      <w:pPr>
        <w:wordWrap w:val="0"/>
        <w:autoSpaceDE w:val="0"/>
        <w:autoSpaceDN w:val="0"/>
        <w:ind w:firstLine="480" w:firstLineChars="200"/>
        <w:rPr>
          <w:rFonts w:ascii="宋体" w:hAnsi="宋体"/>
          <w:szCs w:val="24"/>
        </w:rPr>
      </w:pPr>
      <w:r>
        <w:rPr>
          <w:rFonts w:hint="eastAsia" w:ascii="宋体" w:hAnsi="宋体"/>
          <w:szCs w:val="24"/>
        </w:rPr>
        <w:t>（3）</w:t>
      </w:r>
      <w:r>
        <w:rPr>
          <w:rFonts w:hint="eastAsia" w:ascii="宋体" w:hAnsi="宋体"/>
          <w:szCs w:val="24"/>
          <w:u w:val="single"/>
        </w:rPr>
        <w:t xml:space="preserve">                    </w:t>
      </w:r>
      <w:r>
        <w:rPr>
          <w:rFonts w:hint="eastAsia" w:ascii="宋体" w:hAnsi="宋体"/>
          <w:szCs w:val="24"/>
        </w:rPr>
        <w:t>（建议）</w:t>
      </w:r>
    </w:p>
    <w:p>
      <w:pPr>
        <w:wordWrap w:val="0"/>
        <w:autoSpaceDE w:val="0"/>
        <w:autoSpaceDN w:val="0"/>
        <w:ind w:firstLine="480" w:firstLineChars="200"/>
        <w:rPr>
          <w:rFonts w:ascii="宋体" w:hAnsi="宋体"/>
          <w:szCs w:val="24"/>
        </w:rPr>
      </w:pPr>
      <w:r>
        <w:rPr>
          <w:rFonts w:hint="eastAsia" w:ascii="宋体" w:hAnsi="宋体"/>
          <w:szCs w:val="24"/>
        </w:rPr>
        <w:t>二、</w:t>
      </w:r>
      <w:r>
        <w:rPr>
          <w:rFonts w:hint="eastAsia" w:ascii="宋体" w:hAnsi="宋体"/>
          <w:szCs w:val="24"/>
          <w:u w:val="single"/>
        </w:rPr>
        <w:t xml:space="preserve">                     </w:t>
      </w:r>
      <w:r>
        <w:rPr>
          <w:rFonts w:hint="eastAsia" w:ascii="宋体" w:hAnsi="宋体"/>
          <w:szCs w:val="24"/>
        </w:rPr>
        <w:t>（事项二）</w:t>
      </w:r>
    </w:p>
    <w:p>
      <w:pPr>
        <w:wordWrap w:val="0"/>
        <w:autoSpaceDE w:val="0"/>
        <w:autoSpaceDN w:val="0"/>
        <w:ind w:firstLine="480" w:firstLineChars="200"/>
        <w:rPr>
          <w:rFonts w:ascii="宋体" w:hAnsi="宋体"/>
          <w:szCs w:val="24"/>
        </w:rPr>
      </w:pPr>
      <w:r>
        <w:rPr>
          <w:rFonts w:hint="eastAsia" w:ascii="宋体" w:hAnsi="宋体"/>
          <w:szCs w:val="24"/>
        </w:rPr>
        <w:t>……</w:t>
      </w:r>
    </w:p>
    <w:p>
      <w:pPr>
        <w:wordWrap w:val="0"/>
        <w:autoSpaceDE w:val="0"/>
        <w:autoSpaceDN w:val="0"/>
        <w:ind w:firstLine="480" w:firstLineChars="200"/>
        <w:rPr>
          <w:rFonts w:ascii="宋体" w:hAnsi="宋体"/>
          <w:szCs w:val="24"/>
        </w:rPr>
      </w:pPr>
      <w:r>
        <w:rPr>
          <w:rFonts w:hint="eastAsia" w:ascii="宋体" w:hAnsi="宋体"/>
          <w:szCs w:val="24"/>
        </w:rPr>
        <w:t>随附相关证明材料如下：（请提供目录）。</w:t>
      </w:r>
    </w:p>
    <w:p>
      <w:pPr>
        <w:wordWrap w:val="0"/>
        <w:autoSpaceDE w:val="0"/>
        <w:autoSpaceDN w:val="0"/>
        <w:rPr>
          <w:rFonts w:ascii="宋体" w:hAnsi="宋体"/>
          <w:szCs w:val="24"/>
        </w:rPr>
      </w:pPr>
    </w:p>
    <w:p>
      <w:pPr>
        <w:wordWrap w:val="0"/>
        <w:autoSpaceDE w:val="0"/>
        <w:autoSpaceDN w:val="0"/>
        <w:ind w:firstLine="4320" w:firstLineChars="1800"/>
        <w:rPr>
          <w:rFonts w:ascii="宋体" w:hAnsi="宋体"/>
          <w:szCs w:val="24"/>
        </w:rPr>
      </w:pPr>
      <w:r>
        <w:rPr>
          <w:rFonts w:hint="eastAsia" w:ascii="宋体" w:hAnsi="宋体"/>
          <w:szCs w:val="24"/>
        </w:rPr>
        <w:t>询问人：（公章）</w:t>
      </w:r>
    </w:p>
    <w:p>
      <w:pPr>
        <w:wordWrap w:val="0"/>
        <w:autoSpaceDE w:val="0"/>
        <w:autoSpaceDN w:val="0"/>
        <w:ind w:firstLine="4320" w:firstLineChars="1800"/>
        <w:rPr>
          <w:rFonts w:ascii="宋体" w:hAnsi="宋体"/>
          <w:szCs w:val="24"/>
        </w:rPr>
      </w:pPr>
      <w:r>
        <w:rPr>
          <w:rFonts w:hint="eastAsia" w:ascii="宋体" w:hAnsi="宋体"/>
          <w:szCs w:val="24"/>
        </w:rPr>
        <w:t>法定代表人（授权代表）：</w:t>
      </w:r>
    </w:p>
    <w:p>
      <w:pPr>
        <w:wordWrap w:val="0"/>
        <w:autoSpaceDE w:val="0"/>
        <w:autoSpaceDN w:val="0"/>
        <w:ind w:firstLine="4320" w:firstLineChars="1800"/>
        <w:rPr>
          <w:rFonts w:ascii="宋体" w:hAnsi="宋体"/>
          <w:szCs w:val="24"/>
        </w:rPr>
      </w:pPr>
      <w:r>
        <w:rPr>
          <w:rFonts w:hint="eastAsia" w:ascii="宋体" w:hAnsi="宋体"/>
          <w:szCs w:val="24"/>
        </w:rPr>
        <w:t>地址/邮编：</w:t>
      </w:r>
    </w:p>
    <w:p>
      <w:pPr>
        <w:wordWrap w:val="0"/>
        <w:autoSpaceDE w:val="0"/>
        <w:autoSpaceDN w:val="0"/>
        <w:ind w:firstLine="4320" w:firstLineChars="1800"/>
        <w:rPr>
          <w:rFonts w:ascii="宋体" w:hAnsi="宋体"/>
          <w:szCs w:val="24"/>
        </w:rPr>
      </w:pPr>
      <w:r>
        <w:rPr>
          <w:rFonts w:hint="eastAsia" w:ascii="宋体" w:hAnsi="宋体"/>
          <w:szCs w:val="24"/>
        </w:rPr>
        <w:t>电话/传真：</w:t>
      </w:r>
    </w:p>
    <w:p>
      <w:pPr>
        <w:wordWrap w:val="0"/>
        <w:autoSpaceDE w:val="0"/>
        <w:autoSpaceDN w:val="0"/>
        <w:ind w:firstLine="4320" w:firstLineChars="1800"/>
        <w:rPr>
          <w:rFonts w:ascii="宋体" w:hAnsi="宋体"/>
          <w:szCs w:val="24"/>
        </w:rPr>
      </w:pPr>
      <w:r>
        <w:rPr>
          <w:rFonts w:hint="eastAsia" w:ascii="宋体" w:hAnsi="宋体"/>
          <w:szCs w:val="24"/>
        </w:rPr>
        <w:t xml:space="preserve">        年  月  日</w:t>
      </w:r>
    </w:p>
    <w:p>
      <w:pPr>
        <w:pStyle w:val="5"/>
        <w:numPr>
          <w:ilvl w:val="0"/>
          <w:numId w:val="0"/>
        </w:numPr>
        <w:tabs>
          <w:tab w:val="left" w:pos="945"/>
        </w:tabs>
        <w:spacing w:before="0" w:after="0" w:line="360" w:lineRule="auto"/>
        <w:ind w:left="425" w:hanging="425"/>
        <w:rPr>
          <w:rFonts w:ascii="宋体" w:hAnsi="宋体"/>
          <w:sz w:val="24"/>
          <w:szCs w:val="24"/>
        </w:rPr>
      </w:pPr>
      <w:r>
        <w:rPr>
          <w:rFonts w:ascii="宋体" w:hAnsi="宋体"/>
          <w:sz w:val="24"/>
          <w:szCs w:val="24"/>
        </w:rPr>
        <w:br w:type="page"/>
      </w:r>
      <w:bookmarkStart w:id="237" w:name="_Toc22806171"/>
      <w:bookmarkStart w:id="238" w:name="_Toc55398706"/>
      <w:bookmarkStart w:id="239" w:name="_Toc56180302"/>
      <w:bookmarkStart w:id="240" w:name="_Toc50460176"/>
      <w:r>
        <w:rPr>
          <w:rFonts w:hint="eastAsia" w:ascii="宋体" w:hAnsi="宋体"/>
          <w:sz w:val="24"/>
          <w:szCs w:val="24"/>
        </w:rPr>
        <w:t>格式2：质疑函格式</w:t>
      </w:r>
      <w:bookmarkEnd w:id="237"/>
      <w:bookmarkEnd w:id="238"/>
      <w:bookmarkEnd w:id="239"/>
      <w:bookmarkEnd w:id="240"/>
    </w:p>
    <w:p>
      <w:pPr>
        <w:wordWrap w:val="0"/>
        <w:autoSpaceDE w:val="0"/>
        <w:autoSpaceDN w:val="0"/>
        <w:jc w:val="center"/>
        <w:rPr>
          <w:rFonts w:ascii="宋体" w:hAnsi="宋体"/>
          <w:b/>
          <w:szCs w:val="24"/>
        </w:rPr>
      </w:pPr>
      <w:r>
        <w:rPr>
          <w:rFonts w:hint="eastAsia" w:ascii="宋体" w:hAnsi="宋体"/>
          <w:b/>
          <w:szCs w:val="24"/>
        </w:rPr>
        <w:t>质疑函</w:t>
      </w:r>
    </w:p>
    <w:p>
      <w:pPr>
        <w:wordWrap w:val="0"/>
        <w:autoSpaceDE w:val="0"/>
        <w:autoSpaceDN w:val="0"/>
        <w:rPr>
          <w:rFonts w:ascii="宋体" w:hAnsi="宋体"/>
          <w:b/>
          <w:szCs w:val="24"/>
        </w:rPr>
      </w:pPr>
      <w:r>
        <w:rPr>
          <w:rFonts w:hint="eastAsia" w:ascii="宋体" w:hAnsi="宋体"/>
          <w:b/>
          <w:szCs w:val="24"/>
        </w:rPr>
        <w:t>一、质疑供应商基本信息</w:t>
      </w:r>
    </w:p>
    <w:p>
      <w:pPr>
        <w:wordWrap w:val="0"/>
        <w:autoSpaceDE w:val="0"/>
        <w:autoSpaceDN w:val="0"/>
        <w:rPr>
          <w:rFonts w:ascii="宋体" w:hAnsi="宋体"/>
          <w:szCs w:val="24"/>
        </w:rPr>
      </w:pPr>
      <w:r>
        <w:rPr>
          <w:rFonts w:hint="eastAsia" w:ascii="宋体" w:hAnsi="宋体"/>
          <w:szCs w:val="24"/>
        </w:rPr>
        <w:t>质疑供应商：</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地址：</w:t>
      </w:r>
      <w:r>
        <w:rPr>
          <w:rFonts w:hint="eastAsia" w:ascii="宋体" w:hAnsi="宋体"/>
          <w:szCs w:val="24"/>
          <w:u w:val="single"/>
        </w:rPr>
        <w:t xml:space="preserve">                                              </w:t>
      </w:r>
      <w:r>
        <w:rPr>
          <w:rFonts w:hint="eastAsia" w:ascii="宋体" w:hAnsi="宋体"/>
          <w:szCs w:val="24"/>
        </w:rPr>
        <w:t xml:space="preserve">  邮编：</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联系人：</w:t>
      </w:r>
      <w:r>
        <w:rPr>
          <w:rFonts w:hint="eastAsia" w:ascii="宋体" w:hAnsi="宋体"/>
          <w:szCs w:val="24"/>
          <w:u w:val="single"/>
        </w:rPr>
        <w:t xml:space="preserve">                                            </w:t>
      </w:r>
      <w:r>
        <w:rPr>
          <w:rFonts w:hint="eastAsia" w:ascii="宋体" w:hAnsi="宋体"/>
          <w:szCs w:val="24"/>
        </w:rPr>
        <w:t xml:space="preserve">  联系电话：</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授权代表：</w:t>
      </w:r>
      <w:r>
        <w:rPr>
          <w:rFonts w:hint="eastAsia" w:ascii="宋体" w:hAnsi="宋体"/>
          <w:szCs w:val="24"/>
          <w:u w:val="single"/>
        </w:rPr>
        <w:t xml:space="preserve">                                          </w:t>
      </w:r>
      <w:r>
        <w:rPr>
          <w:rFonts w:hint="eastAsia" w:ascii="宋体" w:hAnsi="宋体"/>
          <w:szCs w:val="24"/>
        </w:rPr>
        <w:t xml:space="preserve">  联系电话：</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地址：</w:t>
      </w:r>
      <w:r>
        <w:rPr>
          <w:rFonts w:hint="eastAsia" w:ascii="宋体" w:hAnsi="宋体"/>
          <w:szCs w:val="24"/>
          <w:u w:val="single"/>
        </w:rPr>
        <w:t xml:space="preserve">                                              </w:t>
      </w:r>
      <w:r>
        <w:rPr>
          <w:rFonts w:hint="eastAsia" w:ascii="宋体" w:hAnsi="宋体"/>
          <w:szCs w:val="24"/>
        </w:rPr>
        <w:t xml:space="preserve">  邮编：</w:t>
      </w:r>
      <w:r>
        <w:rPr>
          <w:rFonts w:hint="eastAsia" w:ascii="宋体" w:hAnsi="宋体"/>
          <w:szCs w:val="24"/>
          <w:u w:val="single"/>
        </w:rPr>
        <w:t xml:space="preserve">               </w:t>
      </w:r>
    </w:p>
    <w:p>
      <w:pPr>
        <w:wordWrap w:val="0"/>
        <w:autoSpaceDE w:val="0"/>
        <w:autoSpaceDN w:val="0"/>
        <w:rPr>
          <w:rFonts w:ascii="宋体" w:hAnsi="宋体"/>
          <w:b/>
          <w:szCs w:val="24"/>
        </w:rPr>
      </w:pPr>
      <w:r>
        <w:rPr>
          <w:rFonts w:hint="eastAsia" w:ascii="宋体" w:hAnsi="宋体"/>
          <w:b/>
          <w:szCs w:val="24"/>
        </w:rPr>
        <w:t>二、质疑项目基本情况</w:t>
      </w:r>
    </w:p>
    <w:p>
      <w:pPr>
        <w:wordWrap w:val="0"/>
        <w:autoSpaceDE w:val="0"/>
        <w:autoSpaceDN w:val="0"/>
        <w:rPr>
          <w:rFonts w:ascii="宋体" w:hAnsi="宋体"/>
          <w:szCs w:val="24"/>
        </w:rPr>
      </w:pPr>
      <w:r>
        <w:rPr>
          <w:rFonts w:hint="eastAsia" w:ascii="宋体" w:hAnsi="宋体"/>
          <w:szCs w:val="24"/>
        </w:rPr>
        <w:t>质疑项目的名称：</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质疑项目的文件编号：</w:t>
      </w:r>
      <w:r>
        <w:rPr>
          <w:rFonts w:hint="eastAsia" w:ascii="宋体" w:hAnsi="宋体"/>
          <w:szCs w:val="24"/>
          <w:u w:val="single"/>
        </w:rPr>
        <w:t xml:space="preserve">                                </w:t>
      </w:r>
      <w:r>
        <w:rPr>
          <w:rFonts w:hint="eastAsia" w:ascii="宋体" w:hAnsi="宋体"/>
          <w:szCs w:val="24"/>
        </w:rPr>
        <w:t xml:space="preserve">  采购包号：</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采购人名称：</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磋商文件获取日期：</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质疑环节：</w:t>
      </w:r>
      <w:r>
        <w:rPr>
          <w:rFonts w:hint="eastAsia" w:ascii="宋体" w:hAnsi="宋体"/>
          <w:i/>
          <w:szCs w:val="24"/>
        </w:rPr>
        <w:t>采购文件</w:t>
      </w:r>
      <w:r>
        <w:rPr>
          <w:rFonts w:hint="eastAsia" w:ascii="宋体" w:hAnsi="宋体"/>
          <w:szCs w:val="24"/>
        </w:rPr>
        <w:t>/</w:t>
      </w:r>
      <w:r>
        <w:rPr>
          <w:rFonts w:hint="eastAsia" w:ascii="宋体" w:hAnsi="宋体"/>
          <w:i/>
          <w:szCs w:val="24"/>
        </w:rPr>
        <w:t>磋商过程</w:t>
      </w:r>
      <w:r>
        <w:rPr>
          <w:rFonts w:hint="eastAsia" w:ascii="宋体" w:hAnsi="宋体"/>
          <w:szCs w:val="24"/>
        </w:rPr>
        <w:t>/</w:t>
      </w:r>
      <w:r>
        <w:rPr>
          <w:rFonts w:hint="eastAsia" w:ascii="宋体" w:hAnsi="宋体"/>
          <w:i/>
          <w:szCs w:val="24"/>
        </w:rPr>
        <w:t>评审过程、成交或者成交结果</w:t>
      </w:r>
      <w:r>
        <w:rPr>
          <w:rFonts w:hint="eastAsia" w:ascii="宋体" w:hAnsi="宋体"/>
          <w:szCs w:val="24"/>
        </w:rPr>
        <w:t>/</w:t>
      </w:r>
      <w:r>
        <w:rPr>
          <w:rFonts w:hint="eastAsia" w:ascii="宋体" w:hAnsi="宋体"/>
          <w:i/>
          <w:szCs w:val="24"/>
        </w:rPr>
        <w:t>其他：</w:t>
      </w:r>
      <w:r>
        <w:rPr>
          <w:rFonts w:hint="eastAsia" w:ascii="宋体" w:hAnsi="宋体"/>
          <w:i/>
          <w:szCs w:val="24"/>
          <w:u w:val="single"/>
        </w:rPr>
        <w:t>（请填写具体环节）</w:t>
      </w:r>
    </w:p>
    <w:p>
      <w:pPr>
        <w:wordWrap w:val="0"/>
        <w:autoSpaceDE w:val="0"/>
        <w:autoSpaceDN w:val="0"/>
        <w:rPr>
          <w:rFonts w:ascii="宋体" w:hAnsi="宋体"/>
          <w:b/>
          <w:szCs w:val="24"/>
        </w:rPr>
      </w:pPr>
      <w:r>
        <w:rPr>
          <w:rFonts w:hint="eastAsia" w:ascii="宋体" w:hAnsi="宋体"/>
          <w:b/>
          <w:szCs w:val="24"/>
        </w:rPr>
        <w:t>三、质疑事项具体内容</w:t>
      </w:r>
    </w:p>
    <w:p>
      <w:pPr>
        <w:wordWrap w:val="0"/>
        <w:autoSpaceDE w:val="0"/>
        <w:autoSpaceDN w:val="0"/>
        <w:rPr>
          <w:rFonts w:ascii="宋体" w:hAnsi="宋体"/>
          <w:szCs w:val="24"/>
        </w:rPr>
      </w:pPr>
      <w:r>
        <w:rPr>
          <w:rFonts w:hint="eastAsia" w:ascii="宋体" w:hAnsi="宋体"/>
          <w:szCs w:val="24"/>
        </w:rPr>
        <w:t>质疑事项1：</w:t>
      </w:r>
      <w:r>
        <w:rPr>
          <w:rFonts w:hint="eastAsia" w:ascii="宋体" w:hAnsi="宋体"/>
          <w:i/>
          <w:szCs w:val="24"/>
          <w:u w:val="single"/>
        </w:rPr>
        <w:t>（质疑事项1标题或简要描述）</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事实依据：</w:t>
      </w:r>
      <w:r>
        <w:rPr>
          <w:rFonts w:hint="eastAsia" w:ascii="宋体" w:hAnsi="宋体"/>
          <w:szCs w:val="24"/>
          <w:u w:val="single"/>
        </w:rPr>
        <w:t xml:space="preserve">                                                                 </w:t>
      </w:r>
    </w:p>
    <w:p>
      <w:pPr>
        <w:wordWrap w:val="0"/>
        <w:autoSpaceDE w:val="0"/>
        <w:autoSpaceDN w:val="0"/>
        <w:rPr>
          <w:rFonts w:ascii="宋体" w:hAnsi="宋体"/>
          <w:szCs w:val="24"/>
          <w:u w:val="single"/>
        </w:rPr>
      </w:pPr>
      <w:r>
        <w:rPr>
          <w:rFonts w:ascii="宋体" w:hAnsi="宋体"/>
          <w:szCs w:val="24"/>
          <w:u w:val="single"/>
        </w:rPr>
        <w:t xml:space="preserve">                                          </w:t>
      </w:r>
      <w:r>
        <w:rPr>
          <w:rFonts w:hint="eastAsia" w:ascii="宋体" w:hAnsi="宋体"/>
          <w:szCs w:val="24"/>
          <w:u w:val="single"/>
        </w:rPr>
        <w:t xml:space="preserve">                       </w:t>
      </w:r>
      <w:r>
        <w:rPr>
          <w:rFonts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法律依据：</w:t>
      </w:r>
      <w:r>
        <w:rPr>
          <w:rFonts w:hint="eastAsia" w:ascii="宋体" w:hAnsi="宋体"/>
          <w:szCs w:val="24"/>
          <w:u w:val="single"/>
        </w:rPr>
        <w:t xml:space="preserve">                                                                 </w:t>
      </w:r>
    </w:p>
    <w:p>
      <w:pPr>
        <w:wordWrap w:val="0"/>
        <w:autoSpaceDE w:val="0"/>
        <w:autoSpaceDN w:val="0"/>
        <w:rPr>
          <w:rFonts w:ascii="宋体" w:hAnsi="宋体"/>
          <w:szCs w:val="24"/>
          <w:u w:val="single"/>
        </w:rPr>
      </w:pPr>
      <w:r>
        <w:rPr>
          <w:rFonts w:ascii="宋体" w:hAnsi="宋体"/>
          <w:szCs w:val="24"/>
          <w:u w:val="single"/>
        </w:rPr>
        <w:t xml:space="preserve">                                      </w:t>
      </w:r>
      <w:r>
        <w:rPr>
          <w:rFonts w:hint="eastAsia" w:ascii="宋体" w:hAnsi="宋体"/>
          <w:szCs w:val="24"/>
          <w:u w:val="single"/>
        </w:rPr>
        <w:t xml:space="preserve">                       </w:t>
      </w:r>
      <w:r>
        <w:rPr>
          <w:rFonts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质疑事项2：</w:t>
      </w:r>
      <w:r>
        <w:rPr>
          <w:rFonts w:hint="eastAsia" w:ascii="宋体" w:hAnsi="宋体"/>
          <w:i/>
          <w:szCs w:val="24"/>
          <w:u w:val="single"/>
        </w:rPr>
        <w:t>（质疑事项1标题或简要描述）</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w:t>
      </w:r>
    </w:p>
    <w:p>
      <w:pPr>
        <w:wordWrap w:val="0"/>
        <w:autoSpaceDE w:val="0"/>
        <w:autoSpaceDN w:val="0"/>
        <w:rPr>
          <w:rFonts w:ascii="宋体" w:hAnsi="宋体"/>
          <w:b/>
          <w:szCs w:val="24"/>
        </w:rPr>
      </w:pPr>
      <w:r>
        <w:rPr>
          <w:rFonts w:hint="eastAsia" w:ascii="宋体" w:hAnsi="宋体"/>
          <w:b/>
          <w:szCs w:val="24"/>
        </w:rPr>
        <w:t>四、与质疑事项相关的质疑请求</w:t>
      </w:r>
    </w:p>
    <w:p>
      <w:pPr>
        <w:wordWrap w:val="0"/>
        <w:autoSpaceDE w:val="0"/>
        <w:autoSpaceDN w:val="0"/>
        <w:rPr>
          <w:rFonts w:ascii="宋体" w:hAnsi="宋体"/>
          <w:szCs w:val="24"/>
        </w:rPr>
      </w:pPr>
      <w:r>
        <w:rPr>
          <w:rFonts w:hint="eastAsia" w:ascii="宋体" w:hAnsi="宋体"/>
          <w:szCs w:val="24"/>
        </w:rPr>
        <w:t>请求：</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代表（签字或盖章）：</w:t>
      </w:r>
      <w:r>
        <w:rPr>
          <w:rFonts w:hint="eastAsia" w:ascii="宋体" w:hAnsi="宋体"/>
          <w:szCs w:val="24"/>
          <w:u w:val="single"/>
        </w:rPr>
        <w:t xml:space="preserve">                   </w:t>
      </w:r>
      <w:r>
        <w:rPr>
          <w:rFonts w:hint="eastAsia" w:ascii="宋体" w:hAnsi="宋体"/>
          <w:szCs w:val="24"/>
        </w:rPr>
        <w:t xml:space="preserve">  （机构供应商）公章：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质疑日期：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wordWrap w:val="0"/>
        <w:autoSpaceDE w:val="0"/>
        <w:autoSpaceDN w:val="0"/>
        <w:rPr>
          <w:rFonts w:ascii="宋体" w:hAnsi="宋体"/>
          <w:szCs w:val="24"/>
        </w:rPr>
      </w:pPr>
    </w:p>
    <w:p>
      <w:pPr>
        <w:wordWrap w:val="0"/>
        <w:autoSpaceDE w:val="0"/>
        <w:autoSpaceDN w:val="0"/>
        <w:rPr>
          <w:rFonts w:ascii="宋体" w:hAnsi="宋体"/>
          <w:b/>
          <w:szCs w:val="24"/>
        </w:rPr>
      </w:pPr>
      <w:r>
        <w:rPr>
          <w:rFonts w:hint="eastAsia" w:ascii="宋体" w:hAnsi="宋体"/>
          <w:b/>
          <w:szCs w:val="24"/>
        </w:rPr>
        <w:t>质疑函制作说明：</w:t>
      </w:r>
    </w:p>
    <w:p>
      <w:pPr>
        <w:wordWrap w:val="0"/>
        <w:autoSpaceDE w:val="0"/>
        <w:autoSpaceDN w:val="0"/>
        <w:ind w:firstLine="480" w:firstLineChars="200"/>
        <w:rPr>
          <w:rFonts w:ascii="宋体" w:hAnsi="宋体"/>
          <w:szCs w:val="24"/>
        </w:rPr>
      </w:pPr>
      <w:r>
        <w:rPr>
          <w:rFonts w:hint="eastAsia" w:ascii="宋体" w:hAnsi="宋体"/>
          <w:szCs w:val="24"/>
        </w:rPr>
        <w:t>1.供应商提出质疑时，应提交质疑函和必要的证明材料。</w:t>
      </w:r>
    </w:p>
    <w:p>
      <w:pPr>
        <w:wordWrap w:val="0"/>
        <w:autoSpaceDE w:val="0"/>
        <w:autoSpaceDN w:val="0"/>
        <w:ind w:firstLine="480" w:firstLineChars="200"/>
        <w:rPr>
          <w:rFonts w:ascii="宋体" w:hAnsi="宋体"/>
          <w:szCs w:val="24"/>
        </w:rPr>
      </w:pPr>
      <w:r>
        <w:rPr>
          <w:rFonts w:hint="eastAsia" w:ascii="宋体" w:hAnsi="宋体"/>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wordWrap w:val="0"/>
        <w:autoSpaceDE w:val="0"/>
        <w:autoSpaceDN w:val="0"/>
        <w:ind w:firstLine="480" w:firstLineChars="200"/>
        <w:rPr>
          <w:rFonts w:ascii="宋体" w:hAnsi="宋体"/>
          <w:szCs w:val="24"/>
        </w:rPr>
      </w:pPr>
      <w:r>
        <w:rPr>
          <w:rFonts w:hint="eastAsia" w:ascii="宋体" w:hAnsi="宋体"/>
          <w:szCs w:val="24"/>
        </w:rPr>
        <w:t>3.质疑供应商若对项目的某一采购包进行质疑，质疑函中应列明具体采购包号。</w:t>
      </w:r>
    </w:p>
    <w:p>
      <w:pPr>
        <w:wordWrap w:val="0"/>
        <w:autoSpaceDE w:val="0"/>
        <w:autoSpaceDN w:val="0"/>
        <w:ind w:firstLine="480" w:firstLineChars="200"/>
        <w:rPr>
          <w:rFonts w:ascii="宋体" w:hAnsi="宋体"/>
          <w:szCs w:val="24"/>
        </w:rPr>
      </w:pPr>
      <w:r>
        <w:rPr>
          <w:rFonts w:hint="eastAsia" w:ascii="宋体" w:hAnsi="宋体"/>
          <w:szCs w:val="24"/>
        </w:rPr>
        <w:t>4.质疑函的质疑事项应具体、明确，并有必要的事实依据和法律依据。</w:t>
      </w:r>
    </w:p>
    <w:p>
      <w:pPr>
        <w:wordWrap w:val="0"/>
        <w:autoSpaceDE w:val="0"/>
        <w:autoSpaceDN w:val="0"/>
        <w:ind w:firstLine="480" w:firstLineChars="200"/>
        <w:rPr>
          <w:rFonts w:ascii="宋体" w:hAnsi="宋体"/>
          <w:szCs w:val="24"/>
        </w:rPr>
      </w:pPr>
      <w:r>
        <w:rPr>
          <w:rFonts w:hint="eastAsia" w:ascii="宋体" w:hAnsi="宋体"/>
          <w:szCs w:val="24"/>
        </w:rPr>
        <w:t>5.质疑函的质疑请求应与质疑事项相关。</w:t>
      </w:r>
    </w:p>
    <w:p>
      <w:pPr>
        <w:wordWrap w:val="0"/>
        <w:autoSpaceDE w:val="0"/>
        <w:autoSpaceDN w:val="0"/>
        <w:ind w:firstLine="480" w:firstLineChars="200"/>
        <w:rPr>
          <w:rFonts w:ascii="宋体" w:hAnsi="宋体"/>
          <w:szCs w:val="24"/>
        </w:rPr>
      </w:pPr>
      <w:r>
        <w:rPr>
          <w:rFonts w:hint="eastAsia" w:ascii="宋体" w:hAnsi="宋体"/>
          <w:szCs w:val="24"/>
        </w:rPr>
        <w:t>6.质疑供应商为自然人的，质疑函应由本人签字；质疑供应商为法人或者其他组织的，质疑函应由法定代表人、主要负责人，或者其授权代表签字或者盖章，并加盖公章。</w:t>
      </w:r>
    </w:p>
    <w:p>
      <w:pPr>
        <w:pStyle w:val="5"/>
        <w:numPr>
          <w:ilvl w:val="0"/>
          <w:numId w:val="0"/>
        </w:numPr>
        <w:tabs>
          <w:tab w:val="left" w:pos="945"/>
        </w:tabs>
        <w:spacing w:before="0" w:after="0" w:line="360" w:lineRule="auto"/>
        <w:ind w:left="425" w:hanging="425"/>
        <w:rPr>
          <w:rFonts w:ascii="宋体" w:hAnsi="宋体"/>
          <w:sz w:val="24"/>
          <w:szCs w:val="24"/>
        </w:rPr>
      </w:pPr>
      <w:r>
        <w:rPr>
          <w:rFonts w:ascii="宋体" w:hAnsi="宋体"/>
          <w:sz w:val="24"/>
          <w:szCs w:val="24"/>
        </w:rPr>
        <w:br w:type="page"/>
      </w:r>
      <w:bookmarkStart w:id="241" w:name="_Toc56180303"/>
      <w:bookmarkStart w:id="242" w:name="_Toc55398707"/>
      <w:bookmarkStart w:id="243" w:name="_Toc50460177"/>
      <w:bookmarkStart w:id="244" w:name="_Toc22806172"/>
      <w:r>
        <w:rPr>
          <w:rFonts w:hint="eastAsia" w:ascii="宋体" w:hAnsi="宋体"/>
          <w:sz w:val="24"/>
          <w:szCs w:val="24"/>
        </w:rPr>
        <w:t>格式3：投诉书格式</w:t>
      </w:r>
      <w:bookmarkEnd w:id="241"/>
      <w:bookmarkEnd w:id="242"/>
      <w:bookmarkEnd w:id="243"/>
      <w:bookmarkEnd w:id="244"/>
    </w:p>
    <w:p>
      <w:pPr>
        <w:wordWrap w:val="0"/>
        <w:autoSpaceDE w:val="0"/>
        <w:autoSpaceDN w:val="0"/>
        <w:jc w:val="center"/>
        <w:rPr>
          <w:rFonts w:ascii="宋体" w:hAnsi="宋体"/>
          <w:b/>
          <w:szCs w:val="24"/>
        </w:rPr>
      </w:pPr>
      <w:r>
        <w:rPr>
          <w:rFonts w:hint="eastAsia" w:ascii="宋体" w:hAnsi="宋体"/>
          <w:b/>
          <w:szCs w:val="24"/>
        </w:rPr>
        <w:t>投诉书</w:t>
      </w:r>
    </w:p>
    <w:p>
      <w:pPr>
        <w:wordWrap w:val="0"/>
        <w:autoSpaceDE w:val="0"/>
        <w:autoSpaceDN w:val="0"/>
        <w:rPr>
          <w:rFonts w:ascii="宋体" w:hAnsi="宋体"/>
          <w:b/>
          <w:szCs w:val="24"/>
        </w:rPr>
      </w:pPr>
      <w:r>
        <w:rPr>
          <w:rFonts w:hint="eastAsia" w:ascii="宋体" w:hAnsi="宋体"/>
          <w:b/>
          <w:szCs w:val="24"/>
        </w:rPr>
        <w:t>一、投诉相关主体基本情况</w:t>
      </w:r>
    </w:p>
    <w:p>
      <w:pPr>
        <w:wordWrap w:val="0"/>
        <w:autoSpaceDE w:val="0"/>
        <w:autoSpaceDN w:val="0"/>
        <w:rPr>
          <w:rFonts w:ascii="宋体" w:hAnsi="宋体"/>
          <w:szCs w:val="24"/>
        </w:rPr>
      </w:pPr>
      <w:r>
        <w:rPr>
          <w:rFonts w:hint="eastAsia" w:ascii="宋体" w:hAnsi="宋体"/>
          <w:szCs w:val="24"/>
        </w:rPr>
        <w:t>投诉人：</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地址：</w:t>
      </w:r>
      <w:r>
        <w:rPr>
          <w:rFonts w:hint="eastAsia" w:ascii="宋体" w:hAnsi="宋体"/>
          <w:szCs w:val="24"/>
          <w:u w:val="single"/>
        </w:rPr>
        <w:t xml:space="preserve">                                              </w:t>
      </w:r>
      <w:r>
        <w:rPr>
          <w:rFonts w:hint="eastAsia" w:ascii="宋体" w:hAnsi="宋体"/>
          <w:szCs w:val="24"/>
        </w:rPr>
        <w:t xml:space="preserve">  邮编：</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法定代表人/主要负责人：</w:t>
      </w:r>
      <w:r>
        <w:rPr>
          <w:rFonts w:hint="eastAsia" w:ascii="宋体" w:hAnsi="宋体"/>
          <w:szCs w:val="24"/>
          <w:u w:val="single"/>
        </w:rPr>
        <w:t xml:space="preserve">                             </w:t>
      </w:r>
      <w:r>
        <w:rPr>
          <w:rFonts w:hint="eastAsia" w:ascii="宋体" w:hAnsi="宋体"/>
          <w:szCs w:val="24"/>
        </w:rPr>
        <w:t xml:space="preserve">  联系电话：</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授权代表：</w:t>
      </w:r>
      <w:r>
        <w:rPr>
          <w:rFonts w:hint="eastAsia" w:ascii="宋体" w:hAnsi="宋体"/>
          <w:szCs w:val="24"/>
          <w:u w:val="single"/>
        </w:rPr>
        <w:t xml:space="preserve">                                          </w:t>
      </w:r>
      <w:r>
        <w:rPr>
          <w:rFonts w:hint="eastAsia" w:ascii="宋体" w:hAnsi="宋体"/>
          <w:szCs w:val="24"/>
        </w:rPr>
        <w:t xml:space="preserve">  联系电话：</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地址：</w:t>
      </w:r>
      <w:r>
        <w:rPr>
          <w:rFonts w:hint="eastAsia" w:ascii="宋体" w:hAnsi="宋体"/>
          <w:szCs w:val="24"/>
          <w:u w:val="single"/>
        </w:rPr>
        <w:t xml:space="preserve">                                              </w:t>
      </w:r>
      <w:r>
        <w:rPr>
          <w:rFonts w:hint="eastAsia" w:ascii="宋体" w:hAnsi="宋体"/>
          <w:szCs w:val="24"/>
        </w:rPr>
        <w:t xml:space="preserve">  邮编：</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被投诉人1：</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地址：</w:t>
      </w:r>
      <w:r>
        <w:rPr>
          <w:rFonts w:hint="eastAsia" w:ascii="宋体" w:hAnsi="宋体"/>
          <w:szCs w:val="24"/>
          <w:u w:val="single"/>
        </w:rPr>
        <w:t xml:space="preserve">                                              </w:t>
      </w:r>
      <w:r>
        <w:rPr>
          <w:rFonts w:hint="eastAsia" w:ascii="宋体" w:hAnsi="宋体"/>
          <w:szCs w:val="24"/>
        </w:rPr>
        <w:t xml:space="preserve">  邮编：</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联系人：</w:t>
      </w:r>
      <w:r>
        <w:rPr>
          <w:rFonts w:hint="eastAsia" w:ascii="宋体" w:hAnsi="宋体"/>
          <w:szCs w:val="24"/>
          <w:u w:val="single"/>
        </w:rPr>
        <w:t xml:space="preserve">                                            </w:t>
      </w:r>
      <w:r>
        <w:rPr>
          <w:rFonts w:hint="eastAsia" w:ascii="宋体" w:hAnsi="宋体"/>
          <w:szCs w:val="24"/>
        </w:rPr>
        <w:t xml:space="preserve">  联系电话：</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被投诉人2：</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w:t>
      </w:r>
    </w:p>
    <w:p>
      <w:pPr>
        <w:wordWrap w:val="0"/>
        <w:autoSpaceDE w:val="0"/>
        <w:autoSpaceDN w:val="0"/>
        <w:rPr>
          <w:rFonts w:ascii="宋体" w:hAnsi="宋体"/>
          <w:szCs w:val="24"/>
          <w:u w:val="single"/>
        </w:rPr>
      </w:pPr>
      <w:r>
        <w:rPr>
          <w:rFonts w:hint="eastAsia" w:ascii="宋体" w:hAnsi="宋体"/>
          <w:szCs w:val="24"/>
        </w:rPr>
        <w:t>相关供应商：</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地址：</w:t>
      </w:r>
      <w:r>
        <w:rPr>
          <w:rFonts w:hint="eastAsia" w:ascii="宋体" w:hAnsi="宋体"/>
          <w:szCs w:val="24"/>
          <w:u w:val="single"/>
        </w:rPr>
        <w:t xml:space="preserve">                                              </w:t>
      </w:r>
      <w:r>
        <w:rPr>
          <w:rFonts w:hint="eastAsia" w:ascii="宋体" w:hAnsi="宋体"/>
          <w:szCs w:val="24"/>
        </w:rPr>
        <w:t xml:space="preserve">  邮编：</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联系人：</w:t>
      </w:r>
      <w:r>
        <w:rPr>
          <w:rFonts w:hint="eastAsia" w:ascii="宋体" w:hAnsi="宋体"/>
          <w:szCs w:val="24"/>
          <w:u w:val="single"/>
        </w:rPr>
        <w:t xml:space="preserve">                                            </w:t>
      </w:r>
      <w:r>
        <w:rPr>
          <w:rFonts w:hint="eastAsia" w:ascii="宋体" w:hAnsi="宋体"/>
          <w:szCs w:val="24"/>
        </w:rPr>
        <w:t xml:space="preserve">  联系电话：</w:t>
      </w:r>
      <w:r>
        <w:rPr>
          <w:rFonts w:hint="eastAsia" w:ascii="宋体" w:hAnsi="宋体"/>
          <w:szCs w:val="24"/>
          <w:u w:val="single"/>
        </w:rPr>
        <w:t xml:space="preserve">           </w:t>
      </w:r>
    </w:p>
    <w:p>
      <w:pPr>
        <w:wordWrap w:val="0"/>
        <w:autoSpaceDE w:val="0"/>
        <w:autoSpaceDN w:val="0"/>
        <w:rPr>
          <w:rFonts w:ascii="宋体" w:hAnsi="宋体"/>
          <w:b/>
          <w:szCs w:val="24"/>
        </w:rPr>
      </w:pPr>
      <w:r>
        <w:rPr>
          <w:rFonts w:hint="eastAsia" w:ascii="宋体" w:hAnsi="宋体"/>
          <w:b/>
          <w:szCs w:val="24"/>
        </w:rPr>
        <w:t>二、投诉项目基本情况</w:t>
      </w:r>
    </w:p>
    <w:p>
      <w:pPr>
        <w:wordWrap w:val="0"/>
        <w:autoSpaceDE w:val="0"/>
        <w:autoSpaceDN w:val="0"/>
        <w:rPr>
          <w:rFonts w:ascii="宋体" w:hAnsi="宋体"/>
          <w:szCs w:val="24"/>
          <w:u w:val="single"/>
        </w:rPr>
      </w:pPr>
      <w:r>
        <w:rPr>
          <w:rFonts w:hint="eastAsia" w:ascii="宋体" w:hAnsi="宋体"/>
          <w:szCs w:val="24"/>
        </w:rPr>
        <w:t>采购项目名称：</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采购文件编号：</w:t>
      </w:r>
      <w:r>
        <w:rPr>
          <w:rFonts w:hint="eastAsia" w:ascii="宋体" w:hAnsi="宋体"/>
          <w:szCs w:val="24"/>
          <w:u w:val="single"/>
        </w:rPr>
        <w:t xml:space="preserve">                                      </w:t>
      </w:r>
      <w:r>
        <w:rPr>
          <w:rFonts w:hint="eastAsia" w:ascii="宋体" w:hAnsi="宋体"/>
          <w:szCs w:val="24"/>
        </w:rPr>
        <w:t xml:space="preserve">  采购包号：</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采购人名称：</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采购代理机构名称：</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采购文件公告：是/否  公告期限：</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采购结果公告：是/否  公告期限：</w:t>
      </w:r>
      <w:r>
        <w:rPr>
          <w:rFonts w:hint="eastAsia" w:ascii="宋体" w:hAnsi="宋体"/>
          <w:szCs w:val="24"/>
          <w:u w:val="single"/>
        </w:rPr>
        <w:t xml:space="preserve">                                            </w:t>
      </w:r>
    </w:p>
    <w:p>
      <w:pPr>
        <w:wordWrap w:val="0"/>
        <w:autoSpaceDE w:val="0"/>
        <w:autoSpaceDN w:val="0"/>
        <w:rPr>
          <w:rFonts w:ascii="宋体" w:hAnsi="宋体"/>
          <w:b/>
          <w:szCs w:val="24"/>
        </w:rPr>
      </w:pPr>
      <w:r>
        <w:rPr>
          <w:rFonts w:hint="eastAsia" w:ascii="宋体" w:hAnsi="宋体"/>
          <w:b/>
          <w:szCs w:val="24"/>
        </w:rPr>
        <w:t>三、质疑基本情况</w:t>
      </w:r>
    </w:p>
    <w:p>
      <w:pPr>
        <w:wordWrap w:val="0"/>
        <w:autoSpaceDE w:val="0"/>
        <w:autoSpaceDN w:val="0"/>
        <w:ind w:firstLine="480" w:firstLineChars="200"/>
        <w:rPr>
          <w:rFonts w:ascii="宋体" w:hAnsi="宋体"/>
          <w:szCs w:val="24"/>
        </w:rPr>
      </w:pPr>
      <w:r>
        <w:rPr>
          <w:rFonts w:hint="eastAsia" w:ascii="宋体" w:hAnsi="宋体"/>
          <w:szCs w:val="24"/>
        </w:rPr>
        <w:t>投诉人于</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日，向</w:t>
      </w:r>
      <w:r>
        <w:rPr>
          <w:rFonts w:hint="eastAsia" w:ascii="宋体" w:hAnsi="宋体"/>
          <w:szCs w:val="24"/>
          <w:u w:val="single"/>
        </w:rPr>
        <w:t xml:space="preserve">                       </w:t>
      </w:r>
      <w:r>
        <w:rPr>
          <w:rFonts w:hint="eastAsia" w:ascii="宋体" w:hAnsi="宋体"/>
          <w:szCs w:val="24"/>
        </w:rPr>
        <w:t>提出质疑，质疑事项为：</w:t>
      </w:r>
    </w:p>
    <w:p>
      <w:pPr>
        <w:wordWrap w:val="0"/>
        <w:autoSpaceDE w:val="0"/>
        <w:autoSpaceDN w:val="0"/>
        <w:rPr>
          <w:rFonts w:ascii="宋体" w:hAnsi="宋体"/>
          <w:szCs w:val="24"/>
          <w:u w:val="single"/>
        </w:rPr>
      </w:pPr>
      <w:r>
        <w:rPr>
          <w:rFonts w:ascii="宋体" w:hAnsi="宋体"/>
          <w:szCs w:val="24"/>
          <w:u w:val="single"/>
        </w:rPr>
        <w:t xml:space="preserve">                                                       </w:t>
      </w:r>
      <w:r>
        <w:rPr>
          <w:rFonts w:hint="eastAsia" w:ascii="宋体" w:hAnsi="宋体"/>
          <w:szCs w:val="24"/>
          <w:u w:val="single"/>
        </w:rPr>
        <w:t xml:space="preserve">                    </w:t>
      </w:r>
    </w:p>
    <w:p>
      <w:pPr>
        <w:wordWrap w:val="0"/>
        <w:autoSpaceDE w:val="0"/>
        <w:autoSpaceDN w:val="0"/>
        <w:ind w:firstLine="480" w:firstLineChars="200"/>
        <w:rPr>
          <w:rFonts w:ascii="宋体" w:hAnsi="宋体"/>
          <w:szCs w:val="24"/>
        </w:rPr>
      </w:pPr>
      <w:r>
        <w:rPr>
          <w:rFonts w:hint="eastAsia" w:ascii="宋体" w:hAnsi="宋体"/>
          <w:szCs w:val="24"/>
        </w:rPr>
        <w:t>采购人/代理机构于</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日，就质疑事项作出了答复/没有在法定期限内作出答复。</w:t>
      </w:r>
    </w:p>
    <w:p>
      <w:pPr>
        <w:wordWrap w:val="0"/>
        <w:autoSpaceDE w:val="0"/>
        <w:autoSpaceDN w:val="0"/>
        <w:rPr>
          <w:rFonts w:ascii="宋体" w:hAnsi="宋体"/>
          <w:b/>
          <w:szCs w:val="24"/>
        </w:rPr>
      </w:pPr>
      <w:r>
        <w:rPr>
          <w:rFonts w:hint="eastAsia" w:ascii="宋体" w:hAnsi="宋体"/>
          <w:b/>
          <w:szCs w:val="24"/>
        </w:rPr>
        <w:t>四、投诉事项具体内容</w:t>
      </w:r>
    </w:p>
    <w:p>
      <w:pPr>
        <w:wordWrap w:val="0"/>
        <w:autoSpaceDE w:val="0"/>
        <w:autoSpaceDN w:val="0"/>
        <w:rPr>
          <w:rFonts w:ascii="宋体" w:hAnsi="宋体"/>
          <w:szCs w:val="24"/>
          <w:u w:val="single"/>
        </w:rPr>
      </w:pPr>
      <w:r>
        <w:rPr>
          <w:rFonts w:hint="eastAsia" w:ascii="宋体" w:hAnsi="宋体"/>
          <w:szCs w:val="24"/>
        </w:rPr>
        <w:t>投诉事项1：</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事实依据：</w:t>
      </w:r>
      <w:r>
        <w:rPr>
          <w:rFonts w:hint="eastAsia" w:ascii="宋体" w:hAnsi="宋体"/>
          <w:szCs w:val="24"/>
          <w:u w:val="single"/>
        </w:rPr>
        <w:t xml:space="preserve">                                                                 </w:t>
      </w:r>
    </w:p>
    <w:p>
      <w:pPr>
        <w:wordWrap w:val="0"/>
        <w:autoSpaceDE w:val="0"/>
        <w:autoSpaceDN w:val="0"/>
        <w:rPr>
          <w:rFonts w:ascii="宋体" w:hAnsi="宋体"/>
          <w:szCs w:val="24"/>
          <w:u w:val="single"/>
        </w:rPr>
      </w:pPr>
      <w:r>
        <w:rPr>
          <w:rFonts w:ascii="宋体" w:hAnsi="宋体"/>
          <w:szCs w:val="24"/>
          <w:u w:val="single"/>
        </w:rPr>
        <w:t xml:space="preserve">                                                      </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法律依据：</w:t>
      </w:r>
      <w:r>
        <w:rPr>
          <w:rFonts w:hint="eastAsia" w:ascii="宋体" w:hAnsi="宋体"/>
          <w:szCs w:val="24"/>
          <w:u w:val="single"/>
        </w:rPr>
        <w:t xml:space="preserve">                                                                 </w:t>
      </w:r>
    </w:p>
    <w:p>
      <w:pPr>
        <w:wordWrap w:val="0"/>
        <w:autoSpaceDE w:val="0"/>
        <w:autoSpaceDN w:val="0"/>
        <w:rPr>
          <w:rFonts w:ascii="宋体" w:hAnsi="宋体"/>
          <w:szCs w:val="24"/>
          <w:u w:val="single"/>
        </w:rPr>
      </w:pPr>
      <w:r>
        <w:rPr>
          <w:rFonts w:ascii="宋体" w:hAnsi="宋体"/>
          <w:szCs w:val="24"/>
          <w:u w:val="single"/>
        </w:rPr>
        <w:t xml:space="preserve">                                                    </w:t>
      </w:r>
      <w:r>
        <w:rPr>
          <w:rFonts w:hint="eastAsia" w:ascii="宋体" w:hAnsi="宋体"/>
          <w:szCs w:val="24"/>
          <w:u w:val="single"/>
        </w:rPr>
        <w:t xml:space="preserve">                     </w:t>
      </w:r>
      <w:r>
        <w:rPr>
          <w:rFonts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投诉事项2：</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w:t>
      </w:r>
    </w:p>
    <w:p>
      <w:pPr>
        <w:wordWrap w:val="0"/>
        <w:autoSpaceDE w:val="0"/>
        <w:autoSpaceDN w:val="0"/>
        <w:rPr>
          <w:rFonts w:ascii="宋体" w:hAnsi="宋体"/>
          <w:b/>
          <w:szCs w:val="24"/>
        </w:rPr>
      </w:pPr>
      <w:r>
        <w:rPr>
          <w:rFonts w:hint="eastAsia" w:ascii="宋体" w:hAnsi="宋体"/>
          <w:b/>
          <w:szCs w:val="24"/>
        </w:rPr>
        <w:t>五、与投诉事项相关的投诉请求</w:t>
      </w:r>
    </w:p>
    <w:p>
      <w:pPr>
        <w:wordWrap w:val="0"/>
        <w:autoSpaceDE w:val="0"/>
        <w:autoSpaceDN w:val="0"/>
        <w:rPr>
          <w:rFonts w:ascii="宋体" w:hAnsi="宋体"/>
          <w:szCs w:val="24"/>
          <w:u w:val="single"/>
        </w:rPr>
      </w:pPr>
      <w:r>
        <w:rPr>
          <w:rFonts w:hint="eastAsia" w:ascii="宋体" w:hAnsi="宋体"/>
          <w:szCs w:val="24"/>
        </w:rPr>
        <w:t>请求：</w:t>
      </w:r>
      <w:r>
        <w:rPr>
          <w:rFonts w:hint="eastAsia" w:ascii="宋体" w:hAnsi="宋体"/>
          <w:szCs w:val="24"/>
          <w:u w:val="single"/>
        </w:rPr>
        <w:t xml:space="preserve">                                                                     </w:t>
      </w:r>
    </w:p>
    <w:p>
      <w:pPr>
        <w:wordWrap w:val="0"/>
        <w:autoSpaceDE w:val="0"/>
        <w:autoSpaceDN w:val="0"/>
        <w:rPr>
          <w:rFonts w:ascii="宋体" w:hAnsi="宋体"/>
          <w:szCs w:val="24"/>
          <w:u w:val="single"/>
        </w:rPr>
      </w:pPr>
      <w:r>
        <w:rPr>
          <w:rFonts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代表（签字或盖章）：</w:t>
      </w:r>
      <w:r>
        <w:rPr>
          <w:rFonts w:hint="eastAsia" w:ascii="宋体" w:hAnsi="宋体"/>
          <w:szCs w:val="24"/>
          <w:u w:val="single"/>
        </w:rPr>
        <w:t xml:space="preserve">                   </w:t>
      </w:r>
      <w:r>
        <w:rPr>
          <w:rFonts w:hint="eastAsia" w:ascii="宋体" w:hAnsi="宋体"/>
          <w:szCs w:val="24"/>
        </w:rPr>
        <w:t xml:space="preserve">  （机构供应商）公章：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投诉日期：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wordWrap w:val="0"/>
        <w:autoSpaceDE w:val="0"/>
        <w:autoSpaceDN w:val="0"/>
        <w:rPr>
          <w:rFonts w:ascii="宋体" w:hAnsi="宋体"/>
          <w:szCs w:val="24"/>
        </w:rPr>
      </w:pPr>
    </w:p>
    <w:p>
      <w:pPr>
        <w:wordWrap w:val="0"/>
        <w:autoSpaceDE w:val="0"/>
        <w:autoSpaceDN w:val="0"/>
        <w:rPr>
          <w:rFonts w:ascii="宋体" w:hAnsi="宋体"/>
          <w:b/>
          <w:szCs w:val="24"/>
        </w:rPr>
      </w:pPr>
      <w:r>
        <w:rPr>
          <w:rFonts w:hint="eastAsia" w:ascii="宋体" w:hAnsi="宋体"/>
          <w:b/>
          <w:szCs w:val="24"/>
        </w:rPr>
        <w:t>投诉书制作说明：</w:t>
      </w:r>
    </w:p>
    <w:p>
      <w:pPr>
        <w:wordWrap w:val="0"/>
        <w:autoSpaceDE w:val="0"/>
        <w:autoSpaceDN w:val="0"/>
        <w:ind w:firstLine="480" w:firstLineChars="200"/>
        <w:rPr>
          <w:rFonts w:ascii="宋体" w:hAnsi="宋体"/>
          <w:szCs w:val="24"/>
        </w:rPr>
      </w:pPr>
      <w:r>
        <w:rPr>
          <w:rFonts w:hint="eastAsia" w:ascii="宋体" w:hAnsi="宋体"/>
          <w:szCs w:val="24"/>
        </w:rPr>
        <w:t>1.投诉人提起投诉时，应当提交投诉书和必要的证明材料，并按照被投诉人和与投诉事项有关的供应商数量提供投诉书副本。</w:t>
      </w:r>
    </w:p>
    <w:p>
      <w:pPr>
        <w:wordWrap w:val="0"/>
        <w:autoSpaceDE w:val="0"/>
        <w:autoSpaceDN w:val="0"/>
        <w:ind w:firstLine="480" w:firstLineChars="200"/>
        <w:rPr>
          <w:rFonts w:ascii="宋体" w:hAnsi="宋体"/>
          <w:szCs w:val="24"/>
        </w:rPr>
      </w:pPr>
      <w:r>
        <w:rPr>
          <w:rFonts w:hint="eastAsia" w:ascii="宋体" w:hAnsi="宋体"/>
          <w:szCs w:val="24"/>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pPr>
        <w:wordWrap w:val="0"/>
        <w:autoSpaceDE w:val="0"/>
        <w:autoSpaceDN w:val="0"/>
        <w:ind w:firstLine="480" w:firstLineChars="200"/>
        <w:rPr>
          <w:rFonts w:ascii="宋体" w:hAnsi="宋体"/>
          <w:szCs w:val="24"/>
        </w:rPr>
      </w:pPr>
      <w:r>
        <w:rPr>
          <w:rFonts w:hint="eastAsia" w:ascii="宋体" w:hAnsi="宋体"/>
          <w:szCs w:val="24"/>
        </w:rPr>
        <w:t>3.投诉人若对项目的某一分包进行投诉，投诉书应列明具体分包号。</w:t>
      </w:r>
    </w:p>
    <w:p>
      <w:pPr>
        <w:wordWrap w:val="0"/>
        <w:autoSpaceDE w:val="0"/>
        <w:autoSpaceDN w:val="0"/>
        <w:ind w:firstLine="480" w:firstLineChars="200"/>
        <w:rPr>
          <w:rFonts w:ascii="宋体" w:hAnsi="宋体"/>
          <w:szCs w:val="24"/>
        </w:rPr>
      </w:pPr>
      <w:r>
        <w:rPr>
          <w:rFonts w:hint="eastAsia" w:ascii="宋体" w:hAnsi="宋体"/>
          <w:szCs w:val="24"/>
        </w:rPr>
        <w:t>4.投诉书应简要列明质疑事项，质疑函、质疑答复等作为附件材料提供。</w:t>
      </w:r>
    </w:p>
    <w:p>
      <w:pPr>
        <w:wordWrap w:val="0"/>
        <w:autoSpaceDE w:val="0"/>
        <w:autoSpaceDN w:val="0"/>
        <w:ind w:firstLine="480" w:firstLineChars="200"/>
        <w:rPr>
          <w:rFonts w:ascii="宋体" w:hAnsi="宋体"/>
          <w:szCs w:val="24"/>
        </w:rPr>
      </w:pPr>
      <w:r>
        <w:rPr>
          <w:rFonts w:hint="eastAsia" w:ascii="宋体" w:hAnsi="宋体"/>
          <w:szCs w:val="24"/>
        </w:rPr>
        <w:t>5.投诉书的投诉事项应具体、明确，并有必要的事实依据和法律依据。</w:t>
      </w:r>
    </w:p>
    <w:p>
      <w:pPr>
        <w:wordWrap w:val="0"/>
        <w:autoSpaceDE w:val="0"/>
        <w:autoSpaceDN w:val="0"/>
        <w:ind w:firstLine="480" w:firstLineChars="200"/>
        <w:rPr>
          <w:rFonts w:ascii="宋体" w:hAnsi="宋体"/>
          <w:szCs w:val="24"/>
        </w:rPr>
      </w:pPr>
      <w:r>
        <w:rPr>
          <w:rFonts w:hint="eastAsia" w:ascii="宋体" w:hAnsi="宋体"/>
          <w:szCs w:val="24"/>
        </w:rPr>
        <w:t>6.投诉书的投诉请求应与投诉事项相关。</w:t>
      </w:r>
    </w:p>
    <w:p>
      <w:pPr>
        <w:wordWrap w:val="0"/>
        <w:autoSpaceDE w:val="0"/>
        <w:autoSpaceDN w:val="0"/>
        <w:ind w:firstLine="480" w:firstLineChars="200"/>
        <w:rPr>
          <w:rFonts w:ascii="宋体" w:hAnsi="宋体"/>
          <w:szCs w:val="24"/>
        </w:rPr>
      </w:pPr>
      <w:r>
        <w:rPr>
          <w:rFonts w:hint="eastAsia" w:ascii="宋体" w:hAnsi="宋体"/>
          <w:szCs w:val="24"/>
        </w:rPr>
        <w:t>7.投诉人为自然人的，投诉书应当由本人签字；投诉人为法人或者其他组织的，投诉书应当由法定代表人、主要负责人，或者其授权代表签字或者盖章，并加盖公章。</w:t>
      </w:r>
    </w:p>
    <w:p>
      <w:pPr>
        <w:wordWrap w:val="0"/>
        <w:autoSpaceDE w:val="0"/>
        <w:autoSpaceDN w:val="0"/>
        <w:ind w:firstLine="480" w:firstLineChars="200"/>
        <w:rPr>
          <w:rFonts w:ascii="宋体" w:hAnsi="宋体"/>
          <w:szCs w:val="24"/>
        </w:rPr>
      </w:pPr>
      <w:r>
        <w:rPr>
          <w:rFonts w:hint="eastAsia" w:ascii="宋体" w:hAnsi="宋体"/>
          <w:szCs w:val="24"/>
        </w:rPr>
        <w:t>8.</w:t>
      </w:r>
      <w:r>
        <w:rPr>
          <w:rFonts w:hint="eastAsia" w:ascii="宋体" w:hAnsi="宋体"/>
          <w:szCs w:val="24"/>
        </w:rPr>
        <w:tab/>
      </w:r>
      <w:r>
        <w:rPr>
          <w:rFonts w:hint="eastAsia" w:ascii="宋体" w:hAnsi="宋体"/>
          <w:szCs w:val="24"/>
        </w:rPr>
        <w:t>《中华人民共和国政府采购法实施条例》（第658号）第七十三条：“供应商捏造事实、提供虚假材料或者以非法手段取得证明材料进行投诉的，由财政部门列入不良行为记录名单，禁止其1至3年内参加政府采购活动。”</w:t>
      </w:r>
      <w:r>
        <w:rPr>
          <w:rFonts w:ascii="宋体" w:hAnsi="宋体"/>
          <w:szCs w:val="24"/>
        </w:rPr>
        <w:br w:type="page"/>
      </w: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pStyle w:val="3"/>
        <w:numPr>
          <w:ilvl w:val="0"/>
          <w:numId w:val="3"/>
        </w:numPr>
        <w:spacing w:before="0" w:after="0" w:line="360" w:lineRule="auto"/>
        <w:ind w:left="0" w:firstLine="0"/>
        <w:jc w:val="center"/>
        <w:rPr>
          <w:rFonts w:ascii="宋体" w:hAnsi="宋体"/>
          <w:kern w:val="0"/>
          <w:sz w:val="36"/>
          <w:szCs w:val="36"/>
        </w:rPr>
      </w:pPr>
      <w:r>
        <w:rPr>
          <w:rFonts w:hint="eastAsia" w:ascii="宋体" w:hAnsi="宋体"/>
          <w:kern w:val="0"/>
          <w:sz w:val="36"/>
          <w:szCs w:val="36"/>
        </w:rPr>
        <w:t xml:space="preserve">   </w:t>
      </w:r>
      <w:bookmarkStart w:id="245" w:name="_Toc56180304"/>
      <w:r>
        <w:rPr>
          <w:rFonts w:hint="eastAsia" w:ascii="宋体" w:hAnsi="宋体"/>
          <w:kern w:val="0"/>
          <w:sz w:val="36"/>
          <w:szCs w:val="36"/>
        </w:rPr>
        <w:t>评审办法</w:t>
      </w:r>
      <w:bookmarkEnd w:id="245"/>
    </w:p>
    <w:p>
      <w:pPr>
        <w:pStyle w:val="4"/>
        <w:jc w:val="center"/>
      </w:pPr>
      <w:r>
        <w:rPr>
          <w:sz w:val="24"/>
          <w:szCs w:val="24"/>
        </w:rPr>
        <w:br w:type="page"/>
      </w:r>
      <w:bookmarkStart w:id="246" w:name="_Toc56180305"/>
      <w:bookmarkStart w:id="247" w:name="_Toc55398709"/>
      <w:r>
        <w:rPr>
          <w:rFonts w:hint="eastAsia"/>
        </w:rPr>
        <w:t>评审办法前附表</w:t>
      </w:r>
      <w:bookmarkEnd w:id="246"/>
      <w:bookmarkEnd w:id="247"/>
    </w:p>
    <w:p>
      <w:pPr>
        <w:spacing w:line="312" w:lineRule="auto"/>
        <w:ind w:firstLine="480" w:firstLineChars="200"/>
        <w:rPr>
          <w:szCs w:val="24"/>
        </w:rPr>
      </w:pPr>
      <w:r>
        <w:rPr>
          <w:rFonts w:hint="eastAsia" w:ascii="宋体" w:hAnsi="宋体"/>
          <w:szCs w:val="24"/>
        </w:rPr>
        <w:t>本表中相关选择项，以在“□”标记黑“■”或打勾“</w:t>
      </w:r>
      <w:bookmarkStart w:id="248" w:name="OLE_LINK29"/>
      <w:r>
        <w:rPr>
          <w:rFonts w:hint="eastAsia" w:ascii="宋体" w:hAnsi="宋体"/>
          <w:b/>
          <w:szCs w:val="24"/>
          <w:bdr w:val="single" w:color="auto" w:sz="4" w:space="0"/>
        </w:rPr>
        <w:t>√</w:t>
      </w:r>
      <w:bookmarkEnd w:id="248"/>
      <w:r>
        <w:rPr>
          <w:rFonts w:hint="eastAsia" w:ascii="宋体" w:hAnsi="宋体"/>
          <w:szCs w:val="24"/>
        </w:rPr>
        <w:t>”为准。</w:t>
      </w:r>
      <w:r>
        <w:rPr>
          <w:rFonts w:hint="eastAsia" w:ascii="宋体" w:cs="宋体"/>
          <w:bCs/>
          <w:szCs w:val="24"/>
        </w:rPr>
        <w:t>本表内容须与《评审办法》正文对应条款的内容一起阅读理解，《评审办法》</w:t>
      </w:r>
      <w:r>
        <w:rPr>
          <w:rFonts w:hint="eastAsia"/>
          <w:szCs w:val="24"/>
        </w:rPr>
        <w:t>正文与《评审办法前附表》描述存在不一致之处，以《评审办法前附表》为准。</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1985"/>
        <w:gridCol w:w="6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79" w:type="dxa"/>
            <w:vAlign w:val="center"/>
          </w:tcPr>
          <w:p>
            <w:pPr>
              <w:wordWrap w:val="0"/>
              <w:autoSpaceDE w:val="0"/>
              <w:autoSpaceDN w:val="0"/>
              <w:spacing w:line="312" w:lineRule="auto"/>
              <w:jc w:val="center"/>
              <w:rPr>
                <w:rFonts w:ascii="宋体" w:hAnsi="宋体"/>
                <w:b/>
                <w:szCs w:val="24"/>
              </w:rPr>
            </w:pPr>
            <w:r>
              <w:rPr>
                <w:rFonts w:hint="eastAsia" w:ascii="宋体" w:hAnsi="宋体"/>
                <w:b/>
                <w:szCs w:val="24"/>
              </w:rPr>
              <w:t>条款号</w:t>
            </w:r>
          </w:p>
        </w:tc>
        <w:tc>
          <w:tcPr>
            <w:tcW w:w="1985" w:type="dxa"/>
            <w:vAlign w:val="center"/>
          </w:tcPr>
          <w:p>
            <w:pPr>
              <w:wordWrap w:val="0"/>
              <w:autoSpaceDE w:val="0"/>
              <w:autoSpaceDN w:val="0"/>
              <w:spacing w:line="312" w:lineRule="auto"/>
              <w:jc w:val="center"/>
              <w:rPr>
                <w:rFonts w:ascii="宋体" w:hAnsi="宋体"/>
                <w:b/>
                <w:szCs w:val="24"/>
              </w:rPr>
            </w:pPr>
            <w:r>
              <w:rPr>
                <w:rFonts w:hint="eastAsia" w:ascii="宋体" w:hAnsi="宋体"/>
                <w:b/>
                <w:szCs w:val="24"/>
              </w:rPr>
              <w:t>内容</w:t>
            </w:r>
          </w:p>
        </w:tc>
        <w:tc>
          <w:tcPr>
            <w:tcW w:w="6029" w:type="dxa"/>
            <w:vAlign w:val="center"/>
          </w:tcPr>
          <w:p>
            <w:pPr>
              <w:wordWrap w:val="0"/>
              <w:autoSpaceDE w:val="0"/>
              <w:autoSpaceDN w:val="0"/>
              <w:spacing w:line="312" w:lineRule="auto"/>
              <w:jc w:val="center"/>
              <w:rPr>
                <w:rFonts w:ascii="宋体" w:hAnsi="宋体"/>
                <w:b/>
                <w:szCs w:val="24"/>
              </w:rPr>
            </w:pPr>
            <w:r>
              <w:rPr>
                <w:rFonts w:hint="eastAsia" w:ascii="宋体" w:hAnsi="宋体"/>
                <w:b/>
                <w:szCs w:val="24"/>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2.1</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磋商小组</w:t>
            </w:r>
          </w:p>
        </w:tc>
        <w:tc>
          <w:tcPr>
            <w:tcW w:w="6029" w:type="dxa"/>
            <w:vAlign w:val="center"/>
          </w:tcPr>
          <w:p>
            <w:pPr>
              <w:wordWrap w:val="0"/>
              <w:autoSpaceDE w:val="0"/>
              <w:autoSpaceDN w:val="0"/>
              <w:spacing w:line="312" w:lineRule="auto"/>
              <w:ind w:left="120" w:hanging="120" w:hangingChars="50"/>
              <w:rPr>
                <w:rFonts w:ascii="宋体" w:hAnsi="宋体"/>
                <w:szCs w:val="24"/>
              </w:rPr>
            </w:pPr>
            <w:r>
              <w:rPr>
                <w:rFonts w:hint="eastAsia" w:ascii="宋体" w:hAnsi="宋体"/>
                <w:szCs w:val="24"/>
              </w:rPr>
              <w:t>本次评审依法组建磋商小组。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3.6</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响应无效情形</w:t>
            </w:r>
          </w:p>
        </w:tc>
        <w:tc>
          <w:tcPr>
            <w:tcW w:w="6029" w:type="dxa"/>
            <w:vAlign w:val="center"/>
          </w:tcPr>
          <w:p>
            <w:pPr>
              <w:wordWrap w:val="0"/>
              <w:autoSpaceDE w:val="0"/>
              <w:autoSpaceDN w:val="0"/>
              <w:spacing w:line="312" w:lineRule="auto"/>
              <w:ind w:left="120" w:hanging="120" w:hangingChars="50"/>
              <w:rPr>
                <w:rFonts w:ascii="宋体" w:hAnsi="宋体"/>
                <w:szCs w:val="24"/>
              </w:rPr>
            </w:pPr>
            <w:r>
              <w:rPr>
                <w:rFonts w:hint="eastAsia" w:ascii="宋体" w:hAnsi="宋体"/>
                <w:szCs w:val="24"/>
              </w:rPr>
              <w:t>《资格审查表》、《符合性审查表》和采购文件中其他响应无效条款。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4.1</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评审办法</w:t>
            </w:r>
          </w:p>
        </w:tc>
        <w:tc>
          <w:tcPr>
            <w:tcW w:w="6029" w:type="dxa"/>
            <w:vAlign w:val="center"/>
          </w:tcPr>
          <w:p>
            <w:pPr>
              <w:wordWrap w:val="0"/>
              <w:autoSpaceDE w:val="0"/>
              <w:autoSpaceDN w:val="0"/>
              <w:spacing w:line="312" w:lineRule="auto"/>
              <w:rPr>
                <w:rFonts w:ascii="宋体" w:hAnsi="宋体"/>
                <w:szCs w:val="24"/>
              </w:rPr>
            </w:pPr>
            <w:r>
              <w:rPr>
                <w:rFonts w:hint="eastAsia" w:ascii="宋体" w:hAnsi="宋体"/>
                <w:szCs w:val="24"/>
              </w:rPr>
              <w:t>综合评分法：</w:t>
            </w:r>
          </w:p>
          <w:p>
            <w:pPr>
              <w:wordWrap w:val="0"/>
              <w:autoSpaceDE w:val="0"/>
              <w:autoSpaceDN w:val="0"/>
              <w:spacing w:line="312" w:lineRule="auto"/>
              <w:rPr>
                <w:rFonts w:ascii="宋体" w:hAnsi="宋体"/>
                <w:szCs w:val="24"/>
              </w:rPr>
            </w:pPr>
            <w:r>
              <w:rPr>
                <w:rFonts w:hint="eastAsia" w:ascii="宋体" w:hAnsi="宋体"/>
                <w:b/>
                <w:szCs w:val="24"/>
              </w:rPr>
              <w:t>综合得分=技术/服务部分得分+商务部分得分+价格部分得分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5.1</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资格审查标准</w:t>
            </w:r>
          </w:p>
        </w:tc>
        <w:tc>
          <w:tcPr>
            <w:tcW w:w="6029" w:type="dxa"/>
            <w:vAlign w:val="center"/>
          </w:tcPr>
          <w:p>
            <w:pPr>
              <w:wordWrap w:val="0"/>
              <w:autoSpaceDE w:val="0"/>
              <w:autoSpaceDN w:val="0"/>
              <w:spacing w:line="312" w:lineRule="auto"/>
              <w:rPr>
                <w:rFonts w:ascii="宋体" w:hAnsi="宋体"/>
                <w:szCs w:val="24"/>
              </w:rPr>
            </w:pPr>
            <w:r>
              <w:rPr>
                <w:rFonts w:hint="eastAsia" w:ascii="宋体" w:hAnsi="宋体"/>
                <w:szCs w:val="24"/>
              </w:rPr>
              <w:t>详见附表1《资格审查表》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5.2</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初步符合性审查标准</w:t>
            </w:r>
          </w:p>
        </w:tc>
        <w:tc>
          <w:tcPr>
            <w:tcW w:w="6029" w:type="dxa"/>
            <w:vAlign w:val="center"/>
          </w:tcPr>
          <w:p>
            <w:pPr>
              <w:wordWrap w:val="0"/>
              <w:autoSpaceDE w:val="0"/>
              <w:autoSpaceDN w:val="0"/>
              <w:spacing w:line="312" w:lineRule="auto"/>
              <w:rPr>
                <w:rFonts w:ascii="宋体" w:hAnsi="宋体"/>
                <w:szCs w:val="24"/>
              </w:rPr>
            </w:pPr>
            <w:r>
              <w:rPr>
                <w:rFonts w:hint="eastAsia" w:ascii="宋体" w:hAnsi="宋体"/>
                <w:szCs w:val="24"/>
              </w:rPr>
              <w:t>详见附表2《符合性审查表》</w:t>
            </w:r>
            <w:r>
              <w:rPr>
                <w:rFonts w:hint="eastAsia" w:ascii="宋体" w:hAnsi="宋体"/>
                <w:b/>
                <w:szCs w:val="24"/>
              </w:rPr>
              <w:t>（初步审查部分）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Merge w:val="restart"/>
            <w:vAlign w:val="center"/>
          </w:tcPr>
          <w:p>
            <w:pPr>
              <w:wordWrap w:val="0"/>
              <w:autoSpaceDE w:val="0"/>
              <w:autoSpaceDN w:val="0"/>
              <w:spacing w:line="312" w:lineRule="auto"/>
              <w:jc w:val="center"/>
              <w:rPr>
                <w:rFonts w:ascii="宋体" w:hAnsi="宋体"/>
                <w:szCs w:val="24"/>
              </w:rPr>
            </w:pPr>
            <w:r>
              <w:rPr>
                <w:rFonts w:hint="eastAsia" w:ascii="宋体" w:hAnsi="宋体"/>
                <w:szCs w:val="24"/>
              </w:rPr>
              <w:t>6.1</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供应商参加磋商的顺序</w:t>
            </w:r>
          </w:p>
        </w:tc>
        <w:tc>
          <w:tcPr>
            <w:tcW w:w="6029" w:type="dxa"/>
            <w:vAlign w:val="center"/>
          </w:tcPr>
          <w:p>
            <w:pPr>
              <w:wordWrap w:val="0"/>
              <w:autoSpaceDE w:val="0"/>
              <w:autoSpaceDN w:val="0"/>
              <w:spacing w:line="312" w:lineRule="auto"/>
              <w:ind w:left="240" w:hanging="240" w:hangingChars="100"/>
              <w:rPr>
                <w:rFonts w:ascii="宋体" w:hAnsi="宋体"/>
                <w:szCs w:val="24"/>
              </w:rPr>
            </w:pPr>
            <w:r>
              <w:rPr>
                <w:rFonts w:hint="eastAsia" w:ascii="宋体" w:hAnsi="宋体"/>
                <w:szCs w:val="24"/>
              </w:rPr>
              <w:t>□由供应商代表随机抽签决定磋商顺序。</w:t>
            </w:r>
          </w:p>
          <w:p>
            <w:pPr>
              <w:wordWrap w:val="0"/>
              <w:autoSpaceDE w:val="0"/>
              <w:autoSpaceDN w:val="0"/>
              <w:spacing w:line="312" w:lineRule="auto"/>
              <w:ind w:left="240" w:hanging="241" w:hangingChars="100"/>
              <w:rPr>
                <w:rFonts w:ascii="宋体" w:hAnsi="宋体"/>
                <w:szCs w:val="24"/>
              </w:rPr>
            </w:pPr>
            <w:r>
              <w:rPr>
                <w:rFonts w:hint="eastAsia" w:ascii="宋体" w:hAnsi="宋体"/>
                <w:b/>
                <w:szCs w:val="24"/>
                <w:bdr w:val="single" w:color="auto" w:sz="4" w:space="0"/>
              </w:rPr>
              <w:t>√</w:t>
            </w:r>
            <w:r>
              <w:rPr>
                <w:rFonts w:hint="eastAsia" w:ascii="宋体" w:hAnsi="宋体"/>
                <w:szCs w:val="24"/>
              </w:rPr>
              <w:t>以供应商（磋商代表）签到顺序为准。</w:t>
            </w:r>
          </w:p>
          <w:p>
            <w:pPr>
              <w:wordWrap w:val="0"/>
              <w:autoSpaceDE w:val="0"/>
              <w:autoSpaceDN w:val="0"/>
              <w:spacing w:line="312" w:lineRule="auto"/>
              <w:rPr>
                <w:rFonts w:ascii="宋体" w:hAnsi="宋体"/>
                <w:szCs w:val="24"/>
              </w:rPr>
            </w:pPr>
            <w:r>
              <w:rPr>
                <w:rFonts w:hint="eastAsia" w:ascii="宋体" w:hAnsi="宋体"/>
                <w:szCs w:val="24"/>
              </w:rPr>
              <w:t>□由磋商小组确定磋商顺序。</w:t>
            </w:r>
          </w:p>
          <w:p>
            <w:pPr>
              <w:wordWrap w:val="0"/>
              <w:autoSpaceDE w:val="0"/>
              <w:autoSpaceDN w:val="0"/>
              <w:spacing w:line="312" w:lineRule="auto"/>
              <w:rPr>
                <w:rFonts w:ascii="宋体" w:hAnsi="宋体"/>
                <w:szCs w:val="24"/>
              </w:rPr>
            </w:pPr>
            <w:r>
              <w:rPr>
                <w:rFonts w:hint="eastAsia" w:ascii="宋体" w:hAnsi="宋体"/>
                <w:szCs w:val="24"/>
              </w:rPr>
              <w:t>□其他：</w:t>
            </w:r>
            <w:r>
              <w:rPr>
                <w:rFonts w:hint="eastAsia" w:ascii="宋体" w:hAnsi="宋体"/>
                <w:szCs w:val="24"/>
                <w:u w:val="single"/>
              </w:rPr>
              <w:t xml:space="preserve">    /    </w:t>
            </w:r>
            <w:r>
              <w:rPr>
                <w:rFonts w:hint="eastAsia" w:ascii="宋体" w:hAnsi="宋体"/>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9" w:type="dxa"/>
            <w:vMerge w:val="continue"/>
            <w:vAlign w:val="center"/>
          </w:tcP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供应商（磋商代表）参加磋商的身份证明要求</w:t>
            </w:r>
          </w:p>
        </w:tc>
        <w:tc>
          <w:tcPr>
            <w:tcW w:w="6029" w:type="dxa"/>
            <w:vAlign w:val="center"/>
          </w:tcPr>
          <w:p>
            <w:pPr>
              <w:wordWrap w:val="0"/>
              <w:autoSpaceDE w:val="0"/>
              <w:autoSpaceDN w:val="0"/>
              <w:spacing w:line="312" w:lineRule="auto"/>
              <w:rPr>
                <w:rFonts w:ascii="宋体" w:hAnsi="宋体"/>
                <w:szCs w:val="24"/>
              </w:rPr>
            </w:pPr>
            <w:r>
              <w:rPr>
                <w:rFonts w:hint="eastAsia" w:ascii="宋体" w:hAnsi="宋体"/>
                <w:szCs w:val="24"/>
              </w:rPr>
              <w:t>（1）磋商代表人数：不超过</w:t>
            </w:r>
            <w:r>
              <w:rPr>
                <w:rFonts w:hint="eastAsia" w:ascii="宋体" w:hAnsi="宋体"/>
                <w:szCs w:val="24"/>
                <w:u w:val="single"/>
              </w:rPr>
              <w:t xml:space="preserve">  2 </w:t>
            </w:r>
            <w:r>
              <w:rPr>
                <w:rFonts w:hint="eastAsia" w:ascii="宋体" w:hAnsi="宋体"/>
                <w:szCs w:val="24"/>
              </w:rPr>
              <w:t>人。</w:t>
            </w:r>
          </w:p>
          <w:p>
            <w:pPr>
              <w:wordWrap w:val="0"/>
              <w:autoSpaceDE w:val="0"/>
              <w:autoSpaceDN w:val="0"/>
              <w:spacing w:line="312" w:lineRule="auto"/>
              <w:rPr>
                <w:rFonts w:ascii="宋体" w:hAnsi="宋体"/>
                <w:szCs w:val="24"/>
              </w:rPr>
            </w:pPr>
            <w:r>
              <w:rPr>
                <w:rFonts w:hint="eastAsia" w:ascii="宋体" w:hAnsi="宋体"/>
                <w:szCs w:val="24"/>
              </w:rPr>
              <w:t>（2）身份证明材料：</w:t>
            </w:r>
          </w:p>
          <w:p>
            <w:pPr>
              <w:wordWrap w:val="0"/>
              <w:autoSpaceDE w:val="0"/>
              <w:autoSpaceDN w:val="0"/>
              <w:spacing w:line="312" w:lineRule="auto"/>
              <w:rPr>
                <w:rFonts w:ascii="宋体" w:hAnsi="宋体"/>
                <w:szCs w:val="24"/>
              </w:rPr>
            </w:pPr>
            <w:r>
              <w:rPr>
                <w:rFonts w:hint="eastAsia" w:ascii="宋体" w:hAnsi="宋体"/>
                <w:szCs w:val="24"/>
              </w:rPr>
              <w:t>法定代表人参加磋商的：</w:t>
            </w:r>
            <w:r>
              <w:rPr>
                <w:rFonts w:hint="eastAsia" w:ascii="宋体" w:hAnsi="宋体"/>
                <w:szCs w:val="24"/>
              </w:rPr>
              <w:fldChar w:fldCharType="begin"/>
            </w:r>
            <w:r>
              <w:rPr>
                <w:rFonts w:ascii="宋体" w:hAnsi="宋体"/>
                <w:szCs w:val="24"/>
              </w:rPr>
              <w:instrText xml:space="preserve"> </w:instrText>
            </w:r>
            <w:r>
              <w:rPr>
                <w:rFonts w:hint="eastAsia" w:ascii="宋体" w:hAnsi="宋体"/>
                <w:szCs w:val="24"/>
              </w:rPr>
              <w:instrText xml:space="preserve">= 1 \* GB3</w:instrText>
            </w:r>
            <w:r>
              <w:rPr>
                <w:rFonts w:ascii="宋体" w:hAnsi="宋体"/>
                <w:szCs w:val="24"/>
              </w:rPr>
              <w:instrText xml:space="preserve"> </w:instrText>
            </w:r>
            <w:r>
              <w:rPr>
                <w:rFonts w:ascii="宋体" w:hAnsi="宋体"/>
                <w:szCs w:val="24"/>
              </w:rPr>
              <w:fldChar w:fldCharType="separate"/>
            </w:r>
            <w:r>
              <w:rPr>
                <w:rFonts w:hint="eastAsia" w:ascii="宋体" w:hAnsi="宋体"/>
                <w:szCs w:val="24"/>
              </w:rPr>
              <w:t>①</w:t>
            </w:r>
            <w:r>
              <w:rPr>
                <w:rFonts w:ascii="宋体" w:hAnsi="宋体"/>
                <w:szCs w:val="24"/>
              </w:rPr>
              <w:fldChar w:fldCharType="end"/>
            </w:r>
            <w:r>
              <w:rPr>
                <w:rFonts w:hint="eastAsia" w:ascii="宋体" w:hAnsi="宋体"/>
                <w:szCs w:val="24"/>
              </w:rPr>
              <w:t>身份证原件。</w:t>
            </w:r>
          </w:p>
          <w:p>
            <w:pPr>
              <w:wordWrap w:val="0"/>
              <w:autoSpaceDE w:val="0"/>
              <w:autoSpaceDN w:val="0"/>
              <w:spacing w:line="312" w:lineRule="auto"/>
              <w:rPr>
                <w:rFonts w:ascii="宋体" w:hAnsi="宋体"/>
                <w:b/>
                <w:szCs w:val="24"/>
              </w:rPr>
            </w:pPr>
            <w:r>
              <w:rPr>
                <w:rFonts w:hint="eastAsia" w:ascii="宋体" w:hAnsi="宋体"/>
                <w:szCs w:val="24"/>
              </w:rPr>
              <w:t>委托代理人参加磋商的：</w:t>
            </w:r>
            <w:r>
              <w:rPr>
                <w:rFonts w:hint="eastAsia" w:ascii="宋体" w:hAnsi="宋体"/>
                <w:szCs w:val="24"/>
              </w:rPr>
              <w:fldChar w:fldCharType="begin"/>
            </w:r>
            <w:r>
              <w:rPr>
                <w:rFonts w:ascii="宋体" w:hAnsi="宋体"/>
                <w:szCs w:val="24"/>
              </w:rPr>
              <w:instrText xml:space="preserve"> </w:instrText>
            </w:r>
            <w:r>
              <w:rPr>
                <w:rFonts w:hint="eastAsia" w:ascii="宋体" w:hAnsi="宋体"/>
                <w:szCs w:val="24"/>
              </w:rPr>
              <w:instrText xml:space="preserve">= 1 \* GB3</w:instrText>
            </w:r>
            <w:r>
              <w:rPr>
                <w:rFonts w:ascii="宋体" w:hAnsi="宋体"/>
                <w:szCs w:val="24"/>
              </w:rPr>
              <w:instrText xml:space="preserve"> </w:instrText>
            </w:r>
            <w:r>
              <w:rPr>
                <w:rFonts w:ascii="宋体" w:hAnsi="宋体"/>
                <w:szCs w:val="24"/>
              </w:rPr>
              <w:fldChar w:fldCharType="separate"/>
            </w:r>
            <w:r>
              <w:rPr>
                <w:rFonts w:hint="eastAsia" w:ascii="宋体" w:hAnsi="宋体"/>
                <w:szCs w:val="24"/>
              </w:rPr>
              <w:t>①</w:t>
            </w:r>
            <w:r>
              <w:rPr>
                <w:rFonts w:ascii="宋体" w:hAnsi="宋体"/>
                <w:szCs w:val="24"/>
              </w:rPr>
              <w:fldChar w:fldCharType="end"/>
            </w:r>
            <w:r>
              <w:rPr>
                <w:rFonts w:hint="eastAsia" w:ascii="宋体" w:hAnsi="宋体"/>
                <w:szCs w:val="24"/>
              </w:rPr>
              <w:t>身份证原件；</w:t>
            </w:r>
            <w:r>
              <w:rPr>
                <w:rFonts w:hint="eastAsia" w:ascii="宋体" w:hAnsi="宋体"/>
                <w:szCs w:val="24"/>
              </w:rPr>
              <w:fldChar w:fldCharType="begin"/>
            </w:r>
            <w:r>
              <w:rPr>
                <w:rFonts w:ascii="宋体" w:hAnsi="宋体"/>
                <w:szCs w:val="24"/>
              </w:rPr>
              <w:instrText xml:space="preserve"> </w:instrText>
            </w:r>
            <w:r>
              <w:rPr>
                <w:rFonts w:hint="eastAsia" w:ascii="宋体" w:hAnsi="宋体"/>
                <w:szCs w:val="24"/>
              </w:rPr>
              <w:instrText xml:space="preserve">= 2 \* GB3</w:instrText>
            </w:r>
            <w:r>
              <w:rPr>
                <w:rFonts w:ascii="宋体" w:hAnsi="宋体"/>
                <w:szCs w:val="24"/>
              </w:rPr>
              <w:instrText xml:space="preserve"> </w:instrText>
            </w:r>
            <w:r>
              <w:rPr>
                <w:rFonts w:ascii="宋体" w:hAnsi="宋体"/>
                <w:szCs w:val="24"/>
              </w:rPr>
              <w:fldChar w:fldCharType="separate"/>
            </w:r>
            <w:r>
              <w:rPr>
                <w:rFonts w:hint="eastAsia" w:ascii="宋体" w:hAnsi="宋体"/>
                <w:szCs w:val="24"/>
              </w:rPr>
              <w:t>②</w:t>
            </w:r>
            <w:r>
              <w:rPr>
                <w:rFonts w:ascii="宋体" w:hAnsi="宋体"/>
                <w:szCs w:val="24"/>
              </w:rPr>
              <w:fldChar w:fldCharType="end"/>
            </w:r>
            <w:r>
              <w:rPr>
                <w:rFonts w:hint="eastAsia" w:ascii="宋体" w:hAnsi="宋体"/>
                <w:szCs w:val="24"/>
              </w:rPr>
              <w:t>加盖单位公章的授权委托证明书。（如磋商代表为报价文件的授权代理人，可不重复提供）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Merge w:val="continue"/>
            <w:vAlign w:val="center"/>
          </w:tcP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磋商时间安排</w:t>
            </w:r>
          </w:p>
        </w:tc>
        <w:tc>
          <w:tcPr>
            <w:tcW w:w="6029" w:type="dxa"/>
            <w:vAlign w:val="center"/>
          </w:tcPr>
          <w:p>
            <w:pPr>
              <w:wordWrap w:val="0"/>
              <w:autoSpaceDE w:val="0"/>
              <w:autoSpaceDN w:val="0"/>
              <w:spacing w:line="312" w:lineRule="auto"/>
              <w:rPr>
                <w:rFonts w:ascii="宋体" w:hAnsi="宋体"/>
                <w:szCs w:val="24"/>
              </w:rPr>
            </w:pPr>
            <w:r>
              <w:rPr>
                <w:rFonts w:hint="eastAsia" w:ascii="宋体" w:hAnsi="宋体"/>
                <w:szCs w:val="24"/>
              </w:rPr>
              <w:t>供应商应在首次响应文件提交时间截止后0.5小时内到达磋商地点（提交首次响应文件地点）等候参加磋商。</w:t>
            </w:r>
            <w:r>
              <w:rPr>
                <w:rFonts w:hint="eastAsia" w:ascii="宋体" w:hAnsi="宋体"/>
                <w:b/>
                <w:szCs w:val="24"/>
              </w:rPr>
              <w:t>（最终以磋商小组的要求为准）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6.9</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b/>
                <w:szCs w:val="24"/>
              </w:rPr>
            </w:pPr>
            <w:r>
              <w:rPr>
                <w:rFonts w:hint="eastAsia" w:ascii="宋体" w:hAnsi="宋体"/>
                <w:b/>
                <w:szCs w:val="24"/>
              </w:rPr>
              <w:t>其他规定</w:t>
            </w:r>
          </w:p>
        </w:tc>
        <w:tc>
          <w:tcPr>
            <w:tcW w:w="6029" w:type="dxa"/>
            <w:vAlign w:val="center"/>
          </w:tcPr>
          <w:p>
            <w:pPr>
              <w:wordWrap w:val="0"/>
              <w:autoSpaceDE w:val="0"/>
              <w:autoSpaceDN w:val="0"/>
              <w:spacing w:line="312" w:lineRule="auto"/>
              <w:rPr>
                <w:rFonts w:ascii="宋体" w:hAnsi="宋体"/>
                <w:b/>
                <w:szCs w:val="24"/>
              </w:rPr>
            </w:pPr>
            <w:r>
              <w:rPr>
                <w:rFonts w:hint="eastAsia" w:ascii="宋体" w:hAnsi="宋体"/>
                <w:b/>
                <w:szCs w:val="24"/>
              </w:rPr>
              <w:t>供应商未按规定参加磋商或未提交最后报价文件的，磋商小组有权认为其自动退出磋商。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7.1</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最终符合性审查标准</w:t>
            </w:r>
          </w:p>
        </w:tc>
        <w:tc>
          <w:tcPr>
            <w:tcW w:w="6029" w:type="dxa"/>
            <w:vAlign w:val="center"/>
          </w:tcPr>
          <w:p>
            <w:pPr>
              <w:wordWrap w:val="0"/>
              <w:autoSpaceDE w:val="0"/>
              <w:autoSpaceDN w:val="0"/>
              <w:spacing w:line="312" w:lineRule="auto"/>
              <w:rPr>
                <w:rFonts w:ascii="宋体" w:hAnsi="宋体"/>
                <w:szCs w:val="24"/>
              </w:rPr>
            </w:pPr>
            <w:r>
              <w:rPr>
                <w:rFonts w:hint="eastAsia" w:ascii="宋体" w:hAnsi="宋体"/>
                <w:szCs w:val="24"/>
              </w:rPr>
              <w:t>详见附表2《符合性审查表》</w:t>
            </w:r>
            <w:r>
              <w:rPr>
                <w:rFonts w:hint="eastAsia" w:ascii="宋体" w:hAnsi="宋体"/>
                <w:b/>
                <w:szCs w:val="24"/>
              </w:rPr>
              <w:t>（最终审查部分）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8.1</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技术</w:t>
            </w:r>
            <w:r>
              <w:rPr>
                <w:rFonts w:ascii="宋体" w:hAnsi="宋体"/>
                <w:szCs w:val="24"/>
              </w:rPr>
              <w:t>/服务</w:t>
            </w:r>
            <w:r>
              <w:rPr>
                <w:rFonts w:hint="eastAsia" w:ascii="宋体" w:hAnsi="宋体"/>
                <w:szCs w:val="24"/>
              </w:rPr>
              <w:t>、商务评审标准</w:t>
            </w:r>
          </w:p>
        </w:tc>
        <w:tc>
          <w:tcPr>
            <w:tcW w:w="6029" w:type="dxa"/>
            <w:vAlign w:val="center"/>
          </w:tcPr>
          <w:p>
            <w:pPr>
              <w:wordWrap w:val="0"/>
              <w:autoSpaceDE w:val="0"/>
              <w:autoSpaceDN w:val="0"/>
              <w:spacing w:line="312" w:lineRule="auto"/>
              <w:rPr>
                <w:rFonts w:ascii="宋体" w:hAnsi="宋体"/>
                <w:szCs w:val="24"/>
              </w:rPr>
            </w:pPr>
            <w:r>
              <w:rPr>
                <w:rFonts w:hint="eastAsia" w:ascii="宋体" w:hAnsi="宋体"/>
                <w:szCs w:val="24"/>
              </w:rPr>
              <w:t>详见附表3《技术</w:t>
            </w:r>
            <w:r>
              <w:rPr>
                <w:rFonts w:ascii="宋体" w:hAnsi="宋体"/>
                <w:szCs w:val="24"/>
              </w:rPr>
              <w:t>/服务</w:t>
            </w:r>
            <w:r>
              <w:rPr>
                <w:rFonts w:hint="eastAsia" w:ascii="宋体" w:hAnsi="宋体"/>
                <w:szCs w:val="24"/>
              </w:rPr>
              <w:t>评审表》、</w:t>
            </w:r>
          </w:p>
          <w:p>
            <w:pPr>
              <w:wordWrap w:val="0"/>
              <w:autoSpaceDE w:val="0"/>
              <w:autoSpaceDN w:val="0"/>
              <w:spacing w:line="312" w:lineRule="auto"/>
              <w:rPr>
                <w:rFonts w:ascii="宋体" w:hAnsi="宋体"/>
                <w:szCs w:val="24"/>
              </w:rPr>
            </w:pPr>
            <w:r>
              <w:rPr>
                <w:rFonts w:hint="eastAsia" w:ascii="宋体" w:hAnsi="宋体"/>
                <w:szCs w:val="24"/>
              </w:rPr>
              <w:t>附表4《商务评审表》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9</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价格评审标准</w:t>
            </w:r>
          </w:p>
        </w:tc>
        <w:tc>
          <w:tcPr>
            <w:tcW w:w="6029" w:type="dxa"/>
            <w:vAlign w:val="center"/>
          </w:tcPr>
          <w:p>
            <w:pPr>
              <w:wordWrap w:val="0"/>
              <w:autoSpaceDE w:val="0"/>
              <w:autoSpaceDN w:val="0"/>
              <w:spacing w:line="312" w:lineRule="auto"/>
              <w:rPr>
                <w:rFonts w:ascii="宋体" w:hAnsi="宋体"/>
                <w:szCs w:val="24"/>
              </w:rPr>
            </w:pPr>
            <w:r>
              <w:rPr>
                <w:rFonts w:hint="eastAsia" w:ascii="宋体" w:hAnsi="宋体"/>
                <w:szCs w:val="24"/>
              </w:rPr>
              <w:t>详见附表5《价格评审表》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Merge w:val="restart"/>
            <w:vAlign w:val="center"/>
          </w:tcPr>
          <w:p>
            <w:pPr>
              <w:wordWrap w:val="0"/>
              <w:autoSpaceDE w:val="0"/>
              <w:autoSpaceDN w:val="0"/>
              <w:spacing w:line="312" w:lineRule="auto"/>
              <w:jc w:val="center"/>
              <w:rPr>
                <w:rFonts w:ascii="宋体" w:hAnsi="宋体"/>
                <w:szCs w:val="24"/>
              </w:rPr>
            </w:pPr>
            <w:r>
              <w:rPr>
                <w:rFonts w:hint="eastAsia" w:ascii="宋体" w:hAnsi="宋体"/>
                <w:szCs w:val="24"/>
              </w:rPr>
              <w:t>9.2</w:t>
            </w:r>
          </w:p>
        </w:tc>
        <w:tc>
          <w:tcPr>
            <w:tcW w:w="1985" w:type="dxa"/>
            <w:vMerge w:val="restart"/>
            <w:tcBorders>
              <w:top w:val="single" w:color="auto" w:sz="4" w:space="0"/>
              <w:left w:val="single" w:color="auto" w:sz="4" w:space="0"/>
              <w:right w:val="single" w:color="auto" w:sz="4" w:space="0"/>
            </w:tcBorders>
            <w:vAlign w:val="center"/>
          </w:tcPr>
          <w:p>
            <w:pPr>
              <w:wordWrap w:val="0"/>
              <w:autoSpaceDE w:val="0"/>
              <w:autoSpaceDN w:val="0"/>
              <w:spacing w:line="312" w:lineRule="auto"/>
              <w:rPr>
                <w:rFonts w:ascii="宋体" w:hAnsi="宋体"/>
                <w:szCs w:val="24"/>
              </w:rPr>
            </w:pPr>
            <w:r>
              <w:rPr>
                <w:rFonts w:hint="eastAsia" w:ascii="宋体" w:hAnsi="宋体"/>
                <w:szCs w:val="24"/>
              </w:rPr>
              <w:t>小型、微型企业的评审优惠</w:t>
            </w:r>
          </w:p>
        </w:tc>
        <w:tc>
          <w:tcPr>
            <w:tcW w:w="6029" w:type="dxa"/>
            <w:vAlign w:val="center"/>
          </w:tcPr>
          <w:p>
            <w:pPr>
              <w:wordWrap w:val="0"/>
              <w:autoSpaceDE w:val="0"/>
              <w:autoSpaceDN w:val="0"/>
              <w:spacing w:line="312" w:lineRule="auto"/>
              <w:rPr>
                <w:rFonts w:ascii="宋体" w:hAnsi="宋体"/>
                <w:szCs w:val="24"/>
              </w:rPr>
            </w:pPr>
            <w:r>
              <w:rPr>
                <w:rFonts w:hint="eastAsia" w:ascii="宋体" w:hAnsi="宋体"/>
                <w:b/>
                <w:szCs w:val="24"/>
                <w:bdr w:val="single" w:color="auto" w:sz="4" w:space="0"/>
              </w:rPr>
              <w:t>√</w:t>
            </w:r>
            <w:r>
              <w:rPr>
                <w:rFonts w:hint="eastAsia" w:ascii="宋体" w:hAnsi="宋体"/>
                <w:szCs w:val="24"/>
              </w:rPr>
              <w:t>不属于专门面向中小企业的采购项目（采购包）：</w:t>
            </w:r>
          </w:p>
          <w:p>
            <w:pPr>
              <w:wordWrap w:val="0"/>
              <w:autoSpaceDE w:val="0"/>
              <w:autoSpaceDN w:val="0"/>
              <w:spacing w:line="312" w:lineRule="auto"/>
              <w:rPr>
                <w:rFonts w:ascii="宋体" w:hAnsi="宋体"/>
                <w:szCs w:val="24"/>
              </w:rPr>
            </w:pPr>
            <w:r>
              <w:rPr>
                <w:rFonts w:hint="eastAsia" w:ascii="宋体" w:hAnsi="宋体"/>
                <w:b/>
                <w:szCs w:val="24"/>
                <w:bdr w:val="single" w:color="auto" w:sz="4" w:space="0"/>
              </w:rPr>
              <w:t>√</w:t>
            </w:r>
            <w:r>
              <w:rPr>
                <w:rFonts w:hint="eastAsia" w:ascii="宋体" w:hAnsi="宋体"/>
                <w:szCs w:val="24"/>
              </w:rPr>
              <w:t>价格扣除比例：C1=10%</w:t>
            </w:r>
          </w:p>
          <w:p>
            <w:pPr>
              <w:wordWrap w:val="0"/>
              <w:autoSpaceDE w:val="0"/>
              <w:autoSpaceDN w:val="0"/>
              <w:spacing w:line="312" w:lineRule="auto"/>
              <w:rPr>
                <w:rFonts w:ascii="宋体" w:hAnsi="宋体"/>
                <w:szCs w:val="24"/>
              </w:rPr>
            </w:pPr>
            <w:r>
              <w:rPr>
                <w:rFonts w:hint="eastAsia" w:ascii="宋体" w:hAnsi="宋体"/>
                <w:szCs w:val="24"/>
              </w:rPr>
              <w:t>□价格扣除比例：C2=4%（若允许联合体报价）</w:t>
            </w:r>
          </w:p>
          <w:p>
            <w:pPr>
              <w:wordWrap w:val="0"/>
              <w:autoSpaceDE w:val="0"/>
              <w:autoSpaceDN w:val="0"/>
              <w:spacing w:line="312" w:lineRule="auto"/>
              <w:rPr>
                <w:rFonts w:ascii="宋体" w:hAnsi="宋体"/>
                <w:i/>
                <w:szCs w:val="24"/>
              </w:rPr>
            </w:pPr>
            <w:r>
              <w:rPr>
                <w:rFonts w:hint="eastAsia" w:ascii="宋体" w:hAnsi="宋体"/>
                <w:szCs w:val="24"/>
              </w:rPr>
              <w:t>□价格扣除比例：C2=4%（若允许合同分包）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Merge w:val="continue"/>
            <w:vAlign w:val="center"/>
          </w:tcPr>
          <w:p/>
        </w:tc>
        <w:tc>
          <w:tcPr>
            <w:tcW w:w="1985" w:type="dxa"/>
            <w:vMerge w:val="continue"/>
            <w:tcBorders>
              <w:top w:val="single" w:color="auto" w:sz="4" w:space="0"/>
              <w:left w:val="single" w:color="auto" w:sz="4" w:space="0"/>
              <w:right w:val="single" w:color="auto" w:sz="4" w:space="0"/>
            </w:tcBorders>
            <w:vAlign w:val="center"/>
          </w:tcPr>
          <w:p/>
        </w:tc>
        <w:tc>
          <w:tcPr>
            <w:tcW w:w="6029" w:type="dxa"/>
            <w:vAlign w:val="center"/>
          </w:tcPr>
          <w:p>
            <w:pPr>
              <w:wordWrap w:val="0"/>
              <w:autoSpaceDE w:val="0"/>
              <w:autoSpaceDN w:val="0"/>
              <w:spacing w:line="312" w:lineRule="auto"/>
              <w:rPr>
                <w:rFonts w:ascii="宋体" w:hAnsi="宋体"/>
                <w:szCs w:val="24"/>
              </w:rPr>
            </w:pPr>
            <w:r>
              <w:rPr>
                <w:rFonts w:hint="eastAsia" w:ascii="宋体" w:hAnsi="宋体"/>
                <w:szCs w:val="24"/>
              </w:rPr>
              <w:t>□属于专门面向中小企业的采购项目（采购包）：</w:t>
            </w:r>
          </w:p>
          <w:p>
            <w:pPr>
              <w:wordWrap w:val="0"/>
              <w:autoSpaceDE w:val="0"/>
              <w:autoSpaceDN w:val="0"/>
              <w:spacing w:line="312" w:lineRule="auto"/>
              <w:rPr>
                <w:rFonts w:ascii="宋体" w:hAnsi="宋体"/>
                <w:szCs w:val="24"/>
              </w:rPr>
            </w:pPr>
            <w:r>
              <w:rPr>
                <w:rFonts w:hint="eastAsia" w:ascii="宋体" w:hAnsi="宋体"/>
                <w:szCs w:val="24"/>
              </w:rPr>
              <w:t>不再执行价格评审优惠的扶持政策。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9" w:type="dxa"/>
            <w:vMerge w:val="continue"/>
            <w:vAlign w:val="center"/>
          </w:tcP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节能产品的评审优惠</w:t>
            </w:r>
          </w:p>
        </w:tc>
        <w:tc>
          <w:tcPr>
            <w:tcW w:w="6029" w:type="dxa"/>
            <w:vAlign w:val="center"/>
          </w:tcPr>
          <w:p>
            <w:pPr>
              <w:wordWrap w:val="0"/>
              <w:autoSpaceDE w:val="0"/>
              <w:autoSpaceDN w:val="0"/>
              <w:spacing w:line="312" w:lineRule="auto"/>
              <w:rPr>
                <w:rFonts w:ascii="宋体" w:hAnsi="宋体"/>
                <w:szCs w:val="24"/>
                <w:u w:val="single"/>
              </w:rPr>
            </w:pPr>
            <w:r>
              <w:rPr>
                <w:rFonts w:hint="eastAsia" w:ascii="宋体" w:hAnsi="宋体"/>
                <w:b/>
                <w:szCs w:val="24"/>
                <w:bdr w:val="single" w:color="auto" w:sz="4" w:space="0"/>
              </w:rPr>
              <w:t>√</w:t>
            </w:r>
            <w:r>
              <w:rPr>
                <w:rFonts w:hint="eastAsia" w:ascii="宋体" w:hAnsi="宋体"/>
                <w:szCs w:val="24"/>
              </w:rPr>
              <w:t>价格扣除方式：扣除比例C3=</w:t>
            </w:r>
            <w:r>
              <w:rPr>
                <w:rFonts w:hint="eastAsia" w:ascii="宋体" w:hAnsi="宋体"/>
                <w:szCs w:val="24"/>
                <w:u w:val="single"/>
              </w:rPr>
              <w:t xml:space="preserve"> 1 </w:t>
            </w:r>
            <w:r>
              <w:rPr>
                <w:rFonts w:hint="eastAsia" w:ascii="宋体" w:hAnsi="宋体"/>
                <w:szCs w:val="24"/>
              </w:rPr>
              <w:t>%。</w:t>
            </w:r>
          </w:p>
          <w:p>
            <w:pPr>
              <w:wordWrap w:val="0"/>
              <w:autoSpaceDE w:val="0"/>
              <w:autoSpaceDN w:val="0"/>
              <w:spacing w:line="312" w:lineRule="auto"/>
              <w:rPr>
                <w:rFonts w:ascii="宋体" w:hAnsi="宋体"/>
                <w:szCs w:val="24"/>
              </w:rPr>
            </w:pPr>
            <w:r>
              <w:rPr>
                <w:rFonts w:hint="eastAsia" w:ascii="宋体" w:hAnsi="宋体"/>
                <w:szCs w:val="24"/>
              </w:rPr>
              <w:t>□技术/服务加分方式：详见《技术评审表》。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Merge w:val="continue"/>
            <w:vAlign w:val="center"/>
          </w:tcP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环境标志产品的评审优惠</w:t>
            </w:r>
          </w:p>
        </w:tc>
        <w:tc>
          <w:tcPr>
            <w:tcW w:w="6029" w:type="dxa"/>
            <w:vAlign w:val="center"/>
          </w:tcPr>
          <w:p>
            <w:pPr>
              <w:wordWrap w:val="0"/>
              <w:autoSpaceDE w:val="0"/>
              <w:autoSpaceDN w:val="0"/>
              <w:spacing w:line="312" w:lineRule="auto"/>
              <w:rPr>
                <w:rFonts w:ascii="宋体" w:hAnsi="宋体"/>
                <w:szCs w:val="24"/>
                <w:u w:val="single"/>
              </w:rPr>
            </w:pPr>
            <w:r>
              <w:rPr>
                <w:rFonts w:hint="eastAsia" w:ascii="宋体" w:hAnsi="宋体"/>
                <w:b/>
                <w:szCs w:val="24"/>
                <w:bdr w:val="single" w:color="auto" w:sz="4" w:space="0"/>
              </w:rPr>
              <w:t>√</w:t>
            </w:r>
            <w:r>
              <w:rPr>
                <w:rFonts w:hint="eastAsia" w:ascii="宋体" w:hAnsi="宋体"/>
                <w:szCs w:val="24"/>
              </w:rPr>
              <w:t>价格扣除方式：扣除比例C4=</w:t>
            </w:r>
            <w:r>
              <w:rPr>
                <w:rFonts w:hint="eastAsia" w:ascii="宋体" w:hAnsi="宋体"/>
                <w:szCs w:val="24"/>
                <w:u w:val="single"/>
              </w:rPr>
              <w:t xml:space="preserve"> 1 </w:t>
            </w:r>
            <w:r>
              <w:rPr>
                <w:rFonts w:hint="eastAsia" w:ascii="宋体" w:hAnsi="宋体"/>
                <w:szCs w:val="24"/>
              </w:rPr>
              <w:t>%。</w:t>
            </w:r>
          </w:p>
          <w:p>
            <w:pPr>
              <w:wordWrap w:val="0"/>
              <w:autoSpaceDE w:val="0"/>
              <w:autoSpaceDN w:val="0"/>
              <w:spacing w:line="312" w:lineRule="auto"/>
              <w:rPr>
                <w:rFonts w:ascii="宋体" w:hAnsi="宋体"/>
                <w:szCs w:val="24"/>
              </w:rPr>
            </w:pPr>
            <w:r>
              <w:rPr>
                <w:rFonts w:hint="eastAsia" w:ascii="宋体" w:hAnsi="宋体"/>
                <w:szCs w:val="24"/>
              </w:rPr>
              <w:t>□技术/服务加分方式：详见《技术评审表》。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11.1</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成交候选供应商数量</w:t>
            </w:r>
          </w:p>
        </w:tc>
        <w:tc>
          <w:tcPr>
            <w:tcW w:w="6029" w:type="dxa"/>
            <w:vAlign w:val="center"/>
          </w:tcPr>
          <w:p>
            <w:pPr>
              <w:wordWrap w:val="0"/>
              <w:autoSpaceDE w:val="0"/>
              <w:autoSpaceDN w:val="0"/>
              <w:spacing w:line="312" w:lineRule="auto"/>
              <w:rPr>
                <w:rFonts w:ascii="宋体" w:hAnsi="宋体"/>
                <w:szCs w:val="24"/>
              </w:rPr>
            </w:pPr>
            <w:r>
              <w:rPr>
                <w:rFonts w:hint="eastAsia" w:ascii="宋体" w:hAnsi="宋体"/>
                <w:szCs w:val="24"/>
              </w:rPr>
              <w:t>（各采购包）推荐成交候选供应商数</w:t>
            </w:r>
            <w:r>
              <w:rPr>
                <w:rFonts w:ascii="宋体" w:hAnsi="宋体"/>
                <w:szCs w:val="24"/>
              </w:rPr>
              <w:t>量</w:t>
            </w:r>
            <w:r>
              <w:rPr>
                <w:rFonts w:hint="eastAsia" w:ascii="宋体" w:hAnsi="宋体"/>
                <w:szCs w:val="24"/>
              </w:rPr>
              <w:t>：</w:t>
            </w:r>
            <w:r>
              <w:rPr>
                <w:rFonts w:hint="eastAsia" w:ascii="宋体" w:hAnsi="宋体"/>
                <w:szCs w:val="24"/>
                <w:u w:val="single"/>
              </w:rPr>
              <w:t xml:space="preserve"> 3 </w:t>
            </w:r>
            <w:r>
              <w:rPr>
                <w:rFonts w:hint="eastAsia" w:ascii="宋体" w:hAnsi="宋体"/>
                <w:szCs w:val="24"/>
              </w:rPr>
              <w:t>名</w:t>
            </w:r>
          </w:p>
          <w:p>
            <w:pPr>
              <w:wordWrap w:val="0"/>
              <w:autoSpaceDE w:val="0"/>
              <w:autoSpaceDN w:val="0"/>
              <w:spacing w:line="312" w:lineRule="auto"/>
              <w:rPr>
                <w:rFonts w:ascii="宋体" w:hAnsi="宋体"/>
                <w:i/>
                <w:szCs w:val="24"/>
              </w:rPr>
            </w:pPr>
            <w:r>
              <w:rPr>
                <w:rFonts w:hint="eastAsia" w:ascii="宋体" w:hAnsi="宋体"/>
                <w:szCs w:val="24"/>
              </w:rPr>
              <w:t>注：符合最后报价供应商可以为2家的特殊情形的，项目（采购包）推荐成交候选供应商数量：2名。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vAlign w:val="center"/>
          </w:tcPr>
          <w:p>
            <w:pPr>
              <w:wordWrap w:val="0"/>
              <w:autoSpaceDE w:val="0"/>
              <w:autoSpaceDN w:val="0"/>
              <w:spacing w:line="312" w:lineRule="auto"/>
              <w:jc w:val="center"/>
              <w:rPr>
                <w:rFonts w:ascii="宋体" w:hAnsi="宋体"/>
                <w:szCs w:val="24"/>
              </w:rPr>
            </w:pPr>
            <w:r>
              <w:rPr>
                <w:rFonts w:hint="eastAsia" w:ascii="宋体" w:hAnsi="宋体"/>
                <w:szCs w:val="24"/>
              </w:rPr>
              <w:t>12.1</w:t>
            </w:r>
          </w:p>
        </w:tc>
        <w:tc>
          <w:tcPr>
            <w:tcW w:w="1985" w:type="dxa"/>
            <w:tcBorders>
              <w:top w:val="single" w:color="auto" w:sz="4" w:space="0"/>
              <w:left w:val="single" w:color="auto" w:sz="4" w:space="0"/>
              <w:right w:val="single" w:color="auto" w:sz="4" w:space="0"/>
            </w:tcBorders>
            <w:vAlign w:val="center"/>
          </w:tcPr>
          <w:p>
            <w:pPr>
              <w:wordWrap w:val="0"/>
              <w:autoSpaceDE w:val="0"/>
              <w:autoSpaceDN w:val="0"/>
              <w:spacing w:line="312" w:lineRule="auto"/>
              <w:jc w:val="center"/>
              <w:rPr>
                <w:rFonts w:ascii="宋体" w:hAnsi="宋体"/>
                <w:szCs w:val="24"/>
              </w:rPr>
            </w:pPr>
            <w:r>
              <w:rPr>
                <w:rFonts w:hint="eastAsia" w:ascii="宋体" w:hAnsi="宋体"/>
                <w:szCs w:val="24"/>
              </w:rPr>
              <w:t>成交供应商数量</w:t>
            </w:r>
          </w:p>
        </w:tc>
        <w:tc>
          <w:tcPr>
            <w:tcW w:w="6029" w:type="dxa"/>
            <w:vAlign w:val="center"/>
          </w:tcPr>
          <w:p>
            <w:pPr>
              <w:wordWrap w:val="0"/>
              <w:autoSpaceDE w:val="0"/>
              <w:autoSpaceDN w:val="0"/>
              <w:spacing w:line="312" w:lineRule="auto"/>
              <w:rPr>
                <w:rFonts w:ascii="宋体" w:hAnsi="宋体"/>
                <w:szCs w:val="24"/>
              </w:rPr>
            </w:pPr>
            <w:r>
              <w:rPr>
                <w:rFonts w:hint="eastAsia" w:ascii="宋体" w:hAnsi="宋体"/>
                <w:szCs w:val="24"/>
              </w:rPr>
              <w:t>1名</w:t>
            </w:r>
          </w:p>
        </w:tc>
      </w:tr>
    </w:tbl>
    <w:p>
      <w:pPr>
        <w:rPr>
          <w:rFonts w:ascii="宋体" w:hAnsi="宋体" w:cs="Arial"/>
          <w:szCs w:val="24"/>
        </w:rPr>
      </w:pPr>
      <w:r>
        <w:rPr>
          <w:rFonts w:hint="eastAsia" w:ascii="宋体" w:hAnsi="宋体" w:cs="Arial"/>
          <w:szCs w:val="24"/>
        </w:rPr>
        <w:br w:type="page"/>
      </w:r>
      <w:r>
        <w:rPr>
          <w:rFonts w:hint="eastAsia" w:ascii="宋体" w:hAnsi="宋体" w:cs="Arial"/>
          <w:szCs w:val="24"/>
        </w:rPr>
        <w:t>附评审标准如下：</w:t>
      </w:r>
    </w:p>
    <w:p>
      <w:pPr>
        <w:pStyle w:val="5"/>
        <w:numPr>
          <w:ilvl w:val="0"/>
          <w:numId w:val="0"/>
        </w:numPr>
        <w:tabs>
          <w:tab w:val="left" w:pos="945"/>
        </w:tabs>
        <w:spacing w:before="0" w:after="0" w:line="360" w:lineRule="auto"/>
        <w:ind w:left="425" w:hanging="425"/>
        <w:rPr>
          <w:rFonts w:ascii="宋体" w:hAnsi="宋体"/>
          <w:sz w:val="24"/>
          <w:szCs w:val="24"/>
        </w:rPr>
      </w:pPr>
      <w:bookmarkStart w:id="249" w:name="_Toc56180306"/>
      <w:bookmarkStart w:id="250" w:name="_Toc55398710"/>
      <w:r>
        <w:rPr>
          <w:rFonts w:hint="eastAsia" w:ascii="宋体" w:hAnsi="宋体"/>
          <w:sz w:val="24"/>
          <w:szCs w:val="24"/>
        </w:rPr>
        <w:t>附表1：资格审查表</w:t>
      </w:r>
      <w:bookmarkEnd w:id="249"/>
      <w:bookmarkEnd w:id="250"/>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6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701" w:type="dxa"/>
          </w:tcPr>
          <w:p>
            <w:pPr>
              <w:wordWrap w:val="0"/>
              <w:autoSpaceDE w:val="0"/>
              <w:autoSpaceDN w:val="0"/>
              <w:spacing w:line="288" w:lineRule="auto"/>
              <w:jc w:val="center"/>
              <w:rPr>
                <w:rFonts w:ascii="宋体" w:hAnsi="宋体"/>
                <w:b/>
                <w:szCs w:val="24"/>
              </w:rPr>
            </w:pPr>
            <w:r>
              <w:rPr>
                <w:rFonts w:hint="eastAsia" w:ascii="宋体" w:hAnsi="宋体"/>
                <w:b/>
                <w:szCs w:val="24"/>
              </w:rPr>
              <w:t>审查项目</w:t>
            </w:r>
          </w:p>
        </w:tc>
        <w:tc>
          <w:tcPr>
            <w:tcW w:w="6524" w:type="dxa"/>
            <w:vAlign w:val="center"/>
          </w:tcPr>
          <w:p>
            <w:pPr>
              <w:wordWrap w:val="0"/>
              <w:autoSpaceDE w:val="0"/>
              <w:autoSpaceDN w:val="0"/>
              <w:spacing w:line="288" w:lineRule="auto"/>
              <w:jc w:val="center"/>
              <w:rPr>
                <w:rFonts w:ascii="宋体" w:hAnsi="宋体"/>
                <w:b/>
                <w:szCs w:val="24"/>
              </w:rPr>
            </w:pPr>
            <w:r>
              <w:rPr>
                <w:rFonts w:hint="eastAsia" w:ascii="宋体" w:hAnsi="宋体"/>
                <w:b/>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pPr>
              <w:wordWrap w:val="0"/>
              <w:autoSpaceDE w:val="0"/>
              <w:autoSpaceDN w:val="0"/>
              <w:spacing w:line="288" w:lineRule="auto"/>
              <w:jc w:val="center"/>
              <w:rPr>
                <w:rFonts w:ascii="宋体" w:hAnsi="宋体"/>
                <w:szCs w:val="24"/>
              </w:rPr>
            </w:pPr>
            <w:r>
              <w:rPr>
                <w:rFonts w:hint="eastAsia" w:ascii="宋体" w:hAnsi="宋体"/>
                <w:szCs w:val="24"/>
              </w:rPr>
              <w:t>资格性审查</w:t>
            </w:r>
          </w:p>
        </w:tc>
        <w:tc>
          <w:tcPr>
            <w:tcW w:w="6524" w:type="dxa"/>
            <w:vAlign w:val="center"/>
          </w:tcPr>
          <w:p>
            <w:pPr>
              <w:rPr>
                <w:rFonts w:ascii="宋体" w:hAnsi="宋体"/>
                <w:szCs w:val="24"/>
              </w:rPr>
            </w:pPr>
            <w:r>
              <w:rPr>
                <w:rFonts w:hint="eastAsia" w:ascii="宋体" w:hAnsi="宋体"/>
                <w:szCs w:val="24"/>
              </w:rPr>
              <w:t>与本项目磋商公告及本文件《磋商邀请》中供应商的资格要求一致（</w:t>
            </w:r>
            <w:r>
              <w:rPr>
                <w:rFonts w:hint="eastAsia" w:ascii="宋体" w:hAnsi="宋体" w:cs="宋体"/>
                <w:szCs w:val="24"/>
              </w:rPr>
              <w:t>如有不一致的，以磋商公告发布的内容为准</w:t>
            </w:r>
            <w:r>
              <w:rPr>
                <w:rFonts w:hint="eastAsia" w:ascii="宋体" w:hAnsi="宋体"/>
                <w:szCs w:val="24"/>
              </w:rPr>
              <w:t>）。</w:t>
            </w:r>
          </w:p>
        </w:tc>
      </w:tr>
    </w:tbl>
    <w:p>
      <w:pPr>
        <w:wordWrap/>
        <w:spacing w:line="240" w:lineRule="auto"/>
        <w:ind w:firstLine="482" w:firstLineChars="200"/>
        <w:rPr>
          <w:rFonts w:ascii="宋体" w:hAnsi="宋体"/>
          <w:szCs w:val="24"/>
        </w:rPr>
      </w:pPr>
      <w:r>
        <w:rPr>
          <w:rFonts w:hint="eastAsia" w:ascii="宋体" w:hAnsi="宋体"/>
          <w:b/>
          <w:szCs w:val="24"/>
        </w:rPr>
        <w:t>备注：</w:t>
      </w:r>
      <w:r>
        <w:rPr>
          <w:rFonts w:hint="eastAsia" w:ascii="宋体" w:hAnsi="宋体"/>
          <w:szCs w:val="24"/>
        </w:rPr>
        <w:t>资格审查时：</w:t>
      </w:r>
    </w:p>
    <w:p>
      <w:pPr>
        <w:wordWrap/>
        <w:spacing w:line="240" w:lineRule="auto"/>
        <w:ind w:firstLine="480" w:firstLineChars="200"/>
        <w:rPr>
          <w:rFonts w:ascii="宋体" w:hAnsi="宋体"/>
          <w:szCs w:val="24"/>
        </w:rPr>
      </w:pPr>
      <w:r>
        <w:rPr>
          <w:rFonts w:hint="eastAsia" w:ascii="宋体" w:hAnsi="宋体"/>
          <w:szCs w:val="24"/>
        </w:rPr>
        <w:t>1.每一项符合的打“√”或“O”，不符合的打“×”。</w:t>
      </w:r>
    </w:p>
    <w:p>
      <w:pPr>
        <w:wordWrap/>
        <w:spacing w:line="240" w:lineRule="auto"/>
        <w:ind w:firstLine="480" w:firstLineChars="200"/>
      </w:pPr>
      <w:r>
        <w:rPr>
          <w:rFonts w:hint="eastAsia" w:ascii="宋体" w:hAnsi="宋体"/>
          <w:szCs w:val="24"/>
        </w:rPr>
        <w:t>2.“结论”一栏填写“通过”或“不通过”；任何一项出现“×”的，结论为不通过；不通过的为无效响应。</w:t>
      </w:r>
    </w:p>
    <w:p>
      <w:pPr>
        <w:pStyle w:val="5"/>
        <w:numPr>
          <w:ilvl w:val="0"/>
          <w:numId w:val="0"/>
        </w:numPr>
        <w:tabs>
          <w:tab w:val="left" w:pos="945"/>
        </w:tabs>
        <w:spacing w:before="0" w:after="0" w:line="360" w:lineRule="auto"/>
        <w:ind w:left="425" w:hanging="425"/>
        <w:rPr>
          <w:rFonts w:ascii="宋体" w:hAnsi="宋体"/>
          <w:sz w:val="24"/>
          <w:szCs w:val="24"/>
        </w:rPr>
      </w:pPr>
      <w:bookmarkStart w:id="251" w:name="_Toc56180307"/>
      <w:bookmarkStart w:id="252" w:name="_Toc55398711"/>
      <w:bookmarkStart w:id="253" w:name="_Toc22806165"/>
      <w:r>
        <w:rPr>
          <w:rFonts w:hint="eastAsia" w:ascii="宋体" w:hAnsi="宋体"/>
          <w:sz w:val="24"/>
          <w:szCs w:val="24"/>
        </w:rPr>
        <w:br w:type="page"/>
      </w:r>
      <w:r>
        <w:rPr>
          <w:rFonts w:hint="eastAsia" w:ascii="宋体" w:hAnsi="宋体"/>
          <w:sz w:val="24"/>
          <w:szCs w:val="24"/>
        </w:rPr>
        <w:t>附表2：符合性审查表</w:t>
      </w:r>
      <w:bookmarkEnd w:id="251"/>
      <w:bookmarkEnd w:id="252"/>
      <w:bookmarkEnd w:id="253"/>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762"/>
        <w:gridCol w:w="1808"/>
        <w:gridCol w:w="5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2" w:type="dxa"/>
          </w:tcPr>
          <w:p>
            <w:pPr>
              <w:wordWrap w:val="0"/>
              <w:autoSpaceDE w:val="0"/>
              <w:autoSpaceDN w:val="0"/>
              <w:jc w:val="center"/>
              <w:rPr>
                <w:rFonts w:ascii="宋体" w:hAnsi="宋体"/>
                <w:b/>
                <w:szCs w:val="24"/>
              </w:rPr>
            </w:pPr>
            <w:r>
              <w:rPr>
                <w:rFonts w:hint="eastAsia" w:ascii="宋体" w:hAnsi="宋体"/>
                <w:b/>
                <w:szCs w:val="24"/>
              </w:rPr>
              <w:t>类别</w:t>
            </w:r>
          </w:p>
        </w:tc>
        <w:tc>
          <w:tcPr>
            <w:tcW w:w="762" w:type="dxa"/>
            <w:vAlign w:val="center"/>
          </w:tcPr>
          <w:p>
            <w:pPr>
              <w:wordWrap w:val="0"/>
              <w:autoSpaceDE w:val="0"/>
              <w:autoSpaceDN w:val="0"/>
              <w:jc w:val="center"/>
              <w:rPr>
                <w:rFonts w:ascii="宋体" w:hAnsi="宋体"/>
                <w:b/>
                <w:szCs w:val="24"/>
              </w:rPr>
            </w:pPr>
            <w:r>
              <w:rPr>
                <w:rFonts w:hint="eastAsia" w:ascii="宋体" w:hAnsi="宋体"/>
                <w:b/>
                <w:szCs w:val="24"/>
              </w:rPr>
              <w:t>序号</w:t>
            </w:r>
          </w:p>
        </w:tc>
        <w:tc>
          <w:tcPr>
            <w:tcW w:w="1808" w:type="dxa"/>
            <w:vAlign w:val="center"/>
          </w:tcPr>
          <w:p>
            <w:pPr>
              <w:wordWrap w:val="0"/>
              <w:autoSpaceDE w:val="0"/>
              <w:autoSpaceDN w:val="0"/>
              <w:jc w:val="center"/>
              <w:rPr>
                <w:rFonts w:ascii="宋体" w:hAnsi="宋体"/>
                <w:b/>
                <w:szCs w:val="24"/>
              </w:rPr>
            </w:pPr>
            <w:r>
              <w:rPr>
                <w:rFonts w:hint="eastAsia" w:ascii="宋体" w:hAnsi="宋体"/>
                <w:b/>
                <w:szCs w:val="24"/>
              </w:rPr>
              <w:t>审查项目</w:t>
            </w:r>
          </w:p>
        </w:tc>
        <w:tc>
          <w:tcPr>
            <w:tcW w:w="5711" w:type="dxa"/>
            <w:vAlign w:val="center"/>
          </w:tcPr>
          <w:p>
            <w:pPr>
              <w:wordWrap w:val="0"/>
              <w:autoSpaceDE w:val="0"/>
              <w:autoSpaceDN w:val="0"/>
              <w:jc w:val="center"/>
              <w:rPr>
                <w:rFonts w:ascii="宋体" w:hAnsi="宋体"/>
                <w:b/>
                <w:szCs w:val="24"/>
              </w:rPr>
            </w:pPr>
            <w:r>
              <w:rPr>
                <w:rFonts w:hint="eastAsia" w:ascii="宋体" w:hAnsi="宋体"/>
                <w:b/>
                <w:szCs w:val="24"/>
              </w:rPr>
              <w:t>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Merge w:val="restart"/>
            <w:vAlign w:val="center"/>
          </w:tcPr>
          <w:p>
            <w:pPr>
              <w:wordWrap w:val="0"/>
              <w:autoSpaceDE w:val="0"/>
              <w:autoSpaceDN w:val="0"/>
              <w:jc w:val="center"/>
              <w:rPr>
                <w:rFonts w:ascii="宋体" w:hAnsi="宋体"/>
                <w:b/>
                <w:szCs w:val="24"/>
              </w:rPr>
            </w:pPr>
            <w:r>
              <w:rPr>
                <w:rFonts w:hint="eastAsia" w:ascii="宋体" w:hAnsi="宋体"/>
                <w:b/>
                <w:szCs w:val="24"/>
              </w:rPr>
              <w:t>初步审查部分</w:t>
            </w:r>
          </w:p>
        </w:tc>
        <w:tc>
          <w:tcPr>
            <w:tcW w:w="762" w:type="dxa"/>
            <w:tcBorders>
              <w:top w:val="single" w:color="auto" w:sz="4" w:space="0"/>
              <w:left w:val="single" w:color="auto" w:sz="4" w:space="0"/>
              <w:right w:val="single" w:color="auto" w:sz="4" w:space="0"/>
            </w:tcBorders>
            <w:vAlign w:val="center"/>
          </w:tcPr>
          <w:p>
            <w:pPr>
              <w:numPr>
                <w:ilvl w:val="0"/>
                <w:numId w:val="35"/>
              </w:numPr>
              <w:wordWrap w:val="0"/>
              <w:autoSpaceDE w:val="0"/>
              <w:autoSpaceDN w:val="0"/>
              <w:ind w:left="0" w:firstLine="0"/>
              <w:jc w:val="center"/>
              <w:rPr>
                <w:rFonts w:ascii="宋体" w:hAnsi="宋体"/>
                <w:szCs w:val="24"/>
              </w:rPr>
            </w:pPr>
          </w:p>
        </w:tc>
        <w:tc>
          <w:tcPr>
            <w:tcW w:w="1808"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报价函</w:t>
            </w:r>
          </w:p>
        </w:tc>
        <w:tc>
          <w:tcPr>
            <w:tcW w:w="5711" w:type="dxa"/>
            <w:vAlign w:val="center"/>
          </w:tcPr>
          <w:p>
            <w:pPr>
              <w:wordWrap w:val="0"/>
              <w:autoSpaceDE w:val="0"/>
              <w:autoSpaceDN w:val="0"/>
              <w:rPr>
                <w:rFonts w:ascii="宋体" w:hAnsi="宋体"/>
                <w:szCs w:val="24"/>
              </w:rPr>
            </w:pPr>
            <w:r>
              <w:rPr>
                <w:rFonts w:hint="eastAsia" w:ascii="宋体" w:hAnsi="宋体"/>
                <w:szCs w:val="24"/>
              </w:rPr>
              <w:t>已按规定格式编制及盖章、签署，磋商有效期满足磋商文件要求。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Merge w:val="continue"/>
          </w:tcPr>
          <w:p/>
        </w:tc>
        <w:tc>
          <w:tcPr>
            <w:tcW w:w="762" w:type="dxa"/>
            <w:tcBorders>
              <w:top w:val="single" w:color="auto" w:sz="4" w:space="0"/>
              <w:left w:val="single" w:color="auto" w:sz="4" w:space="0"/>
              <w:right w:val="single" w:color="auto" w:sz="4" w:space="0"/>
            </w:tcBorders>
            <w:vAlign w:val="center"/>
          </w:tcPr>
          <w:p>
            <w:pPr>
              <w:numPr>
                <w:ilvl w:val="0"/>
                <w:numId w:val="35"/>
              </w:numPr>
              <w:wordWrap w:val="0"/>
              <w:autoSpaceDE w:val="0"/>
              <w:autoSpaceDN w:val="0"/>
              <w:ind w:left="0" w:firstLine="0"/>
              <w:jc w:val="center"/>
              <w:rPr>
                <w:rFonts w:ascii="宋体" w:hAnsi="宋体"/>
                <w:szCs w:val="24"/>
              </w:rPr>
            </w:pPr>
          </w:p>
        </w:tc>
        <w:tc>
          <w:tcPr>
            <w:tcW w:w="1808"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授权文件（如适用）</w:t>
            </w:r>
          </w:p>
        </w:tc>
        <w:tc>
          <w:tcPr>
            <w:tcW w:w="5711" w:type="dxa"/>
            <w:vAlign w:val="center"/>
          </w:tcPr>
          <w:p>
            <w:pPr>
              <w:wordWrap w:val="0"/>
              <w:autoSpaceDE w:val="0"/>
              <w:autoSpaceDN w:val="0"/>
              <w:rPr>
                <w:rFonts w:ascii="宋体" w:hAnsi="宋体"/>
                <w:szCs w:val="24"/>
              </w:rPr>
            </w:pPr>
            <w:r>
              <w:rPr>
                <w:rFonts w:hint="eastAsia" w:ascii="宋体" w:hAnsi="宋体"/>
                <w:szCs w:val="24"/>
              </w:rPr>
              <w:t>法定代表人（负责人）证明书、法定代表人（负责人）授权委托书已按要求提供。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Merge w:val="continue"/>
          </w:tcPr>
          <w:p/>
        </w:tc>
        <w:tc>
          <w:tcPr>
            <w:tcW w:w="762" w:type="dxa"/>
            <w:tcBorders>
              <w:top w:val="single" w:color="auto" w:sz="4" w:space="0"/>
              <w:left w:val="single" w:color="auto" w:sz="4" w:space="0"/>
              <w:right w:val="single" w:color="auto" w:sz="4" w:space="0"/>
            </w:tcBorders>
            <w:vAlign w:val="center"/>
          </w:tcPr>
          <w:p>
            <w:pPr>
              <w:numPr>
                <w:ilvl w:val="0"/>
                <w:numId w:val="35"/>
              </w:numPr>
              <w:wordWrap w:val="0"/>
              <w:autoSpaceDE w:val="0"/>
              <w:autoSpaceDN w:val="0"/>
              <w:ind w:left="0" w:firstLine="0"/>
              <w:jc w:val="center"/>
              <w:rPr>
                <w:rFonts w:ascii="宋体" w:hAnsi="宋体"/>
                <w:szCs w:val="24"/>
              </w:rPr>
            </w:pPr>
          </w:p>
        </w:tc>
        <w:tc>
          <w:tcPr>
            <w:tcW w:w="1808"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响应文件签署、盖章</w:t>
            </w:r>
          </w:p>
        </w:tc>
        <w:tc>
          <w:tcPr>
            <w:tcW w:w="5711" w:type="dxa"/>
            <w:vAlign w:val="center"/>
          </w:tcPr>
          <w:p>
            <w:pPr>
              <w:wordWrap w:val="0"/>
              <w:autoSpaceDE w:val="0"/>
              <w:autoSpaceDN w:val="0"/>
            </w:pPr>
            <w:r>
              <w:rPr>
                <w:rFonts w:hint="eastAsia"/>
              </w:rPr>
              <w:t>以下格式文件已按要求签署、盖章：</w:t>
            </w:r>
          </w:p>
          <w:p>
            <w:pPr>
              <w:wordWrap w:val="0"/>
              <w:autoSpaceDE w:val="0"/>
              <w:autoSpaceDN w:val="0"/>
            </w:pPr>
            <w:r>
              <w:rPr>
                <w:rFonts w:hint="eastAsia"/>
              </w:rPr>
              <w:t>①报价函</w:t>
            </w:r>
          </w:p>
          <w:p>
            <w:pPr>
              <w:wordWrap w:val="0"/>
              <w:autoSpaceDE w:val="0"/>
              <w:autoSpaceDN w:val="0"/>
            </w:pPr>
            <w:r>
              <w:rPr>
                <w:rFonts w:hint="eastAsia"/>
              </w:rPr>
              <w:t>②供应商资格声明函</w:t>
            </w:r>
          </w:p>
          <w:p>
            <w:pPr>
              <w:wordWrap w:val="0"/>
              <w:autoSpaceDE w:val="0"/>
              <w:autoSpaceDN w:val="0"/>
            </w:pPr>
            <w:r>
              <w:rPr>
                <w:rFonts w:hint="eastAsia"/>
              </w:rPr>
              <w:t>③法定代表人（负责人）证明书及法定代表人（负责人）授权委托书（如适用）</w:t>
            </w:r>
          </w:p>
          <w:p>
            <w:pPr>
              <w:wordWrap w:val="0"/>
              <w:autoSpaceDE w:val="0"/>
              <w:autoSpaceDN w:val="0"/>
            </w:pPr>
            <w:r>
              <w:rPr>
                <w:rFonts w:hint="eastAsia"/>
              </w:rPr>
              <w:t>④首次报价一览表</w:t>
            </w:r>
          </w:p>
          <w:p>
            <w:pPr>
              <w:wordWrap w:val="0"/>
              <w:autoSpaceDE w:val="0"/>
              <w:autoSpaceDN w:val="0"/>
            </w:pPr>
            <w:r>
              <w:rPr>
                <w:rFonts w:hint="eastAsia"/>
              </w:rPr>
              <w:t>⑤分项报价明细表（如有）</w:t>
            </w:r>
          </w:p>
          <w:p>
            <w:pPr>
              <w:wordWrap w:val="0"/>
              <w:autoSpaceDE w:val="0"/>
              <w:autoSpaceDN w:val="0"/>
              <w:rPr>
                <w:rFonts w:ascii="宋体" w:hAnsi="宋体"/>
                <w:szCs w:val="24"/>
              </w:rPr>
            </w:pPr>
            <w:r>
              <w:rPr>
                <w:rFonts w:hint="eastAsia"/>
              </w:rPr>
              <w:t>⑥实质性响应一览表（如有）</w:t>
            </w: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Merge w:val="continue"/>
          </w:tcPr>
          <w:p/>
        </w:tc>
        <w:tc>
          <w:tcPr>
            <w:tcW w:w="762" w:type="dxa"/>
            <w:tcBorders>
              <w:top w:val="single" w:color="auto" w:sz="4" w:space="0"/>
              <w:left w:val="single" w:color="auto" w:sz="4" w:space="0"/>
              <w:right w:val="single" w:color="auto" w:sz="4" w:space="0"/>
            </w:tcBorders>
            <w:vAlign w:val="center"/>
          </w:tcPr>
          <w:p>
            <w:pPr>
              <w:numPr>
                <w:ilvl w:val="0"/>
                <w:numId w:val="35"/>
              </w:numPr>
              <w:wordWrap w:val="0"/>
              <w:autoSpaceDE w:val="0"/>
              <w:autoSpaceDN w:val="0"/>
              <w:ind w:left="0" w:firstLine="0"/>
              <w:jc w:val="center"/>
              <w:rPr>
                <w:rFonts w:ascii="宋体" w:hAnsi="宋体"/>
                <w:szCs w:val="24"/>
              </w:rPr>
            </w:pPr>
          </w:p>
        </w:tc>
        <w:tc>
          <w:tcPr>
            <w:tcW w:w="1808"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rPr>
              <w:t>“★”号条款响应</w:t>
            </w:r>
          </w:p>
        </w:tc>
        <w:tc>
          <w:tcPr>
            <w:tcW w:w="5711" w:type="dxa"/>
            <w:vAlign w:val="center"/>
          </w:tcPr>
          <w:p>
            <w:pPr>
              <w:wordWrap w:val="0"/>
              <w:autoSpaceDE w:val="0"/>
              <w:autoSpaceDN w:val="0"/>
              <w:rPr>
                <w:rFonts w:ascii="宋体" w:hAnsi="宋体"/>
                <w:szCs w:val="24"/>
              </w:rPr>
            </w:pPr>
            <w:r>
              <w:rPr>
                <w:rFonts w:hint="eastAsia"/>
              </w:rPr>
              <w:tab/>
            </w:r>
            <w:r>
              <w:rPr>
                <w:rFonts w:hint="eastAsia"/>
              </w:rPr>
              <w:t>实质性响应采购文件中“★”号条款要求。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Merge w:val="continue"/>
          </w:tcPr>
          <w:p/>
        </w:tc>
        <w:tc>
          <w:tcPr>
            <w:tcW w:w="762" w:type="dxa"/>
            <w:tcBorders>
              <w:top w:val="single" w:color="auto" w:sz="4" w:space="0"/>
              <w:left w:val="single" w:color="auto" w:sz="4" w:space="0"/>
              <w:right w:val="single" w:color="auto" w:sz="4" w:space="0"/>
            </w:tcBorders>
            <w:vAlign w:val="center"/>
          </w:tcPr>
          <w:p>
            <w:pPr>
              <w:numPr>
                <w:ilvl w:val="0"/>
                <w:numId w:val="35"/>
              </w:numPr>
              <w:wordWrap w:val="0"/>
              <w:autoSpaceDE w:val="0"/>
              <w:autoSpaceDN w:val="0"/>
              <w:ind w:left="0" w:firstLine="0"/>
              <w:jc w:val="center"/>
              <w:rPr>
                <w:rFonts w:ascii="宋体" w:hAnsi="宋体"/>
                <w:szCs w:val="24"/>
              </w:rPr>
            </w:pPr>
          </w:p>
        </w:tc>
        <w:tc>
          <w:tcPr>
            <w:tcW w:w="1808"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磋商保证金</w:t>
            </w:r>
          </w:p>
          <w:p>
            <w:pPr>
              <w:wordWrap w:val="0"/>
              <w:autoSpaceDE w:val="0"/>
              <w:autoSpaceDN w:val="0"/>
              <w:rPr>
                <w:rFonts w:ascii="宋体" w:hAnsi="宋体"/>
                <w:szCs w:val="24"/>
              </w:rPr>
            </w:pPr>
            <w:r>
              <w:rPr>
                <w:rFonts w:hint="eastAsia" w:ascii="宋体" w:hAnsi="宋体"/>
                <w:b/>
                <w:szCs w:val="24"/>
              </w:rPr>
              <w:t>（如适用）</w:t>
            </w:r>
          </w:p>
        </w:tc>
        <w:tc>
          <w:tcPr>
            <w:tcW w:w="5711" w:type="dxa"/>
            <w:vAlign w:val="center"/>
          </w:tcPr>
          <w:p>
            <w:pPr>
              <w:wordWrap w:val="0"/>
              <w:autoSpaceDE w:val="0"/>
              <w:autoSpaceDN w:val="0"/>
              <w:rPr>
                <w:rFonts w:ascii="宋体" w:hAnsi="宋体"/>
                <w:szCs w:val="24"/>
              </w:rPr>
            </w:pPr>
            <w:r>
              <w:rPr>
                <w:rFonts w:hint="eastAsia" w:ascii="宋体" w:hAnsi="宋体"/>
                <w:szCs w:val="24"/>
              </w:rPr>
              <w:t>已按磋商文件要求交纳足额磋商保证金，符合磋商文件规定。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62" w:type="dxa"/>
            <w:vMerge w:val="continue"/>
          </w:tcPr>
          <w:p/>
        </w:tc>
        <w:tc>
          <w:tcPr>
            <w:tcW w:w="762" w:type="dxa"/>
            <w:tcBorders>
              <w:top w:val="single" w:color="auto" w:sz="4" w:space="0"/>
              <w:left w:val="single" w:color="auto" w:sz="4" w:space="0"/>
              <w:right w:val="single" w:color="auto" w:sz="4" w:space="0"/>
            </w:tcBorders>
            <w:vAlign w:val="center"/>
          </w:tcPr>
          <w:p>
            <w:pPr>
              <w:numPr>
                <w:ilvl w:val="0"/>
                <w:numId w:val="35"/>
              </w:numPr>
              <w:wordWrap w:val="0"/>
              <w:autoSpaceDE w:val="0"/>
              <w:autoSpaceDN w:val="0"/>
              <w:ind w:left="0" w:firstLine="0"/>
              <w:jc w:val="center"/>
              <w:rPr>
                <w:rFonts w:ascii="宋体" w:hAnsi="宋体"/>
                <w:szCs w:val="24"/>
              </w:rPr>
            </w:pPr>
          </w:p>
        </w:tc>
        <w:tc>
          <w:tcPr>
            <w:tcW w:w="1808"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首次响应报价</w:t>
            </w:r>
          </w:p>
        </w:tc>
        <w:tc>
          <w:tcPr>
            <w:tcW w:w="5711" w:type="dxa"/>
            <w:vAlign w:val="center"/>
          </w:tcPr>
          <w:p>
            <w:pPr>
              <w:wordWrap w:val="0"/>
              <w:autoSpaceDE w:val="0"/>
              <w:autoSpaceDN w:val="0"/>
              <w:rPr>
                <w:rFonts w:ascii="宋体" w:hAnsi="宋体"/>
                <w:szCs w:val="24"/>
              </w:rPr>
            </w:pPr>
            <w:r>
              <w:rPr>
                <w:rFonts w:hint="eastAsia" w:ascii="宋体" w:hAnsi="宋体"/>
                <w:szCs w:val="24"/>
              </w:rPr>
              <w:t>首次响应报价（含分项/单价报价，如有要求）未超过磋商文件中规定相应的预算金额或者最高限价。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Merge w:val="restart"/>
            <w:vAlign w:val="center"/>
          </w:tcPr>
          <w:p>
            <w:pPr>
              <w:wordWrap w:val="0"/>
              <w:autoSpaceDE w:val="0"/>
              <w:autoSpaceDN w:val="0"/>
              <w:rPr>
                <w:rFonts w:ascii="宋体" w:hAnsi="宋体"/>
                <w:b/>
                <w:szCs w:val="24"/>
              </w:rPr>
            </w:pPr>
            <w:r>
              <w:rPr>
                <w:rFonts w:hint="eastAsia" w:ascii="宋体" w:hAnsi="宋体"/>
                <w:b/>
                <w:szCs w:val="24"/>
              </w:rPr>
              <w:t>最终审查部分</w:t>
            </w:r>
          </w:p>
        </w:tc>
        <w:tc>
          <w:tcPr>
            <w:tcW w:w="762" w:type="dxa"/>
            <w:tcBorders>
              <w:top w:val="single" w:color="auto" w:sz="4" w:space="0"/>
              <w:left w:val="single" w:color="auto" w:sz="4" w:space="0"/>
              <w:right w:val="single" w:color="auto" w:sz="4" w:space="0"/>
            </w:tcBorders>
            <w:vAlign w:val="center"/>
          </w:tcPr>
          <w:p>
            <w:pPr>
              <w:numPr>
                <w:ilvl w:val="0"/>
                <w:numId w:val="36"/>
              </w:numPr>
              <w:wordWrap w:val="0"/>
              <w:autoSpaceDE w:val="0"/>
              <w:autoSpaceDN w:val="0"/>
              <w:ind w:left="0" w:firstLine="0"/>
              <w:jc w:val="center"/>
              <w:rPr>
                <w:rFonts w:ascii="宋体" w:hAnsi="宋体"/>
                <w:szCs w:val="24"/>
              </w:rPr>
            </w:pPr>
          </w:p>
        </w:tc>
        <w:tc>
          <w:tcPr>
            <w:tcW w:w="1808"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磋商过程</w:t>
            </w:r>
          </w:p>
        </w:tc>
        <w:tc>
          <w:tcPr>
            <w:tcW w:w="5711" w:type="dxa"/>
            <w:vAlign w:val="center"/>
          </w:tcPr>
          <w:p>
            <w:pPr>
              <w:wordWrap w:val="0"/>
              <w:autoSpaceDE w:val="0"/>
              <w:autoSpaceDN w:val="0"/>
              <w:rPr>
                <w:rFonts w:ascii="宋体" w:hAnsi="宋体"/>
                <w:szCs w:val="24"/>
              </w:rPr>
            </w:pPr>
            <w:r>
              <w:rPr>
                <w:rFonts w:hint="eastAsia" w:ascii="宋体" w:hAnsi="宋体"/>
                <w:szCs w:val="24"/>
              </w:rPr>
              <w:t>磋商过程中提交的澄清、说明或者更正文件（如有），盖章或签署满足磋商文件要求。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Merge w:val="continue"/>
          </w:tcPr>
          <w:p/>
        </w:tc>
        <w:tc>
          <w:tcPr>
            <w:tcW w:w="762" w:type="dxa"/>
            <w:tcBorders>
              <w:top w:val="single" w:color="auto" w:sz="4" w:space="0"/>
              <w:left w:val="single" w:color="auto" w:sz="4" w:space="0"/>
              <w:right w:val="single" w:color="auto" w:sz="4" w:space="0"/>
            </w:tcBorders>
            <w:vAlign w:val="center"/>
          </w:tcPr>
          <w:p>
            <w:pPr>
              <w:numPr>
                <w:ilvl w:val="0"/>
                <w:numId w:val="36"/>
              </w:numPr>
              <w:wordWrap w:val="0"/>
              <w:autoSpaceDE w:val="0"/>
              <w:autoSpaceDN w:val="0"/>
              <w:ind w:left="0" w:firstLine="0"/>
              <w:jc w:val="center"/>
              <w:rPr>
                <w:rFonts w:ascii="宋体" w:hAnsi="宋体"/>
                <w:szCs w:val="24"/>
              </w:rPr>
            </w:pPr>
          </w:p>
        </w:tc>
        <w:tc>
          <w:tcPr>
            <w:tcW w:w="1808"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最后报价</w:t>
            </w:r>
          </w:p>
        </w:tc>
        <w:tc>
          <w:tcPr>
            <w:tcW w:w="5711" w:type="dxa"/>
          </w:tcPr>
          <w:p>
            <w:pPr>
              <w:wordWrap w:val="0"/>
              <w:autoSpaceDE w:val="0"/>
              <w:autoSpaceDN w:val="0"/>
              <w:rPr>
                <w:rFonts w:ascii="宋体" w:hAnsi="宋体"/>
                <w:szCs w:val="24"/>
              </w:rPr>
            </w:pPr>
            <w:r>
              <w:rPr>
                <w:rFonts w:hint="eastAsia" w:ascii="宋体" w:hAnsi="宋体"/>
                <w:szCs w:val="24"/>
              </w:rPr>
              <w:t>1.最后报价（含分项/单价报价，如有要求）确定且未超过磋商文件中相应的预算金额或者最高限价。</w:t>
            </w:r>
          </w:p>
          <w:p>
            <w:pPr>
              <w:wordWrap w:val="0"/>
              <w:autoSpaceDE w:val="0"/>
              <w:autoSpaceDN w:val="0"/>
              <w:rPr>
                <w:rFonts w:ascii="宋体" w:hAnsi="宋体"/>
                <w:szCs w:val="24"/>
              </w:rPr>
            </w:pPr>
            <w:r>
              <w:rPr>
                <w:rFonts w:hint="eastAsia" w:ascii="宋体" w:hAnsi="宋体"/>
                <w:szCs w:val="24"/>
              </w:rPr>
              <w:t>2.最后报价中对报价标的的主体、关键内容无漏项、缺项。</w:t>
            </w:r>
          </w:p>
          <w:p>
            <w:pPr>
              <w:wordWrap w:val="0"/>
              <w:autoSpaceDE w:val="0"/>
              <w:autoSpaceDN w:val="0"/>
              <w:rPr>
                <w:rFonts w:ascii="宋体" w:hAnsi="宋体"/>
                <w:szCs w:val="24"/>
              </w:rPr>
            </w:pPr>
            <w:r>
              <w:rPr>
                <w:rFonts w:hint="eastAsia" w:ascii="宋体" w:hAnsi="宋体"/>
                <w:szCs w:val="24"/>
              </w:rPr>
              <w:t>3.如有，对磋商小组按照采购文件规定修正后的响应报价，供应商按规定书面确认。</w:t>
            </w:r>
          </w:p>
          <w:p>
            <w:pPr>
              <w:wordWrap w:val="0"/>
              <w:autoSpaceDE w:val="0"/>
              <w:autoSpaceDN w:val="0"/>
              <w:rPr>
                <w:rFonts w:ascii="宋体" w:hAnsi="宋体"/>
                <w:szCs w:val="24"/>
              </w:rPr>
            </w:pPr>
            <w:r>
              <w:rPr>
                <w:rFonts w:hint="eastAsia" w:ascii="宋体" w:hAnsi="宋体"/>
                <w:szCs w:val="24"/>
              </w:rPr>
              <w:t>4.如磋商小组认为供应商的报价明显低于（总价或单价或折扣率报价时）或高于（下浮率或优惠率报价时）其他通过资格审查供应商的报价，有可能影响项目质量或者不能诚信履约的，将要求其在评审现场合理的时间内提供书面说明，必要时提交相关证明材料。供应商能证明其报价合理性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Merge w:val="continue"/>
          </w:tcPr>
          <w:p/>
        </w:tc>
        <w:tc>
          <w:tcPr>
            <w:tcW w:w="762" w:type="dxa"/>
            <w:tcBorders>
              <w:top w:val="single" w:color="auto" w:sz="4" w:space="0"/>
              <w:left w:val="single" w:color="auto" w:sz="4" w:space="0"/>
              <w:right w:val="single" w:color="auto" w:sz="4" w:space="0"/>
            </w:tcBorders>
            <w:vAlign w:val="center"/>
          </w:tcPr>
          <w:p>
            <w:pPr>
              <w:numPr>
                <w:ilvl w:val="0"/>
                <w:numId w:val="36"/>
              </w:numPr>
              <w:wordWrap w:val="0"/>
              <w:autoSpaceDE w:val="0"/>
              <w:autoSpaceDN w:val="0"/>
              <w:ind w:left="0" w:firstLine="0"/>
              <w:jc w:val="center"/>
              <w:rPr>
                <w:rFonts w:ascii="宋体" w:hAnsi="宋体"/>
                <w:szCs w:val="24"/>
              </w:rPr>
            </w:pPr>
          </w:p>
        </w:tc>
        <w:tc>
          <w:tcPr>
            <w:tcW w:w="1808"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rPr>
              <w:t>“★”号条款响应</w:t>
            </w:r>
          </w:p>
        </w:tc>
        <w:tc>
          <w:tcPr>
            <w:tcW w:w="5711" w:type="dxa"/>
            <w:vAlign w:val="center"/>
          </w:tcPr>
          <w:p>
            <w:pPr>
              <w:wordWrap w:val="0"/>
              <w:autoSpaceDE w:val="0"/>
              <w:autoSpaceDN w:val="0"/>
              <w:rPr>
                <w:rFonts w:ascii="宋体" w:hAnsi="宋体"/>
                <w:szCs w:val="24"/>
              </w:rPr>
            </w:pPr>
            <w:r>
              <w:rPr>
                <w:rFonts w:hint="eastAsia"/>
              </w:rPr>
              <w:tab/>
            </w:r>
            <w:r>
              <w:rPr>
                <w:rFonts w:hint="eastAsia"/>
              </w:rPr>
              <w:t>实质性响应采购文件中“★”号条款要求。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Merge w:val="continue"/>
          </w:tcPr>
          <w:p/>
        </w:tc>
        <w:tc>
          <w:tcPr>
            <w:tcW w:w="762" w:type="dxa"/>
            <w:tcBorders>
              <w:top w:val="single" w:color="auto" w:sz="4" w:space="0"/>
              <w:left w:val="single" w:color="auto" w:sz="4" w:space="0"/>
              <w:right w:val="single" w:color="auto" w:sz="4" w:space="0"/>
            </w:tcBorders>
            <w:vAlign w:val="center"/>
          </w:tcPr>
          <w:p>
            <w:pPr>
              <w:numPr>
                <w:ilvl w:val="0"/>
                <w:numId w:val="36"/>
              </w:numPr>
              <w:wordWrap w:val="0"/>
              <w:autoSpaceDE w:val="0"/>
              <w:autoSpaceDN w:val="0"/>
              <w:ind w:left="0" w:firstLine="0"/>
              <w:jc w:val="center"/>
              <w:rPr>
                <w:rFonts w:ascii="宋体" w:hAnsi="宋体"/>
                <w:szCs w:val="24"/>
              </w:rPr>
            </w:pPr>
          </w:p>
        </w:tc>
        <w:tc>
          <w:tcPr>
            <w:tcW w:w="1808"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无效情形</w:t>
            </w:r>
          </w:p>
        </w:tc>
        <w:tc>
          <w:tcPr>
            <w:tcW w:w="5711" w:type="dxa"/>
          </w:tcPr>
          <w:p>
            <w:pPr>
              <w:wordWrap/>
              <w:autoSpaceDE w:val="0"/>
              <w:autoSpaceDN w:val="0"/>
              <w:rPr>
                <w:rFonts w:ascii="宋体" w:hAnsi="宋体"/>
                <w:szCs w:val="24"/>
              </w:rPr>
            </w:pPr>
            <w:r>
              <w:rPr>
                <w:rFonts w:hint="eastAsia" w:ascii="宋体" w:hAnsi="宋体" w:cs="宋体"/>
              </w:rPr>
              <w:t>未发现响应文件存在法律、法规和磋商文件中规定的响应无效情形。（采购文件规定的响应无效情形详见《第四部分 评审办法》第3.6款）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2" w:type="dxa"/>
            <w:gridSpan w:val="3"/>
          </w:tcPr>
          <w:p>
            <w:pPr>
              <w:wordWrap w:val="0"/>
              <w:autoSpaceDE w:val="0"/>
              <w:autoSpaceDN w:val="0"/>
              <w:jc w:val="center"/>
              <w:rPr>
                <w:rFonts w:ascii="宋体" w:hAnsi="宋体"/>
                <w:szCs w:val="24"/>
              </w:rPr>
            </w:pPr>
            <w:r>
              <w:rPr>
                <w:rFonts w:hint="eastAsia" w:ascii="宋体" w:hAnsi="宋体"/>
                <w:szCs w:val="24"/>
              </w:rPr>
              <w:t>结论</w:t>
            </w:r>
          </w:p>
        </w:tc>
        <w:tc>
          <w:tcPr>
            <w:tcW w:w="5711" w:type="dxa"/>
          </w:tcPr>
          <w:p>
            <w:pPr>
              <w:wordWrap w:val="0"/>
              <w:autoSpaceDE w:val="0"/>
              <w:autoSpaceDN w:val="0"/>
              <w:ind w:left="240" w:hanging="240" w:hangingChars="100"/>
              <w:rPr>
                <w:rFonts w:ascii="宋体" w:hAnsi="宋体" w:cs="宋体"/>
              </w:rPr>
            </w:pPr>
          </w:p>
        </w:tc>
      </w:tr>
    </w:tbl>
    <w:p>
      <w:pPr>
        <w:wordWrap w:val="0"/>
        <w:autoSpaceDE w:val="0"/>
        <w:autoSpaceDN w:val="0"/>
        <w:rPr>
          <w:rFonts w:ascii="宋体" w:hAnsi="宋体"/>
          <w:szCs w:val="24"/>
        </w:rPr>
      </w:pPr>
      <w:r>
        <w:rPr>
          <w:rFonts w:hint="eastAsia" w:ascii="宋体" w:hAnsi="宋体"/>
          <w:b/>
          <w:szCs w:val="24"/>
        </w:rPr>
        <w:t>备注：</w:t>
      </w:r>
      <w:r>
        <w:rPr>
          <w:rFonts w:hint="eastAsia" w:ascii="宋体" w:hAnsi="宋体"/>
          <w:szCs w:val="24"/>
        </w:rPr>
        <w:t>磋商小组审查时：</w:t>
      </w:r>
    </w:p>
    <w:p>
      <w:pPr>
        <w:rPr>
          <w:rFonts w:ascii="宋体" w:hAnsi="宋体"/>
          <w:szCs w:val="24"/>
        </w:rPr>
      </w:pPr>
      <w:r>
        <w:rPr>
          <w:rFonts w:hint="eastAsia" w:ascii="宋体" w:hAnsi="宋体"/>
          <w:szCs w:val="24"/>
        </w:rPr>
        <w:t>1.每一项符合的打“√”，不符合的打“×”。</w:t>
      </w:r>
    </w:p>
    <w:p>
      <w:pPr>
        <w:wordWrap w:val="0"/>
        <w:autoSpaceDE w:val="0"/>
        <w:autoSpaceDN w:val="0"/>
        <w:rPr>
          <w:rFonts w:ascii="宋体" w:hAnsi="宋体"/>
          <w:szCs w:val="24"/>
        </w:rPr>
      </w:pPr>
      <w:r>
        <w:rPr>
          <w:rFonts w:hint="eastAsia" w:ascii="宋体" w:hAnsi="宋体"/>
          <w:szCs w:val="24"/>
        </w:rPr>
        <w:t>2.“结论”一栏填写“通过”或“不通过”；任何一项出现“×”的，结论为不通过；不通过的为无效响应。</w:t>
      </w:r>
    </w:p>
    <w:p>
      <w:pPr>
        <w:wordWrap w:val="0"/>
        <w:autoSpaceDE w:val="0"/>
        <w:autoSpaceDN w:val="0"/>
        <w:rPr>
          <w:rFonts w:ascii="宋体" w:hAnsi="宋体"/>
          <w:szCs w:val="24"/>
        </w:rPr>
      </w:pPr>
      <w:r>
        <w:rPr>
          <w:rFonts w:hint="eastAsia" w:ascii="宋体" w:hAnsi="宋体"/>
          <w:szCs w:val="24"/>
        </w:rPr>
        <w:t>3.磋商小组汇总时出现不同意见的，按简单多数原则表决决定。</w:t>
      </w:r>
    </w:p>
    <w:p>
      <w:pPr>
        <w:wordWrap w:val="0"/>
        <w:autoSpaceDE w:val="0"/>
        <w:autoSpaceDN w:val="0"/>
        <w:rPr>
          <w:rFonts w:ascii="宋体" w:hAnsi="宋体"/>
          <w:szCs w:val="24"/>
        </w:rPr>
      </w:pPr>
    </w:p>
    <w:p>
      <w:pPr>
        <w:pStyle w:val="5"/>
        <w:numPr>
          <w:ilvl w:val="0"/>
          <w:numId w:val="0"/>
        </w:numPr>
        <w:tabs>
          <w:tab w:val="left" w:pos="945"/>
        </w:tabs>
        <w:spacing w:before="0" w:after="0" w:line="360" w:lineRule="auto"/>
        <w:ind w:left="425" w:hanging="425"/>
        <w:rPr>
          <w:rFonts w:ascii="宋体" w:hAnsi="宋体"/>
          <w:sz w:val="24"/>
          <w:szCs w:val="24"/>
        </w:rPr>
      </w:pPr>
      <w:bookmarkStart w:id="254" w:name="_Toc22806166"/>
      <w:bookmarkStart w:id="255" w:name="_Toc55398712"/>
      <w:bookmarkStart w:id="256" w:name="_Toc56180308"/>
      <w:r>
        <w:rPr>
          <w:rFonts w:hint="eastAsia" w:ascii="宋体" w:hAnsi="宋体"/>
          <w:sz w:val="24"/>
          <w:szCs w:val="24"/>
        </w:rPr>
        <w:br w:type="page"/>
      </w:r>
      <w:r>
        <w:rPr>
          <w:rFonts w:hint="eastAsia" w:ascii="宋体" w:hAnsi="宋体"/>
          <w:sz w:val="24"/>
          <w:szCs w:val="24"/>
        </w:rPr>
        <w:t>附表3：技术</w:t>
      </w:r>
      <w:r>
        <w:rPr>
          <w:rFonts w:ascii="宋体" w:hAnsi="宋体"/>
          <w:sz w:val="24"/>
          <w:szCs w:val="24"/>
        </w:rPr>
        <w:t>/服务</w:t>
      </w:r>
      <w:r>
        <w:rPr>
          <w:rFonts w:hint="eastAsia" w:ascii="宋体" w:hAnsi="宋体"/>
          <w:sz w:val="24"/>
          <w:szCs w:val="24"/>
        </w:rPr>
        <w:t>评审表</w:t>
      </w:r>
      <w:bookmarkEnd w:id="254"/>
      <w:bookmarkEnd w:id="255"/>
      <w:bookmarkEnd w:id="256"/>
    </w:p>
    <w:tbl>
      <w:tblPr>
        <w:tblStyle w:val="30"/>
        <w:tblpPr w:leftFromText="180" w:rightFromText="180" w:vertAnchor="text" w:horzAnchor="page" w:tblpX="1401" w:tblpY="239"/>
        <w:tblOverlap w:val="never"/>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
        <w:gridCol w:w="1063"/>
        <w:gridCol w:w="7264"/>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blHeader/>
        </w:trPr>
        <w:tc>
          <w:tcPr>
            <w:tcW w:w="463" w:type="dxa"/>
            <w:vAlign w:val="center"/>
          </w:tcPr>
          <w:p>
            <w:pPr>
              <w:widowControl/>
              <w:rPr>
                <w:rFonts w:ascii="宋体" w:hAnsi="宋体"/>
                <w:b/>
                <w:kern w:val="0"/>
                <w:szCs w:val="21"/>
              </w:rPr>
            </w:pPr>
            <w:r>
              <w:rPr>
                <w:rFonts w:hint="eastAsia" w:ascii="宋体" w:hAnsi="宋体" w:cs="宋体"/>
                <w:b/>
                <w:kern w:val="0"/>
                <w:szCs w:val="21"/>
              </w:rPr>
              <w:t>序号</w:t>
            </w:r>
          </w:p>
        </w:tc>
        <w:tc>
          <w:tcPr>
            <w:tcW w:w="1063" w:type="dxa"/>
            <w:vAlign w:val="center"/>
          </w:tcPr>
          <w:p>
            <w:pPr>
              <w:widowControl/>
              <w:jc w:val="center"/>
              <w:rPr>
                <w:rFonts w:ascii="宋体" w:hAnsi="宋体"/>
                <w:b/>
                <w:kern w:val="0"/>
                <w:szCs w:val="21"/>
              </w:rPr>
            </w:pPr>
            <w:r>
              <w:rPr>
                <w:rFonts w:hint="eastAsia" w:ascii="宋体" w:hAnsi="宋体" w:cs="宋体"/>
                <w:b/>
                <w:kern w:val="0"/>
                <w:szCs w:val="21"/>
              </w:rPr>
              <w:t>评审项目</w:t>
            </w:r>
          </w:p>
        </w:tc>
        <w:tc>
          <w:tcPr>
            <w:tcW w:w="7264" w:type="dxa"/>
            <w:vAlign w:val="center"/>
          </w:tcPr>
          <w:p>
            <w:pPr>
              <w:widowControl/>
              <w:jc w:val="center"/>
              <w:rPr>
                <w:rFonts w:ascii="宋体" w:hAnsi="宋体"/>
                <w:b/>
                <w:kern w:val="0"/>
                <w:szCs w:val="21"/>
              </w:rPr>
            </w:pPr>
            <w:r>
              <w:rPr>
                <w:rFonts w:hint="eastAsia" w:ascii="宋体" w:hAnsi="宋体" w:cs="宋体"/>
                <w:b/>
                <w:kern w:val="0"/>
                <w:szCs w:val="21"/>
              </w:rPr>
              <w:t>评审内容</w:t>
            </w:r>
          </w:p>
        </w:tc>
        <w:tc>
          <w:tcPr>
            <w:tcW w:w="703" w:type="dxa"/>
            <w:vAlign w:val="center"/>
          </w:tcPr>
          <w:p>
            <w:pPr>
              <w:widowControl/>
              <w:jc w:val="center"/>
              <w:rPr>
                <w:rFonts w:ascii="宋体" w:hAnsi="宋体"/>
                <w:b/>
                <w:kern w:val="0"/>
                <w:szCs w:val="21"/>
              </w:rPr>
            </w:pPr>
            <w:r>
              <w:rPr>
                <w:rFonts w:hint="eastAsia" w:ascii="宋体" w:hAnsi="宋体" w:cs="宋体"/>
                <w:b/>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dxa"/>
            <w:vAlign w:val="center"/>
          </w:tcPr>
          <w:p>
            <w:pPr>
              <w:widowControl/>
              <w:rPr>
                <w:rFonts w:ascii="宋体" w:hAnsi="宋体" w:cs="宋体"/>
                <w:spacing w:val="-3"/>
                <w:kern w:val="0"/>
                <w:szCs w:val="21"/>
              </w:rPr>
            </w:pPr>
            <w:bookmarkStart w:id="257" w:name="_Hlk217553001"/>
            <w:r>
              <w:rPr>
                <w:rFonts w:hint="eastAsia" w:ascii="宋体" w:hAnsi="宋体" w:cs="宋体"/>
                <w:spacing w:val="-3"/>
                <w:kern w:val="0"/>
                <w:szCs w:val="21"/>
              </w:rPr>
              <w:t>1</w:t>
            </w:r>
          </w:p>
        </w:tc>
        <w:tc>
          <w:tcPr>
            <w:tcW w:w="1063"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管理服务实施方案与措施</w:t>
            </w:r>
          </w:p>
        </w:tc>
        <w:tc>
          <w:tcPr>
            <w:tcW w:w="7264"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（一）供应商针对项目管理服务理解程度，制定</w:t>
            </w:r>
            <w:bookmarkStart w:id="258" w:name="OLE_LINK80"/>
            <w:bookmarkStart w:id="259" w:name="OLE_LINK81"/>
            <w:r>
              <w:rPr>
                <w:rFonts w:hint="eastAsia" w:ascii="宋体" w:hAnsi="宋体" w:cs="宋体"/>
                <w:spacing w:val="-3"/>
                <w:kern w:val="0"/>
                <w:szCs w:val="21"/>
              </w:rPr>
              <w:t>管理服务实施方案与措施</w:t>
            </w:r>
            <w:bookmarkEnd w:id="258"/>
            <w:bookmarkEnd w:id="259"/>
            <w:r>
              <w:rPr>
                <w:rFonts w:hint="eastAsia" w:ascii="宋体" w:hAnsi="宋体" w:cs="宋体"/>
                <w:spacing w:val="-3"/>
                <w:kern w:val="0"/>
                <w:szCs w:val="21"/>
              </w:rPr>
              <w:t>（包含但不限于：（1）总体服务模式与设想（2）服务重点分析（3）保安服务方案（4）清洁卫生服务方案（5）设施设备维护方案）：</w:t>
            </w:r>
          </w:p>
          <w:p>
            <w:pPr>
              <w:pStyle w:val="50"/>
            </w:pPr>
            <w:bookmarkStart w:id="260" w:name="OLE_LINK62"/>
            <w:bookmarkStart w:id="261" w:name="OLE_LINK63"/>
            <w:r>
              <w:rPr>
                <w:rFonts w:hint="eastAsia"/>
              </w:rPr>
              <w:t>提供方案包含以上每1</w:t>
            </w:r>
            <w:r>
              <w:t>项要求的，得</w:t>
            </w:r>
            <w:r>
              <w:rPr>
                <w:rFonts w:hint="eastAsia"/>
              </w:rPr>
              <w:t>0.5</w:t>
            </w:r>
            <w:r>
              <w:t>分，</w:t>
            </w:r>
            <w:r>
              <w:rPr>
                <w:rFonts w:hint="eastAsia"/>
              </w:rPr>
              <w:t>本项总分2.5</w:t>
            </w:r>
            <w:r>
              <w:t>分。</w:t>
            </w:r>
            <w:bookmarkEnd w:id="260"/>
            <w:bookmarkEnd w:id="261"/>
          </w:p>
          <w:p>
            <w:pPr>
              <w:pStyle w:val="2"/>
              <w:rPr>
                <w:rFonts w:ascii="Calibri" w:hAnsi="Calibri"/>
              </w:rPr>
            </w:pPr>
            <w:bookmarkStart w:id="262" w:name="OLE_LINK65"/>
            <w:r>
              <w:rPr>
                <w:rFonts w:hint="eastAsia" w:ascii="Calibri" w:hAnsi="Calibri"/>
              </w:rPr>
              <w:t>（二）在满足上述要求的基础上，根据供应商的具体内容进一步评审：</w:t>
            </w:r>
          </w:p>
          <w:bookmarkEnd w:id="262"/>
          <w:p>
            <w:pPr>
              <w:widowControl/>
              <w:rPr>
                <w:rFonts w:ascii="宋体" w:hAnsi="宋体" w:cs="宋体"/>
                <w:spacing w:val="-3"/>
                <w:kern w:val="0"/>
                <w:szCs w:val="21"/>
              </w:rPr>
            </w:pPr>
            <w:r>
              <w:rPr>
                <w:rFonts w:hint="eastAsia" w:ascii="宋体" w:hAnsi="宋体" w:cs="宋体"/>
                <w:spacing w:val="-3"/>
                <w:kern w:val="0"/>
                <w:szCs w:val="21"/>
              </w:rPr>
              <w:t>1.对物业管理服务需求理解透彻，方案具体详细、可操作性强，得4分；</w:t>
            </w:r>
          </w:p>
          <w:p>
            <w:pPr>
              <w:widowControl/>
              <w:rPr>
                <w:rFonts w:ascii="宋体" w:hAnsi="宋体" w:cs="宋体"/>
                <w:spacing w:val="-3"/>
                <w:kern w:val="0"/>
                <w:szCs w:val="21"/>
              </w:rPr>
            </w:pPr>
            <w:r>
              <w:rPr>
                <w:rFonts w:hint="eastAsia" w:ascii="宋体" w:hAnsi="宋体" w:cs="宋体"/>
                <w:spacing w:val="-3"/>
                <w:kern w:val="0"/>
                <w:szCs w:val="21"/>
              </w:rPr>
              <w:t>2.对物业管理服务需求理解一般，方案比较详细、可操作性一般，得2.5分；</w:t>
            </w:r>
          </w:p>
          <w:p>
            <w:pPr>
              <w:widowControl/>
              <w:rPr>
                <w:rFonts w:ascii="宋体" w:hAnsi="宋体" w:cs="宋体"/>
                <w:spacing w:val="-3"/>
                <w:kern w:val="0"/>
                <w:szCs w:val="21"/>
              </w:rPr>
            </w:pPr>
            <w:r>
              <w:rPr>
                <w:rFonts w:hint="eastAsia" w:ascii="宋体" w:hAnsi="宋体" w:cs="宋体"/>
                <w:spacing w:val="-3"/>
                <w:kern w:val="0"/>
                <w:szCs w:val="21"/>
              </w:rPr>
              <w:t>3.对物业管理服务需求理解差，方案不详细、可操作性差，得1分；</w:t>
            </w:r>
          </w:p>
          <w:p>
            <w:pPr>
              <w:widowControl/>
              <w:rPr>
                <w:rFonts w:ascii="宋体" w:hAnsi="宋体" w:cs="宋体"/>
                <w:spacing w:val="-3"/>
                <w:kern w:val="0"/>
                <w:szCs w:val="21"/>
              </w:rPr>
            </w:pPr>
            <w:r>
              <w:rPr>
                <w:rFonts w:hint="eastAsia" w:ascii="宋体" w:hAnsi="宋体" w:cs="宋体"/>
                <w:spacing w:val="-3"/>
                <w:kern w:val="0"/>
                <w:szCs w:val="21"/>
              </w:rPr>
              <w:t>4.未提供相关材料的，得0分。</w:t>
            </w:r>
          </w:p>
        </w:tc>
        <w:tc>
          <w:tcPr>
            <w:tcW w:w="703" w:type="dxa"/>
            <w:vAlign w:val="center"/>
          </w:tcPr>
          <w:p>
            <w:pPr>
              <w:widowControl/>
              <w:jc w:val="center"/>
              <w:rPr>
                <w:rFonts w:ascii="宋体" w:hAnsi="宋体" w:cs="宋体"/>
                <w:spacing w:val="-3"/>
                <w:kern w:val="0"/>
                <w:szCs w:val="21"/>
              </w:rPr>
            </w:pPr>
            <w:bookmarkStart w:id="263" w:name="OLE_LINK14"/>
            <w:bookmarkStart w:id="264" w:name="OLE_LINK32"/>
            <w:bookmarkStart w:id="265" w:name="OLE_LINK31"/>
            <w:r>
              <w:rPr>
                <w:rFonts w:hint="eastAsia" w:ascii="宋体" w:hAnsi="宋体" w:cs="宋体"/>
                <w:spacing w:val="-3"/>
                <w:kern w:val="0"/>
                <w:szCs w:val="21"/>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dxa"/>
            <w:vAlign w:val="center"/>
          </w:tcPr>
          <w:p>
            <w:pPr>
              <w:widowControl/>
              <w:rPr>
                <w:rFonts w:ascii="宋体" w:hAnsi="宋体" w:cs="宋体"/>
                <w:spacing w:val="-3"/>
                <w:kern w:val="0"/>
                <w:szCs w:val="21"/>
              </w:rPr>
            </w:pPr>
            <w:r>
              <w:rPr>
                <w:rFonts w:hint="eastAsia" w:ascii="宋体" w:hAnsi="宋体" w:cs="宋体"/>
                <w:spacing w:val="-3"/>
                <w:kern w:val="0"/>
                <w:szCs w:val="21"/>
              </w:rPr>
              <w:t>2</w:t>
            </w:r>
          </w:p>
        </w:tc>
        <w:tc>
          <w:tcPr>
            <w:tcW w:w="1063"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管理服务架构</w:t>
            </w:r>
            <w:r>
              <w:rPr>
                <w:rFonts w:hint="eastAsia" w:ascii="Calibri" w:hAnsi="Calibri"/>
              </w:rPr>
              <w:t>方案</w:t>
            </w:r>
          </w:p>
        </w:tc>
        <w:tc>
          <w:tcPr>
            <w:tcW w:w="7264"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bookmarkStart w:id="266" w:name="OLE_LINK67"/>
            <w:bookmarkStart w:id="267" w:name="OLE_LINK66"/>
            <w:r>
              <w:rPr>
                <w:rFonts w:hint="eastAsia" w:ascii="宋体" w:hAnsi="宋体" w:cs="宋体"/>
                <w:spacing w:val="-3"/>
                <w:kern w:val="0"/>
                <w:szCs w:val="21"/>
              </w:rPr>
              <w:t>（一）供应商</w:t>
            </w:r>
            <w:bookmarkEnd w:id="266"/>
            <w:bookmarkEnd w:id="267"/>
            <w:r>
              <w:rPr>
                <w:rFonts w:hint="eastAsia" w:ascii="宋体" w:hAnsi="宋体" w:cs="宋体"/>
                <w:spacing w:val="-3"/>
                <w:kern w:val="0"/>
                <w:szCs w:val="21"/>
              </w:rPr>
              <w:t>针对本项目设置的项目管理服务架构、流程</w:t>
            </w:r>
            <w:r>
              <w:rPr>
                <w:rFonts w:hint="eastAsia" w:ascii="Calibri" w:hAnsi="Calibri"/>
              </w:rPr>
              <w:t>方案（包含但不限于：（1）</w:t>
            </w:r>
            <w:r>
              <w:rPr>
                <w:rFonts w:hint="eastAsia" w:ascii="宋体" w:hAnsi="宋体" w:cs="宋体"/>
                <w:spacing w:val="-3"/>
                <w:kern w:val="0"/>
                <w:szCs w:val="21"/>
              </w:rPr>
              <w:t>组织架构（2）服务运作流程（3）管理方式</w:t>
            </w:r>
            <w:r>
              <w:rPr>
                <w:rFonts w:hint="eastAsia" w:ascii="Calibri" w:hAnsi="Calibri"/>
              </w:rPr>
              <w:t>）</w:t>
            </w:r>
            <w:r>
              <w:rPr>
                <w:rFonts w:hint="eastAsia" w:ascii="宋体" w:hAnsi="宋体" w:cs="宋体"/>
                <w:spacing w:val="-3"/>
                <w:kern w:val="0"/>
                <w:szCs w:val="21"/>
              </w:rPr>
              <w:t>：</w:t>
            </w:r>
          </w:p>
          <w:p>
            <w:pPr>
              <w:pStyle w:val="2"/>
              <w:rPr>
                <w:rFonts w:ascii="Calibri" w:hAnsi="Calibri"/>
              </w:rPr>
            </w:pPr>
            <w:r>
              <w:rPr>
                <w:rFonts w:hint="eastAsia" w:ascii="Calibri" w:hAnsi="Calibri"/>
              </w:rPr>
              <w:t>提供</w:t>
            </w:r>
            <w:bookmarkStart w:id="268" w:name="OLE_LINK64"/>
            <w:r>
              <w:rPr>
                <w:rFonts w:hint="eastAsia" w:ascii="Calibri" w:hAnsi="Calibri"/>
              </w:rPr>
              <w:t>方案</w:t>
            </w:r>
            <w:bookmarkEnd w:id="268"/>
            <w:r>
              <w:rPr>
                <w:rFonts w:hint="eastAsia" w:ascii="Calibri" w:hAnsi="Calibri"/>
              </w:rPr>
              <w:t>包含以上</w:t>
            </w:r>
            <w:r>
              <w:rPr>
                <w:rFonts w:hint="eastAsia"/>
              </w:rPr>
              <w:t>每1</w:t>
            </w:r>
            <w:r>
              <w:t>项要求的，得</w:t>
            </w:r>
            <w:r>
              <w:rPr>
                <w:rFonts w:hint="eastAsia"/>
              </w:rPr>
              <w:t>0.5</w:t>
            </w:r>
            <w:r>
              <w:t>分，</w:t>
            </w:r>
            <w:r>
              <w:rPr>
                <w:rFonts w:hint="eastAsia"/>
              </w:rPr>
              <w:t>本项总分1.5</w:t>
            </w:r>
            <w:r>
              <w:t>分</w:t>
            </w:r>
            <w:r>
              <w:rPr>
                <w:rFonts w:ascii="Calibri" w:hAnsi="Calibri"/>
              </w:rPr>
              <w:t>。</w:t>
            </w:r>
          </w:p>
          <w:p>
            <w:pPr>
              <w:pStyle w:val="2"/>
              <w:rPr>
                <w:rFonts w:ascii="Calibri" w:hAnsi="Calibri"/>
              </w:rPr>
            </w:pPr>
            <w:r>
              <w:rPr>
                <w:rFonts w:hint="eastAsia" w:ascii="Calibri" w:hAnsi="Calibri"/>
              </w:rPr>
              <w:t>（二）在满足上述要求的基础上，根据供应商的具体内容进一步评审：</w:t>
            </w:r>
          </w:p>
          <w:p>
            <w:pPr>
              <w:widowControl/>
              <w:rPr>
                <w:rFonts w:ascii="宋体" w:hAnsi="宋体" w:cs="宋体"/>
                <w:spacing w:val="-3"/>
                <w:kern w:val="0"/>
                <w:szCs w:val="21"/>
              </w:rPr>
            </w:pPr>
            <w:r>
              <w:rPr>
                <w:rFonts w:hint="eastAsia" w:ascii="宋体" w:hAnsi="宋体" w:cs="宋体"/>
                <w:spacing w:val="-3"/>
                <w:kern w:val="0"/>
                <w:szCs w:val="21"/>
              </w:rPr>
              <w:t>1.架构合理、完整，完全满足并优于项目需要的得3分；</w:t>
            </w:r>
          </w:p>
          <w:p>
            <w:pPr>
              <w:widowControl/>
              <w:rPr>
                <w:rFonts w:ascii="宋体" w:hAnsi="宋体" w:cs="宋体"/>
                <w:spacing w:val="-3"/>
                <w:kern w:val="0"/>
                <w:szCs w:val="21"/>
              </w:rPr>
            </w:pPr>
            <w:r>
              <w:rPr>
                <w:rFonts w:hint="eastAsia" w:ascii="宋体" w:hAnsi="宋体" w:cs="宋体"/>
                <w:spacing w:val="-3"/>
                <w:kern w:val="0"/>
                <w:szCs w:val="21"/>
              </w:rPr>
              <w:t>2.架构较合理、较完整，能完全满足项目要求的得2分；</w:t>
            </w:r>
          </w:p>
          <w:p>
            <w:pPr>
              <w:widowControl/>
              <w:rPr>
                <w:rFonts w:ascii="宋体" w:hAnsi="宋体" w:cs="宋体"/>
                <w:spacing w:val="-3"/>
                <w:kern w:val="0"/>
                <w:szCs w:val="21"/>
              </w:rPr>
            </w:pPr>
            <w:r>
              <w:rPr>
                <w:rFonts w:hint="eastAsia" w:ascii="宋体" w:hAnsi="宋体" w:cs="宋体"/>
                <w:spacing w:val="-3"/>
                <w:kern w:val="0"/>
                <w:szCs w:val="21"/>
              </w:rPr>
              <w:t>3.不完全满足项目要求的得1分；</w:t>
            </w:r>
          </w:p>
          <w:p>
            <w:pPr>
              <w:widowControl/>
              <w:rPr>
                <w:rFonts w:ascii="宋体" w:hAnsi="宋体" w:cs="宋体"/>
                <w:spacing w:val="-3"/>
                <w:kern w:val="0"/>
                <w:szCs w:val="21"/>
              </w:rPr>
            </w:pPr>
            <w:r>
              <w:rPr>
                <w:rFonts w:hint="eastAsia" w:ascii="宋体" w:hAnsi="宋体" w:cs="宋体"/>
                <w:spacing w:val="-3"/>
                <w:kern w:val="0"/>
                <w:szCs w:val="21"/>
              </w:rPr>
              <w:t>4.无提供的不得分。</w:t>
            </w:r>
          </w:p>
        </w:tc>
        <w:tc>
          <w:tcPr>
            <w:tcW w:w="703" w:type="dxa"/>
            <w:vAlign w:val="center"/>
          </w:tcPr>
          <w:p>
            <w:pPr>
              <w:widowControl/>
              <w:jc w:val="center"/>
              <w:rPr>
                <w:rFonts w:ascii="宋体" w:hAnsi="宋体" w:cs="宋体"/>
                <w:spacing w:val="-3"/>
                <w:kern w:val="0"/>
                <w:szCs w:val="21"/>
              </w:rPr>
            </w:pPr>
            <w:r>
              <w:rPr>
                <w:rFonts w:hint="eastAsia" w:ascii="宋体" w:hAnsi="宋体" w:cs="宋体"/>
                <w:spacing w:val="-3"/>
                <w:kern w:val="0"/>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dxa"/>
            <w:vAlign w:val="center"/>
          </w:tcPr>
          <w:p>
            <w:pPr>
              <w:widowControl/>
              <w:rPr>
                <w:rFonts w:ascii="宋体" w:hAnsi="宋体" w:cs="宋体"/>
                <w:spacing w:val="-3"/>
                <w:kern w:val="0"/>
                <w:szCs w:val="21"/>
              </w:rPr>
            </w:pPr>
            <w:r>
              <w:rPr>
                <w:rFonts w:hint="eastAsia" w:ascii="宋体" w:hAnsi="宋体" w:cs="宋体"/>
                <w:spacing w:val="-3"/>
                <w:kern w:val="0"/>
                <w:szCs w:val="21"/>
              </w:rPr>
              <w:t>3</w:t>
            </w:r>
          </w:p>
        </w:tc>
        <w:tc>
          <w:tcPr>
            <w:tcW w:w="1063"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内部人员管理方案</w:t>
            </w:r>
          </w:p>
        </w:tc>
        <w:tc>
          <w:tcPr>
            <w:tcW w:w="7264"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（一）供应商提供</w:t>
            </w:r>
            <w:bookmarkStart w:id="269" w:name="OLE_LINK68"/>
            <w:r>
              <w:rPr>
                <w:rFonts w:hint="eastAsia" w:ascii="宋体" w:hAnsi="宋体" w:cs="宋体"/>
                <w:spacing w:val="-3"/>
                <w:kern w:val="0"/>
                <w:szCs w:val="21"/>
              </w:rPr>
              <w:t>内部人员管理方案</w:t>
            </w:r>
            <w:bookmarkEnd w:id="269"/>
            <w:r>
              <w:rPr>
                <w:rFonts w:hint="eastAsia" w:ascii="宋体" w:hAnsi="宋体" w:cs="宋体"/>
                <w:spacing w:val="-3"/>
                <w:kern w:val="0"/>
                <w:szCs w:val="21"/>
              </w:rPr>
              <w:t>（包含但不限于：（1）人事管理规章制度（2）档案管理制度（3）人员培训计划（4）培训内容（5）人员的录用、考核、奖惩）：</w:t>
            </w:r>
          </w:p>
          <w:p>
            <w:pPr>
              <w:pStyle w:val="2"/>
              <w:rPr>
                <w:rFonts w:ascii="Calibri" w:hAnsi="Calibri"/>
              </w:rPr>
            </w:pPr>
            <w:bookmarkStart w:id="270" w:name="OLE_LINK70"/>
            <w:r>
              <w:rPr>
                <w:rFonts w:hint="eastAsia"/>
              </w:rPr>
              <w:t>提供方案包含以上每1</w:t>
            </w:r>
            <w:r>
              <w:t>项要求的，得</w:t>
            </w:r>
            <w:r>
              <w:rPr>
                <w:rFonts w:hint="eastAsia"/>
              </w:rPr>
              <w:t>0.4</w:t>
            </w:r>
            <w:r>
              <w:t>分，</w:t>
            </w:r>
            <w:r>
              <w:rPr>
                <w:rFonts w:hint="eastAsia"/>
              </w:rPr>
              <w:t>本项总分2</w:t>
            </w:r>
            <w:r>
              <w:t>分</w:t>
            </w:r>
            <w:r>
              <w:rPr>
                <w:rFonts w:ascii="Calibri" w:hAnsi="Calibri"/>
              </w:rPr>
              <w:t>。</w:t>
            </w:r>
          </w:p>
          <w:p>
            <w:pPr>
              <w:pStyle w:val="2"/>
              <w:rPr>
                <w:rFonts w:ascii="Calibri" w:hAnsi="Calibri"/>
              </w:rPr>
            </w:pPr>
            <w:r>
              <w:rPr>
                <w:rFonts w:hint="eastAsia" w:ascii="Calibri" w:hAnsi="Calibri"/>
              </w:rPr>
              <w:t>（二）在满足上述要求的基础上，根据供应商的具体内容进一步评审：</w:t>
            </w:r>
            <w:bookmarkEnd w:id="270"/>
          </w:p>
          <w:p>
            <w:pPr>
              <w:widowControl/>
              <w:rPr>
                <w:rFonts w:ascii="宋体" w:hAnsi="宋体" w:cs="宋体"/>
                <w:spacing w:val="-3"/>
                <w:kern w:val="0"/>
                <w:szCs w:val="21"/>
              </w:rPr>
            </w:pPr>
            <w:r>
              <w:rPr>
                <w:rFonts w:hint="eastAsia" w:ascii="宋体" w:hAnsi="宋体" w:cs="宋体"/>
                <w:spacing w:val="-3"/>
                <w:kern w:val="0"/>
                <w:szCs w:val="21"/>
              </w:rPr>
              <w:t>1.管理规章制度、人员培训及管理健全完整、科学，得4分；</w:t>
            </w:r>
          </w:p>
          <w:p>
            <w:pPr>
              <w:widowControl/>
              <w:rPr>
                <w:rFonts w:ascii="宋体" w:hAnsi="宋体" w:cs="宋体"/>
                <w:spacing w:val="-3"/>
                <w:kern w:val="0"/>
                <w:szCs w:val="21"/>
              </w:rPr>
            </w:pPr>
            <w:r>
              <w:rPr>
                <w:rFonts w:hint="eastAsia" w:ascii="宋体" w:hAnsi="宋体" w:cs="宋体"/>
                <w:spacing w:val="-3"/>
                <w:kern w:val="0"/>
                <w:szCs w:val="21"/>
              </w:rPr>
              <w:t>2.管理规章制度、人员培训及管理比较健全完整、比较科学，得2.5分；</w:t>
            </w:r>
          </w:p>
          <w:p>
            <w:pPr>
              <w:widowControl/>
              <w:rPr>
                <w:rFonts w:ascii="宋体" w:hAnsi="宋体" w:cs="宋体"/>
                <w:spacing w:val="-3"/>
                <w:kern w:val="0"/>
                <w:szCs w:val="21"/>
              </w:rPr>
            </w:pPr>
            <w:r>
              <w:rPr>
                <w:rFonts w:hint="eastAsia" w:ascii="宋体" w:hAnsi="宋体" w:cs="宋体"/>
                <w:spacing w:val="-3"/>
                <w:kern w:val="0"/>
                <w:szCs w:val="21"/>
              </w:rPr>
              <w:t>3.管理规章制度、人员培训及管理不健全完整、不科学，得1分；</w:t>
            </w:r>
          </w:p>
          <w:p>
            <w:pPr>
              <w:widowControl/>
              <w:rPr>
                <w:rFonts w:ascii="宋体" w:hAnsi="宋体" w:cs="宋体"/>
                <w:spacing w:val="-3"/>
                <w:kern w:val="0"/>
                <w:szCs w:val="21"/>
              </w:rPr>
            </w:pPr>
            <w:r>
              <w:rPr>
                <w:rFonts w:hint="eastAsia" w:ascii="宋体" w:hAnsi="宋体" w:cs="宋体"/>
                <w:spacing w:val="-3"/>
                <w:kern w:val="0"/>
                <w:szCs w:val="21"/>
              </w:rPr>
              <w:t>4.未提供相关材料的，得0分。</w:t>
            </w:r>
          </w:p>
        </w:tc>
        <w:tc>
          <w:tcPr>
            <w:tcW w:w="703" w:type="dxa"/>
            <w:vAlign w:val="center"/>
          </w:tcPr>
          <w:p>
            <w:pPr>
              <w:widowControl/>
              <w:jc w:val="center"/>
              <w:rPr>
                <w:rFonts w:ascii="宋体" w:hAnsi="宋体" w:cs="宋体"/>
                <w:spacing w:val="-3"/>
                <w:kern w:val="0"/>
                <w:szCs w:val="21"/>
              </w:rPr>
            </w:pPr>
            <w:r>
              <w:rPr>
                <w:rFonts w:hint="eastAsia" w:ascii="宋体" w:hAnsi="宋体" w:cs="宋体"/>
                <w:spacing w:val="-3"/>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dxa"/>
            <w:vAlign w:val="center"/>
          </w:tcPr>
          <w:p>
            <w:pPr>
              <w:widowControl/>
              <w:rPr>
                <w:rFonts w:ascii="宋体" w:hAnsi="宋体" w:cs="宋体"/>
                <w:spacing w:val="-3"/>
                <w:kern w:val="0"/>
                <w:szCs w:val="21"/>
              </w:rPr>
            </w:pPr>
            <w:r>
              <w:rPr>
                <w:rFonts w:hint="eastAsia" w:ascii="宋体" w:hAnsi="宋体" w:cs="宋体"/>
                <w:spacing w:val="-3"/>
                <w:kern w:val="0"/>
                <w:szCs w:val="21"/>
              </w:rPr>
              <w:t>4</w:t>
            </w:r>
          </w:p>
        </w:tc>
        <w:tc>
          <w:tcPr>
            <w:tcW w:w="1063"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劳务纠纷调解方案</w:t>
            </w:r>
          </w:p>
        </w:tc>
        <w:tc>
          <w:tcPr>
            <w:tcW w:w="7264"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（一）供应商提供劳务纠纷调解的处理方案（包含但不限于：（1）劳动纠纷调解工作制度（2）劳务纠纷调解重点与技巧）：</w:t>
            </w:r>
          </w:p>
          <w:p>
            <w:pPr>
              <w:pStyle w:val="2"/>
              <w:rPr>
                <w:rFonts w:ascii="Calibri" w:hAnsi="Calibri"/>
              </w:rPr>
            </w:pPr>
            <w:r>
              <w:rPr>
                <w:rFonts w:hint="eastAsia"/>
              </w:rPr>
              <w:t>提供方案包含以上每1</w:t>
            </w:r>
            <w:r>
              <w:t>项要求的，得</w:t>
            </w:r>
            <w:r>
              <w:rPr>
                <w:rFonts w:hint="eastAsia"/>
              </w:rPr>
              <w:t>1</w:t>
            </w:r>
            <w:r>
              <w:t>分，</w:t>
            </w:r>
            <w:r>
              <w:rPr>
                <w:rFonts w:hint="eastAsia"/>
              </w:rPr>
              <w:t>本项总分2</w:t>
            </w:r>
            <w:r>
              <w:t>分</w:t>
            </w:r>
            <w:r>
              <w:rPr>
                <w:rFonts w:ascii="Calibri" w:hAnsi="Calibri"/>
              </w:rPr>
              <w:t>。</w:t>
            </w:r>
          </w:p>
          <w:p>
            <w:pPr>
              <w:pStyle w:val="2"/>
              <w:rPr>
                <w:rFonts w:ascii="Calibri" w:hAnsi="Calibri"/>
              </w:rPr>
            </w:pPr>
            <w:r>
              <w:rPr>
                <w:rFonts w:hint="eastAsia" w:ascii="Calibri" w:hAnsi="Calibri"/>
              </w:rPr>
              <w:t>（二）在满足上述要求的基础上，根据供应商的具体内容进一步评审：</w:t>
            </w:r>
          </w:p>
          <w:p>
            <w:pPr>
              <w:widowControl/>
              <w:rPr>
                <w:rFonts w:ascii="宋体" w:hAnsi="宋体" w:cs="宋体"/>
                <w:spacing w:val="-3"/>
                <w:kern w:val="0"/>
                <w:szCs w:val="21"/>
              </w:rPr>
            </w:pPr>
            <w:r>
              <w:rPr>
                <w:rFonts w:hint="eastAsia" w:ascii="宋体" w:hAnsi="宋体" w:cs="宋体"/>
                <w:spacing w:val="-3"/>
                <w:kern w:val="0"/>
                <w:szCs w:val="21"/>
              </w:rPr>
              <w:t>1、根据</w:t>
            </w:r>
            <w:bookmarkStart w:id="271" w:name="OLE_LINK69"/>
            <w:r>
              <w:rPr>
                <w:rFonts w:hint="eastAsia" w:ascii="宋体" w:hAnsi="宋体" w:cs="宋体"/>
                <w:spacing w:val="-3"/>
                <w:kern w:val="0"/>
                <w:szCs w:val="21"/>
              </w:rPr>
              <w:t>供应商对劳务纠纷调解的处理措施、技术能力水平</w:t>
            </w:r>
            <w:bookmarkEnd w:id="271"/>
            <w:r>
              <w:rPr>
                <w:rFonts w:hint="eastAsia" w:ascii="宋体" w:hAnsi="宋体" w:cs="宋体"/>
                <w:spacing w:val="-3"/>
                <w:kern w:val="0"/>
                <w:szCs w:val="21"/>
              </w:rPr>
              <w:t>情况：</w:t>
            </w:r>
          </w:p>
          <w:p>
            <w:pPr>
              <w:widowControl/>
              <w:rPr>
                <w:rFonts w:ascii="宋体" w:hAnsi="宋体" w:cs="宋体"/>
                <w:spacing w:val="-3"/>
                <w:kern w:val="0"/>
                <w:szCs w:val="21"/>
              </w:rPr>
            </w:pPr>
            <w:r>
              <w:rPr>
                <w:rFonts w:hint="eastAsia" w:ascii="宋体" w:hAnsi="宋体" w:cs="宋体"/>
                <w:spacing w:val="-3"/>
                <w:kern w:val="0"/>
                <w:szCs w:val="21"/>
              </w:rPr>
              <w:t>（1）对劳务纠纷调解的处理方案详细、可操作性强、具备较高的劳动关系争议调解的技术能力，得3分；</w:t>
            </w:r>
          </w:p>
          <w:p>
            <w:pPr>
              <w:widowControl/>
              <w:rPr>
                <w:rFonts w:ascii="宋体" w:hAnsi="宋体" w:cs="宋体"/>
                <w:spacing w:val="-3"/>
                <w:kern w:val="0"/>
                <w:szCs w:val="21"/>
              </w:rPr>
            </w:pPr>
            <w:r>
              <w:rPr>
                <w:rFonts w:hint="eastAsia" w:ascii="宋体" w:hAnsi="宋体" w:cs="宋体"/>
                <w:spacing w:val="-3"/>
                <w:kern w:val="0"/>
                <w:szCs w:val="21"/>
              </w:rPr>
              <w:t>（2）对劳务纠纷调解的处理方案比较详细、可操作性一般、劳动关系争议调解的技术能力一般，得2分；</w:t>
            </w:r>
          </w:p>
          <w:p>
            <w:pPr>
              <w:widowControl/>
              <w:rPr>
                <w:rFonts w:ascii="宋体" w:hAnsi="宋体" w:cs="宋体"/>
                <w:spacing w:val="-3"/>
                <w:kern w:val="0"/>
                <w:szCs w:val="21"/>
              </w:rPr>
            </w:pPr>
            <w:r>
              <w:rPr>
                <w:rFonts w:hint="eastAsia" w:ascii="宋体" w:hAnsi="宋体" w:cs="宋体"/>
                <w:spacing w:val="-3"/>
                <w:kern w:val="0"/>
                <w:szCs w:val="21"/>
              </w:rPr>
              <w:t>（3）对劳务纠纷调解的处理方案不详细、可操作性差、没有劳动关系争议调解的技术能力，得1分；</w:t>
            </w:r>
          </w:p>
          <w:p>
            <w:pPr>
              <w:widowControl/>
              <w:rPr>
                <w:rFonts w:ascii="宋体" w:hAnsi="宋体" w:cs="宋体"/>
                <w:spacing w:val="-3"/>
                <w:kern w:val="0"/>
                <w:szCs w:val="21"/>
              </w:rPr>
            </w:pPr>
            <w:r>
              <w:rPr>
                <w:rFonts w:hint="eastAsia" w:ascii="宋体" w:hAnsi="宋体" w:cs="宋体"/>
                <w:spacing w:val="-3"/>
                <w:kern w:val="0"/>
                <w:szCs w:val="21"/>
              </w:rPr>
              <w:t>（4）未提供相关材料的，不得分。</w:t>
            </w:r>
          </w:p>
          <w:p>
            <w:pPr>
              <w:widowControl/>
              <w:rPr>
                <w:rFonts w:ascii="宋体" w:hAnsi="宋体" w:cs="宋体"/>
                <w:spacing w:val="-3"/>
                <w:kern w:val="0"/>
                <w:szCs w:val="21"/>
              </w:rPr>
            </w:pPr>
            <w:r>
              <w:rPr>
                <w:rFonts w:hint="eastAsia" w:ascii="宋体" w:hAnsi="宋体" w:cs="宋体"/>
                <w:spacing w:val="-3"/>
                <w:kern w:val="0"/>
                <w:szCs w:val="21"/>
              </w:rPr>
              <w:t>（三）供应商搭建一支专业的劳动关系调解人员队伍，提供劳务纠纷调解服务人员队伍配置中：</w:t>
            </w:r>
          </w:p>
          <w:p>
            <w:pPr>
              <w:widowControl/>
              <w:rPr>
                <w:rFonts w:ascii="宋体" w:hAnsi="宋体" w:cs="宋体"/>
                <w:spacing w:val="-3"/>
                <w:kern w:val="0"/>
                <w:szCs w:val="21"/>
              </w:rPr>
            </w:pPr>
            <w:r>
              <w:rPr>
                <w:rFonts w:hint="eastAsia" w:ascii="宋体" w:hAnsi="宋体" w:cs="宋体"/>
                <w:spacing w:val="-3"/>
                <w:kern w:val="0"/>
                <w:szCs w:val="21"/>
              </w:rPr>
              <w:t>1.每提供一名具有全日制本科或以上学历的劳务纠纷调解服务人员，得1分，本小项最高得2分；</w:t>
            </w:r>
          </w:p>
          <w:p>
            <w:pPr>
              <w:widowControl/>
              <w:rPr>
                <w:rFonts w:ascii="宋体" w:hAnsi="宋体" w:cs="宋体"/>
                <w:spacing w:val="-3"/>
                <w:kern w:val="0"/>
                <w:szCs w:val="21"/>
              </w:rPr>
            </w:pPr>
            <w:r>
              <w:rPr>
                <w:rFonts w:hint="eastAsia" w:ascii="宋体" w:hAnsi="宋体" w:cs="宋体"/>
                <w:spacing w:val="-3"/>
                <w:kern w:val="0"/>
                <w:szCs w:val="21"/>
              </w:rPr>
              <w:t>2.满足“1.”的基础上，持有企业人力资源管理师四级或以上职业资格证书，劳动关系协调员三级或以上职业技能等级证书，每名劳务纠纷调解服务人员提供一个证书得0.5分，本项最高得2分；</w:t>
            </w:r>
          </w:p>
          <w:p>
            <w:pPr>
              <w:widowControl/>
              <w:rPr>
                <w:rFonts w:ascii="宋体" w:hAnsi="宋体" w:cs="宋体"/>
                <w:spacing w:val="-3"/>
                <w:kern w:val="0"/>
                <w:szCs w:val="21"/>
              </w:rPr>
            </w:pPr>
            <w:r>
              <w:rPr>
                <w:rFonts w:hint="eastAsia" w:ascii="宋体" w:hAnsi="宋体" w:cs="宋体"/>
                <w:spacing w:val="-3"/>
                <w:kern w:val="0"/>
                <w:szCs w:val="21"/>
              </w:rPr>
              <w:t>备注：（1）团队人员须提供身份证、学历证书、教育部学历证书电子注册备案（扫描件）或中国高等教育学历认证报告（扫描件）或中国高等教育学生信息网（学信网）查询截图）、资格证书复印件，以及供应商为其缴纳近3个月任1个月的社会保险证明（以投标截止日之前）；</w:t>
            </w:r>
          </w:p>
          <w:p>
            <w:pPr>
              <w:widowControl/>
              <w:rPr>
                <w:rFonts w:ascii="宋体" w:hAnsi="宋体" w:cs="宋体"/>
                <w:spacing w:val="-3"/>
                <w:kern w:val="0"/>
                <w:szCs w:val="21"/>
              </w:rPr>
            </w:pPr>
            <w:r>
              <w:rPr>
                <w:rFonts w:hint="eastAsia" w:ascii="宋体" w:hAnsi="宋体" w:cs="宋体"/>
                <w:spacing w:val="-3"/>
                <w:kern w:val="0"/>
                <w:szCs w:val="21"/>
              </w:rPr>
              <w:t>（2）未按要求提供资料或不符合要求的不得分；</w:t>
            </w:r>
          </w:p>
        </w:tc>
        <w:tc>
          <w:tcPr>
            <w:tcW w:w="703" w:type="dxa"/>
            <w:vAlign w:val="center"/>
          </w:tcPr>
          <w:p>
            <w:pPr>
              <w:widowControl/>
              <w:jc w:val="center"/>
              <w:rPr>
                <w:rFonts w:ascii="宋体" w:hAnsi="宋体" w:cs="宋体"/>
                <w:spacing w:val="-3"/>
                <w:kern w:val="0"/>
                <w:szCs w:val="21"/>
              </w:rPr>
            </w:pPr>
            <w:r>
              <w:rPr>
                <w:rFonts w:hint="eastAsia" w:ascii="宋体" w:hAnsi="宋体" w:cs="宋体"/>
                <w:spacing w:val="-3"/>
                <w:kern w:val="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dxa"/>
            <w:vAlign w:val="center"/>
          </w:tcPr>
          <w:p>
            <w:pPr>
              <w:widowControl/>
              <w:rPr>
                <w:rFonts w:ascii="宋体" w:hAnsi="宋体" w:cs="宋体"/>
                <w:spacing w:val="-3"/>
                <w:kern w:val="0"/>
                <w:szCs w:val="21"/>
              </w:rPr>
            </w:pPr>
            <w:r>
              <w:rPr>
                <w:rFonts w:hint="eastAsia" w:ascii="宋体" w:hAnsi="宋体" w:cs="宋体"/>
                <w:spacing w:val="-3"/>
                <w:kern w:val="0"/>
                <w:szCs w:val="21"/>
              </w:rPr>
              <w:t>5</w:t>
            </w:r>
          </w:p>
        </w:tc>
        <w:tc>
          <w:tcPr>
            <w:tcW w:w="1063"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应急响应能力</w:t>
            </w:r>
          </w:p>
        </w:tc>
        <w:tc>
          <w:tcPr>
            <w:tcW w:w="7264"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 xml:space="preserve">承诺应急响应能力可以充分满足采购需求： </w:t>
            </w:r>
          </w:p>
          <w:p>
            <w:pPr>
              <w:widowControl/>
              <w:rPr>
                <w:rFonts w:ascii="宋体" w:hAnsi="宋体" w:cs="宋体"/>
                <w:spacing w:val="-3"/>
                <w:kern w:val="0"/>
                <w:szCs w:val="21"/>
              </w:rPr>
            </w:pPr>
            <w:r>
              <w:rPr>
                <w:rFonts w:hint="eastAsia" w:ascii="宋体" w:hAnsi="宋体" w:cs="宋体"/>
                <w:spacing w:val="-3"/>
                <w:kern w:val="0"/>
                <w:szCs w:val="21"/>
              </w:rPr>
              <w:t xml:space="preserve">1.应急响应时可调配周边项目人员不少于20人在30分钟内抵达现场的，得5分； </w:t>
            </w:r>
          </w:p>
          <w:p>
            <w:pPr>
              <w:widowControl/>
              <w:rPr>
                <w:rFonts w:ascii="宋体" w:hAnsi="宋体" w:cs="宋体"/>
                <w:spacing w:val="-3"/>
                <w:kern w:val="0"/>
                <w:szCs w:val="21"/>
              </w:rPr>
            </w:pPr>
            <w:r>
              <w:rPr>
                <w:rFonts w:hint="eastAsia" w:ascii="宋体" w:hAnsi="宋体" w:cs="宋体"/>
                <w:spacing w:val="-3"/>
                <w:kern w:val="0"/>
                <w:szCs w:val="21"/>
              </w:rPr>
              <w:t>2.应急响应时可调配周边项目人员不少于20人在60分钟内抵达现场的得3分；</w:t>
            </w:r>
          </w:p>
          <w:p>
            <w:pPr>
              <w:widowControl/>
              <w:rPr>
                <w:rFonts w:ascii="宋体" w:hAnsi="宋体" w:cs="宋体"/>
                <w:spacing w:val="-3"/>
                <w:kern w:val="0"/>
                <w:szCs w:val="21"/>
              </w:rPr>
            </w:pPr>
            <w:r>
              <w:rPr>
                <w:rFonts w:hint="eastAsia" w:ascii="宋体" w:hAnsi="宋体" w:cs="宋体"/>
                <w:spacing w:val="-3"/>
                <w:kern w:val="0"/>
                <w:szCs w:val="21"/>
              </w:rPr>
              <w:t>3.应急响应时调配不少于20人抵达现场时间超过60分钟的得1分。</w:t>
            </w:r>
          </w:p>
          <w:p>
            <w:pPr>
              <w:widowControl/>
              <w:rPr>
                <w:rFonts w:ascii="宋体" w:hAnsi="宋体" w:cs="宋体"/>
                <w:spacing w:val="-3"/>
                <w:kern w:val="0"/>
                <w:szCs w:val="21"/>
              </w:rPr>
            </w:pPr>
            <w:r>
              <w:rPr>
                <w:rFonts w:hint="eastAsia" w:ascii="宋体" w:hAnsi="宋体" w:cs="宋体"/>
                <w:spacing w:val="-3"/>
                <w:kern w:val="0"/>
                <w:szCs w:val="21"/>
              </w:rPr>
              <w:t>4.其他情况或不响应，得0分。</w:t>
            </w:r>
          </w:p>
          <w:p>
            <w:pPr>
              <w:widowControl/>
              <w:rPr>
                <w:rFonts w:ascii="宋体" w:hAnsi="宋体" w:cs="宋体"/>
                <w:spacing w:val="-3"/>
                <w:kern w:val="0"/>
                <w:szCs w:val="21"/>
              </w:rPr>
            </w:pPr>
            <w:r>
              <w:rPr>
                <w:rFonts w:hint="eastAsia" w:ascii="宋体" w:hAnsi="宋体" w:cs="宋体"/>
                <w:spacing w:val="-3"/>
                <w:kern w:val="0"/>
                <w:szCs w:val="21"/>
              </w:rPr>
              <w:t>注：需在响应文件中提供周边项目证明材料，包括但不限于可调配的人员数量，响应距离及响应时间等信息。</w:t>
            </w:r>
          </w:p>
        </w:tc>
        <w:tc>
          <w:tcPr>
            <w:tcW w:w="703" w:type="dxa"/>
            <w:vAlign w:val="center"/>
          </w:tcPr>
          <w:p>
            <w:pPr>
              <w:widowControl/>
              <w:jc w:val="center"/>
              <w:rPr>
                <w:rFonts w:ascii="宋体" w:hAnsi="宋体" w:cs="宋体"/>
                <w:spacing w:val="-3"/>
                <w:kern w:val="0"/>
                <w:szCs w:val="21"/>
              </w:rPr>
            </w:pPr>
            <w:r>
              <w:rPr>
                <w:rFonts w:hint="eastAsia" w:ascii="宋体" w:hAnsi="宋体" w:cs="宋体"/>
                <w:spacing w:val="-3"/>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dxa"/>
            <w:vAlign w:val="center"/>
          </w:tcPr>
          <w:p>
            <w:pPr>
              <w:widowControl/>
              <w:rPr>
                <w:rFonts w:ascii="宋体" w:hAnsi="宋体" w:cs="宋体"/>
                <w:spacing w:val="-3"/>
                <w:kern w:val="0"/>
                <w:szCs w:val="21"/>
              </w:rPr>
            </w:pPr>
            <w:r>
              <w:rPr>
                <w:rFonts w:hint="eastAsia" w:ascii="宋体" w:hAnsi="宋体" w:cs="宋体"/>
                <w:spacing w:val="-3"/>
                <w:kern w:val="0"/>
                <w:szCs w:val="21"/>
              </w:rPr>
              <w:t>6</w:t>
            </w:r>
          </w:p>
        </w:tc>
        <w:tc>
          <w:tcPr>
            <w:tcW w:w="1063"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应急处理方案</w:t>
            </w:r>
          </w:p>
        </w:tc>
        <w:tc>
          <w:tcPr>
            <w:tcW w:w="7264"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bookmarkStart w:id="272" w:name="OLE_LINK79"/>
            <w:r>
              <w:rPr>
                <w:rFonts w:hint="eastAsia" w:ascii="宋体" w:hAnsi="宋体" w:cs="宋体"/>
                <w:spacing w:val="-3"/>
                <w:kern w:val="0"/>
                <w:szCs w:val="21"/>
              </w:rPr>
              <w:t>（一）供应商提供应急处理方案（包含但不限于：（1）生产安全事故应急预案（2）常规事故应急预案（3）大型活动会议接待预案（4）安全保障方案）：</w:t>
            </w:r>
            <w:bookmarkEnd w:id="272"/>
          </w:p>
          <w:p>
            <w:pPr>
              <w:pStyle w:val="2"/>
              <w:rPr>
                <w:rFonts w:ascii="Calibri" w:hAnsi="Calibri"/>
              </w:rPr>
            </w:pPr>
            <w:bookmarkStart w:id="273" w:name="OLE_LINK84"/>
            <w:r>
              <w:rPr>
                <w:rFonts w:hint="eastAsia"/>
              </w:rPr>
              <w:t>提供方案包含以上每1</w:t>
            </w:r>
            <w:r>
              <w:t>项要求的，得</w:t>
            </w:r>
            <w:r>
              <w:rPr>
                <w:rFonts w:hint="eastAsia"/>
              </w:rPr>
              <w:t>0.5</w:t>
            </w:r>
            <w:r>
              <w:t>分，</w:t>
            </w:r>
            <w:r>
              <w:rPr>
                <w:rFonts w:hint="eastAsia"/>
              </w:rPr>
              <w:t>本项总分2</w:t>
            </w:r>
            <w:r>
              <w:t>分</w:t>
            </w:r>
            <w:r>
              <w:rPr>
                <w:rFonts w:ascii="Calibri" w:hAnsi="Calibri"/>
              </w:rPr>
              <w:t>。</w:t>
            </w:r>
          </w:p>
          <w:p>
            <w:pPr>
              <w:widowControl/>
              <w:rPr>
                <w:rFonts w:ascii="宋体" w:hAnsi="宋体" w:cs="宋体"/>
                <w:spacing w:val="-3"/>
                <w:kern w:val="0"/>
                <w:szCs w:val="21"/>
              </w:rPr>
            </w:pPr>
            <w:r>
              <w:rPr>
                <w:rFonts w:hint="eastAsia" w:ascii="Calibri" w:hAnsi="Calibri"/>
              </w:rPr>
              <w:t>（二）在满足上述要求的基础上，根据供应商的具体内容进一步评审：</w:t>
            </w:r>
          </w:p>
          <w:bookmarkEnd w:id="273"/>
          <w:p>
            <w:pPr>
              <w:widowControl/>
              <w:rPr>
                <w:rFonts w:ascii="宋体" w:hAnsi="宋体" w:cs="宋体"/>
                <w:spacing w:val="-3"/>
                <w:kern w:val="0"/>
                <w:szCs w:val="21"/>
              </w:rPr>
            </w:pPr>
            <w:r>
              <w:rPr>
                <w:rFonts w:hint="eastAsia" w:ascii="宋体" w:hAnsi="宋体" w:cs="宋体"/>
                <w:spacing w:val="-3"/>
                <w:kern w:val="0"/>
                <w:szCs w:val="21"/>
              </w:rPr>
              <w:t>1.供应商针对突发事件的预防、应变和处置方案及措施：</w:t>
            </w:r>
          </w:p>
          <w:p>
            <w:pPr>
              <w:widowControl/>
              <w:rPr>
                <w:rFonts w:ascii="宋体" w:hAnsi="宋体" w:cs="宋体"/>
                <w:spacing w:val="-3"/>
                <w:kern w:val="0"/>
                <w:szCs w:val="21"/>
              </w:rPr>
            </w:pPr>
            <w:r>
              <w:rPr>
                <w:rFonts w:hint="eastAsia" w:ascii="宋体" w:hAnsi="宋体" w:cs="宋体"/>
                <w:spacing w:val="-3"/>
                <w:kern w:val="0"/>
                <w:szCs w:val="21"/>
              </w:rPr>
              <w:t>（1）应急处理方案完善，能够有效地预防突发事件发生；应变和处置方案科学合理、内容完善、可操作性强，得4分；</w:t>
            </w:r>
          </w:p>
          <w:p>
            <w:pPr>
              <w:widowControl/>
              <w:rPr>
                <w:rFonts w:ascii="宋体" w:hAnsi="宋体" w:cs="宋体"/>
                <w:spacing w:val="-3"/>
                <w:kern w:val="0"/>
                <w:szCs w:val="21"/>
              </w:rPr>
            </w:pPr>
            <w:r>
              <w:rPr>
                <w:rFonts w:hint="eastAsia" w:ascii="宋体" w:hAnsi="宋体" w:cs="宋体"/>
                <w:spacing w:val="-3"/>
                <w:kern w:val="0"/>
                <w:szCs w:val="21"/>
              </w:rPr>
              <w:t>（2）应急处理方案内容较完善，能够预防突发事件发生；应变和处置方案一般、可操作性一般，得2分；</w:t>
            </w:r>
          </w:p>
          <w:p>
            <w:pPr>
              <w:widowControl/>
              <w:rPr>
                <w:rFonts w:ascii="宋体" w:hAnsi="宋体" w:cs="宋体"/>
                <w:spacing w:val="-3"/>
                <w:kern w:val="0"/>
                <w:szCs w:val="21"/>
              </w:rPr>
            </w:pPr>
            <w:r>
              <w:rPr>
                <w:rFonts w:hint="eastAsia" w:ascii="宋体" w:hAnsi="宋体" w:cs="宋体"/>
                <w:spacing w:val="-3"/>
                <w:kern w:val="0"/>
                <w:szCs w:val="21"/>
              </w:rPr>
              <w:t>（3）</w:t>
            </w:r>
            <w:bookmarkStart w:id="274" w:name="OLE_LINK77"/>
            <w:r>
              <w:rPr>
                <w:rFonts w:hint="eastAsia" w:ascii="宋体" w:hAnsi="宋体" w:cs="宋体"/>
                <w:spacing w:val="-3"/>
                <w:kern w:val="0"/>
                <w:szCs w:val="21"/>
              </w:rPr>
              <w:t>应急处理方案</w:t>
            </w:r>
            <w:bookmarkEnd w:id="274"/>
            <w:r>
              <w:rPr>
                <w:rFonts w:hint="eastAsia" w:ascii="宋体" w:hAnsi="宋体" w:cs="宋体"/>
                <w:spacing w:val="-3"/>
                <w:kern w:val="0"/>
                <w:szCs w:val="21"/>
              </w:rPr>
              <w:t>内容较不完善、不能有效预防突发事件发生；应变和处置方案简单、可操作性差，得1分。</w:t>
            </w:r>
          </w:p>
          <w:p>
            <w:pPr>
              <w:widowControl/>
              <w:rPr>
                <w:rFonts w:ascii="宋体" w:hAnsi="宋体" w:cs="宋体"/>
                <w:spacing w:val="-3"/>
                <w:kern w:val="0"/>
                <w:szCs w:val="21"/>
              </w:rPr>
            </w:pPr>
            <w:r>
              <w:rPr>
                <w:rFonts w:hint="eastAsia" w:ascii="宋体" w:hAnsi="宋体" w:cs="宋体"/>
                <w:spacing w:val="-3"/>
                <w:kern w:val="0"/>
                <w:szCs w:val="21"/>
              </w:rPr>
              <w:t>（4）未提供相关方案的，得0分。</w:t>
            </w:r>
          </w:p>
          <w:p>
            <w:pPr>
              <w:widowControl/>
              <w:rPr>
                <w:rFonts w:ascii="宋体" w:hAnsi="宋体" w:cs="宋体"/>
                <w:spacing w:val="-3"/>
                <w:kern w:val="0"/>
                <w:szCs w:val="21"/>
              </w:rPr>
            </w:pPr>
            <w:r>
              <w:rPr>
                <w:rFonts w:hint="eastAsia" w:ascii="宋体" w:hAnsi="宋体" w:cs="宋体"/>
                <w:spacing w:val="-3"/>
                <w:kern w:val="0"/>
                <w:szCs w:val="21"/>
              </w:rPr>
              <w:t>（三）供应商取得应急管理部门颁发的安全事故应急预案备案登记表，得2分，不提供不得分。</w:t>
            </w:r>
          </w:p>
        </w:tc>
        <w:tc>
          <w:tcPr>
            <w:tcW w:w="703" w:type="dxa"/>
            <w:vAlign w:val="center"/>
          </w:tcPr>
          <w:p>
            <w:pPr>
              <w:widowControl/>
              <w:jc w:val="center"/>
              <w:rPr>
                <w:rFonts w:ascii="宋体" w:hAnsi="宋体" w:cs="宋体"/>
                <w:spacing w:val="-3"/>
                <w:kern w:val="0"/>
                <w:szCs w:val="21"/>
              </w:rPr>
            </w:pPr>
            <w:r>
              <w:rPr>
                <w:rFonts w:hint="eastAsia" w:ascii="宋体" w:hAnsi="宋体" w:cs="宋体"/>
                <w:spacing w:val="-3"/>
                <w:kern w:val="0"/>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dxa"/>
            <w:vAlign w:val="center"/>
          </w:tcPr>
          <w:p>
            <w:pPr>
              <w:widowControl/>
              <w:rPr>
                <w:rFonts w:ascii="宋体" w:hAnsi="宋体" w:cs="宋体"/>
                <w:spacing w:val="-3"/>
                <w:kern w:val="0"/>
                <w:szCs w:val="21"/>
              </w:rPr>
            </w:pPr>
            <w:r>
              <w:rPr>
                <w:rFonts w:hint="eastAsia" w:ascii="宋体" w:hAnsi="宋体" w:cs="宋体"/>
                <w:spacing w:val="-3"/>
                <w:kern w:val="0"/>
                <w:szCs w:val="21"/>
              </w:rPr>
              <w:t>7</w:t>
            </w:r>
          </w:p>
        </w:tc>
        <w:tc>
          <w:tcPr>
            <w:tcW w:w="1063"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信息化服务支撑能力</w:t>
            </w:r>
          </w:p>
        </w:tc>
        <w:tc>
          <w:tcPr>
            <w:tcW w:w="7264"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供应商针对本项目制定的智能化、信息化管理方案，运用相应的各类智能管理软件或系统，对人员管理、服务品质进行核查、提升服务质量。供应商具有：</w:t>
            </w:r>
          </w:p>
          <w:p>
            <w:pPr>
              <w:widowControl/>
              <w:rPr>
                <w:rFonts w:ascii="宋体" w:hAnsi="宋体" w:cs="宋体"/>
                <w:spacing w:val="-3"/>
                <w:kern w:val="0"/>
                <w:szCs w:val="21"/>
              </w:rPr>
            </w:pPr>
            <w:r>
              <w:rPr>
                <w:rFonts w:hint="eastAsia" w:ascii="宋体" w:hAnsi="宋体" w:cs="宋体"/>
                <w:spacing w:val="-3"/>
                <w:kern w:val="0"/>
                <w:szCs w:val="21"/>
              </w:rPr>
              <w:t>每提供一项物业管理类应用软件著作权，得1分，最高得3分。</w:t>
            </w:r>
          </w:p>
          <w:p>
            <w:pPr>
              <w:widowControl/>
              <w:rPr>
                <w:rFonts w:ascii="宋体" w:hAnsi="宋体" w:cs="宋体"/>
                <w:spacing w:val="-3"/>
                <w:kern w:val="0"/>
                <w:szCs w:val="21"/>
              </w:rPr>
            </w:pPr>
            <w:r>
              <w:rPr>
                <w:rFonts w:hint="eastAsia" w:ascii="宋体" w:hAnsi="宋体" w:cs="宋体"/>
                <w:spacing w:val="-3"/>
                <w:kern w:val="0"/>
                <w:szCs w:val="21"/>
              </w:rPr>
              <w:t>注：供应商需提供中华人民共和国国家版权局计算机软件著作权登记证书复印件，及在中国版权保护中心著作权登记系统(https://register.ccopyright.com.cn/query.html)网站查询截图。</w:t>
            </w:r>
          </w:p>
        </w:tc>
        <w:tc>
          <w:tcPr>
            <w:tcW w:w="703" w:type="dxa"/>
            <w:vAlign w:val="center"/>
          </w:tcPr>
          <w:p>
            <w:pPr>
              <w:widowControl/>
              <w:jc w:val="center"/>
              <w:rPr>
                <w:rFonts w:ascii="宋体" w:hAnsi="宋体" w:cs="宋体"/>
                <w:spacing w:val="-3"/>
                <w:kern w:val="0"/>
                <w:szCs w:val="21"/>
              </w:rPr>
            </w:pPr>
            <w:r>
              <w:rPr>
                <w:rFonts w:hint="eastAsia" w:ascii="宋体" w:hAnsi="宋体" w:cs="宋体"/>
                <w:spacing w:val="-3"/>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5" w:hRule="atLeast"/>
        </w:trPr>
        <w:tc>
          <w:tcPr>
            <w:tcW w:w="463" w:type="dxa"/>
            <w:vAlign w:val="center"/>
          </w:tcPr>
          <w:p>
            <w:pPr>
              <w:widowControl/>
              <w:rPr>
                <w:rFonts w:ascii="宋体" w:hAnsi="宋体" w:cs="宋体"/>
                <w:spacing w:val="-3"/>
                <w:kern w:val="0"/>
                <w:szCs w:val="21"/>
              </w:rPr>
            </w:pPr>
            <w:r>
              <w:rPr>
                <w:rFonts w:hint="eastAsia" w:ascii="宋体" w:hAnsi="宋体" w:cs="宋体"/>
                <w:spacing w:val="-3"/>
                <w:kern w:val="0"/>
                <w:szCs w:val="21"/>
              </w:rPr>
              <w:t>8</w:t>
            </w:r>
          </w:p>
        </w:tc>
        <w:tc>
          <w:tcPr>
            <w:tcW w:w="1063"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质量保障方案</w:t>
            </w:r>
          </w:p>
        </w:tc>
        <w:tc>
          <w:tcPr>
            <w:tcW w:w="7264"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（一）供应商提供质量保障方案（包含但不限于：（1）服务质量、时效承诺内容（2）专业技术能力及保障措施（3）综合管理交接方案及流程）：</w:t>
            </w:r>
          </w:p>
          <w:p>
            <w:pPr>
              <w:pStyle w:val="2"/>
              <w:rPr>
                <w:rFonts w:ascii="Calibri" w:hAnsi="Calibri"/>
              </w:rPr>
            </w:pPr>
            <w:r>
              <w:rPr>
                <w:rFonts w:hint="eastAsia"/>
              </w:rPr>
              <w:t>提供方案包含以上每1</w:t>
            </w:r>
            <w:r>
              <w:t>项要求的，得</w:t>
            </w:r>
            <w:r>
              <w:rPr>
                <w:rFonts w:hint="eastAsia"/>
              </w:rPr>
              <w:t>0.5</w:t>
            </w:r>
            <w:r>
              <w:t>分，</w:t>
            </w:r>
            <w:r>
              <w:rPr>
                <w:rFonts w:hint="eastAsia"/>
              </w:rPr>
              <w:t>本项总分1.5</w:t>
            </w:r>
            <w:r>
              <w:t>分</w:t>
            </w:r>
            <w:r>
              <w:rPr>
                <w:rFonts w:ascii="Calibri" w:hAnsi="Calibri"/>
              </w:rPr>
              <w:t>。</w:t>
            </w:r>
          </w:p>
          <w:p>
            <w:pPr>
              <w:widowControl/>
              <w:rPr>
                <w:rFonts w:ascii="宋体" w:hAnsi="宋体" w:cs="宋体"/>
                <w:spacing w:val="-3"/>
                <w:kern w:val="0"/>
                <w:szCs w:val="21"/>
              </w:rPr>
            </w:pPr>
            <w:r>
              <w:rPr>
                <w:rFonts w:hint="eastAsia" w:ascii="Calibri" w:hAnsi="Calibri"/>
              </w:rPr>
              <w:t>（二）在满足上述要求的基础上，根据供应商的具体内容进一步评审：</w:t>
            </w:r>
          </w:p>
          <w:p>
            <w:pPr>
              <w:widowControl/>
              <w:rPr>
                <w:rFonts w:ascii="宋体" w:hAnsi="宋体" w:cs="宋体"/>
                <w:spacing w:val="-3"/>
                <w:kern w:val="0"/>
                <w:szCs w:val="21"/>
              </w:rPr>
            </w:pPr>
            <w:r>
              <w:rPr>
                <w:rFonts w:hint="eastAsia" w:ascii="宋体" w:hAnsi="宋体" w:cs="宋体"/>
                <w:spacing w:val="-3"/>
                <w:kern w:val="0"/>
                <w:szCs w:val="21"/>
              </w:rPr>
              <w:t>1.服务质量、时效承诺及技术保证合理、措施完备，综合管理交接方案具体详细、可操作性强，得3.5分；</w:t>
            </w:r>
          </w:p>
          <w:p>
            <w:pPr>
              <w:widowControl/>
              <w:rPr>
                <w:rFonts w:ascii="宋体" w:hAnsi="宋体" w:cs="宋体"/>
                <w:spacing w:val="-3"/>
                <w:kern w:val="0"/>
                <w:szCs w:val="21"/>
              </w:rPr>
            </w:pPr>
            <w:r>
              <w:rPr>
                <w:rFonts w:hint="eastAsia" w:ascii="宋体" w:hAnsi="宋体" w:cs="宋体"/>
                <w:spacing w:val="-3"/>
                <w:kern w:val="0"/>
                <w:szCs w:val="21"/>
              </w:rPr>
              <w:t>2.服务质量、时效承诺及技术保证比较合理、措施比较完备，综合管理交接方案比较详细、可操作性一般，得2分；</w:t>
            </w:r>
          </w:p>
          <w:p>
            <w:pPr>
              <w:widowControl/>
              <w:rPr>
                <w:rFonts w:ascii="宋体" w:hAnsi="宋体" w:cs="宋体"/>
                <w:spacing w:val="-3"/>
                <w:kern w:val="0"/>
                <w:szCs w:val="21"/>
              </w:rPr>
            </w:pPr>
            <w:r>
              <w:rPr>
                <w:rFonts w:hint="eastAsia" w:ascii="宋体" w:hAnsi="宋体" w:cs="宋体"/>
                <w:spacing w:val="-3"/>
                <w:kern w:val="0"/>
                <w:szCs w:val="21"/>
              </w:rPr>
              <w:t>3.服务质量、时效承诺及技术保证不合理、措施不完备，综合管理交接方案不详细、可操作性差，得1分；</w:t>
            </w:r>
          </w:p>
          <w:p>
            <w:pPr>
              <w:widowControl/>
              <w:rPr>
                <w:rFonts w:ascii="宋体" w:hAnsi="宋体" w:cs="宋体"/>
                <w:spacing w:val="-3"/>
                <w:kern w:val="0"/>
                <w:szCs w:val="21"/>
              </w:rPr>
            </w:pPr>
            <w:r>
              <w:rPr>
                <w:rFonts w:hint="eastAsia" w:ascii="宋体" w:hAnsi="宋体" w:cs="宋体"/>
                <w:spacing w:val="-3"/>
                <w:kern w:val="0"/>
                <w:szCs w:val="21"/>
              </w:rPr>
              <w:t>4.未提供相关材料的，得0分。</w:t>
            </w:r>
          </w:p>
        </w:tc>
        <w:tc>
          <w:tcPr>
            <w:tcW w:w="703" w:type="dxa"/>
            <w:vAlign w:val="center"/>
          </w:tcPr>
          <w:p>
            <w:pPr>
              <w:widowControl/>
              <w:jc w:val="center"/>
              <w:rPr>
                <w:rFonts w:ascii="宋体" w:hAnsi="宋体" w:cs="宋体"/>
                <w:spacing w:val="-3"/>
                <w:kern w:val="0"/>
                <w:szCs w:val="21"/>
              </w:rPr>
            </w:pPr>
            <w:r>
              <w:rPr>
                <w:rFonts w:hint="eastAsia" w:ascii="宋体" w:hAnsi="宋体" w:cs="宋体"/>
                <w:spacing w:val="-3"/>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3" w:type="dxa"/>
            <w:vAlign w:val="center"/>
          </w:tcPr>
          <w:p>
            <w:pPr>
              <w:widowControl/>
              <w:rPr>
                <w:rFonts w:ascii="宋体" w:hAnsi="宋体" w:cs="宋体"/>
                <w:spacing w:val="-3"/>
                <w:kern w:val="0"/>
                <w:szCs w:val="21"/>
              </w:rPr>
            </w:pPr>
            <w:r>
              <w:rPr>
                <w:rFonts w:hint="eastAsia" w:ascii="宋体" w:hAnsi="宋体" w:cs="宋体"/>
                <w:spacing w:val="-3"/>
                <w:kern w:val="0"/>
                <w:szCs w:val="21"/>
              </w:rPr>
              <w:t>9</w:t>
            </w:r>
          </w:p>
        </w:tc>
        <w:tc>
          <w:tcPr>
            <w:tcW w:w="1063"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清洁设备配置情况</w:t>
            </w:r>
          </w:p>
        </w:tc>
        <w:tc>
          <w:tcPr>
            <w:tcW w:w="7264" w:type="dxa"/>
            <w:tcBorders>
              <w:top w:val="single" w:color="auto" w:sz="4" w:space="0"/>
              <w:left w:val="single" w:color="auto" w:sz="4" w:space="0"/>
              <w:right w:val="single" w:color="auto" w:sz="4" w:space="0"/>
            </w:tcBorders>
            <w:vAlign w:val="center"/>
          </w:tcPr>
          <w:p>
            <w:pPr>
              <w:widowControl/>
              <w:rPr>
                <w:rFonts w:ascii="宋体" w:hAnsi="宋体" w:cs="宋体"/>
                <w:spacing w:val="-3"/>
                <w:kern w:val="0"/>
                <w:szCs w:val="21"/>
              </w:rPr>
            </w:pPr>
            <w:r>
              <w:rPr>
                <w:rFonts w:hint="eastAsia" w:ascii="宋体" w:hAnsi="宋体" w:cs="宋体"/>
                <w:spacing w:val="-3"/>
                <w:kern w:val="0"/>
                <w:szCs w:val="21"/>
              </w:rPr>
              <w:t>供应商具有大型保洁车辆（包括洗扫车、清洗车等大型保洁车辆，单台车辆总质量不少于18000kg），用于节假日、重大活动前对办公楼外围道路、广场紧急冲洗：具备一台得3分；本项最高得3分。</w:t>
            </w:r>
          </w:p>
          <w:p>
            <w:pPr>
              <w:widowControl/>
              <w:rPr>
                <w:rFonts w:ascii="宋体" w:hAnsi="宋体" w:cs="宋体"/>
                <w:spacing w:val="-3"/>
                <w:kern w:val="0"/>
                <w:szCs w:val="21"/>
              </w:rPr>
            </w:pPr>
            <w:r>
              <w:rPr>
                <w:rFonts w:hint="eastAsia" w:ascii="宋体" w:hAnsi="宋体" w:cs="宋体"/>
                <w:spacing w:val="-3"/>
                <w:kern w:val="0"/>
                <w:szCs w:val="21"/>
              </w:rPr>
              <w:t>备注：自有保洁车辆须提供车辆行驶证、机动车登记证书和设备发票复印件；租赁设备的必须提供租赁合同、出租方的设备行驶证以及设备发票复印件；车辆行驶证在检验有效期内；无证明材料或材料不齐全的均不得分。</w:t>
            </w:r>
          </w:p>
        </w:tc>
        <w:tc>
          <w:tcPr>
            <w:tcW w:w="703" w:type="dxa"/>
            <w:vAlign w:val="center"/>
          </w:tcPr>
          <w:p>
            <w:pPr>
              <w:widowControl/>
              <w:jc w:val="center"/>
              <w:rPr>
                <w:rFonts w:ascii="宋体" w:hAnsi="宋体" w:cs="宋体"/>
                <w:spacing w:val="-3"/>
                <w:kern w:val="0"/>
                <w:szCs w:val="21"/>
              </w:rPr>
            </w:pPr>
            <w:r>
              <w:rPr>
                <w:rFonts w:hint="eastAsia" w:ascii="宋体" w:hAnsi="宋体" w:cs="宋体"/>
                <w:spacing w:val="-3"/>
                <w:kern w:val="0"/>
                <w:szCs w:val="21"/>
              </w:rPr>
              <w:t>3</w:t>
            </w:r>
          </w:p>
          <w:bookmarkEnd w:id="263"/>
          <w:bookmarkEnd w:id="264"/>
          <w:bookmarkEnd w:id="265"/>
        </w:tc>
      </w:tr>
      <w:bookmarkEnd w:id="25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90" w:type="dxa"/>
            <w:gridSpan w:val="3"/>
            <w:vAlign w:val="center"/>
          </w:tcPr>
          <w:p>
            <w:pPr>
              <w:widowControl/>
              <w:rPr>
                <w:rFonts w:ascii="宋体" w:hAnsi="宋体" w:cs="宋体"/>
                <w:spacing w:val="-3"/>
                <w:kern w:val="0"/>
                <w:szCs w:val="21"/>
              </w:rPr>
            </w:pPr>
            <w:r>
              <w:rPr>
                <w:rFonts w:hint="eastAsia" w:ascii="宋体" w:hAnsi="宋体" w:cs="宋体"/>
                <w:spacing w:val="-3"/>
                <w:kern w:val="0"/>
                <w:szCs w:val="21"/>
              </w:rPr>
              <w:t>合计</w:t>
            </w:r>
          </w:p>
        </w:tc>
        <w:tc>
          <w:tcPr>
            <w:tcW w:w="703" w:type="dxa"/>
            <w:vAlign w:val="center"/>
          </w:tcPr>
          <w:p>
            <w:pPr>
              <w:widowControl/>
              <w:rPr>
                <w:rFonts w:ascii="宋体" w:hAnsi="宋体" w:cs="宋体"/>
                <w:spacing w:val="-3"/>
                <w:kern w:val="0"/>
                <w:szCs w:val="21"/>
              </w:rPr>
            </w:pPr>
            <w:r>
              <w:rPr>
                <w:rFonts w:hint="eastAsia" w:ascii="宋体" w:hAnsi="宋体" w:cs="宋体"/>
                <w:spacing w:val="-3"/>
                <w:kern w:val="0"/>
                <w:szCs w:val="21"/>
              </w:rPr>
              <w:t>50分</w:t>
            </w:r>
          </w:p>
        </w:tc>
      </w:tr>
    </w:tbl>
    <w:p>
      <w:pPr>
        <w:widowControl/>
        <w:rPr>
          <w:rFonts w:ascii="宋体" w:hAnsi="宋体" w:cs="宋体"/>
          <w:spacing w:val="-3"/>
          <w:kern w:val="0"/>
          <w:szCs w:val="21"/>
        </w:rPr>
      </w:pPr>
    </w:p>
    <w:p>
      <w:pPr>
        <w:pStyle w:val="51"/>
        <w:spacing w:line="360" w:lineRule="auto"/>
        <w:rPr>
          <w:rFonts w:ascii="宋体" w:hAnsi="宋体"/>
          <w:sz w:val="24"/>
          <w:szCs w:val="24"/>
        </w:rPr>
      </w:pPr>
      <w:r>
        <w:rPr>
          <w:rFonts w:hint="eastAsia" w:ascii="宋体" w:hAnsi="宋体"/>
          <w:sz w:val="24"/>
          <w:szCs w:val="24"/>
        </w:rPr>
        <w:t>备注：</w:t>
      </w:r>
    </w:p>
    <w:p>
      <w:pPr>
        <w:pStyle w:val="51"/>
        <w:spacing w:line="360" w:lineRule="auto"/>
        <w:ind w:firstLine="480" w:firstLineChars="200"/>
        <w:rPr>
          <w:rFonts w:ascii="宋体" w:hAnsi="宋体"/>
          <w:bCs/>
          <w:sz w:val="24"/>
          <w:szCs w:val="24"/>
        </w:rPr>
      </w:pPr>
      <w:r>
        <w:rPr>
          <w:rFonts w:hint="eastAsia" w:ascii="宋体" w:hAnsi="宋体"/>
          <w:sz w:val="24"/>
          <w:szCs w:val="24"/>
        </w:rPr>
        <w:t>1.</w:t>
      </w:r>
      <w:r>
        <w:rPr>
          <w:rFonts w:hint="eastAsia" w:ascii="宋体" w:hAnsi="宋体"/>
          <w:bCs/>
          <w:sz w:val="24"/>
          <w:szCs w:val="24"/>
        </w:rPr>
        <w:t>供应商应根据评审项目或内容提交相关的证明材料。</w:t>
      </w:r>
    </w:p>
    <w:p>
      <w:pPr>
        <w:ind w:firstLine="480" w:firstLineChars="200"/>
        <w:rPr>
          <w:i/>
          <w:szCs w:val="24"/>
        </w:rPr>
      </w:pPr>
      <w:r>
        <w:rPr>
          <w:rFonts w:hint="eastAsia" w:ascii="宋体" w:hAnsi="宋体" w:cs="宋体"/>
          <w:bCs/>
          <w:szCs w:val="24"/>
        </w:rPr>
        <w:t>2.</w:t>
      </w:r>
      <w:r>
        <w:rPr>
          <w:rFonts w:hint="eastAsia" w:ascii="宋体" w:hAnsi="宋体"/>
          <w:bCs/>
          <w:szCs w:val="24"/>
        </w:rPr>
        <w:t>供应商</w:t>
      </w:r>
      <w:r>
        <w:rPr>
          <w:rFonts w:hint="eastAsia" w:ascii="宋体" w:hAnsi="宋体"/>
          <w:szCs w:val="24"/>
        </w:rPr>
        <w:t>未提供各项评审的相关内容证明文件或证明文件模糊不清</w:t>
      </w:r>
      <w:r>
        <w:rPr>
          <w:rFonts w:hint="eastAsia" w:ascii="宋体" w:hAnsi="宋体" w:cs="宋体"/>
          <w:bCs/>
          <w:szCs w:val="24"/>
        </w:rPr>
        <w:t>（有有效期的，须在有效期内）</w:t>
      </w:r>
      <w:r>
        <w:rPr>
          <w:rFonts w:hint="eastAsia" w:ascii="宋体" w:hAnsi="宋体"/>
          <w:szCs w:val="24"/>
        </w:rPr>
        <w:t>，以致评委无法做出准确评判时，该项得分为0分。</w:t>
      </w:r>
    </w:p>
    <w:p>
      <w:pPr>
        <w:rPr>
          <w:i/>
          <w:szCs w:val="24"/>
        </w:rPr>
      </w:pPr>
    </w:p>
    <w:p>
      <w:pPr>
        <w:rPr>
          <w:i/>
          <w:szCs w:val="24"/>
        </w:rPr>
      </w:pPr>
    </w:p>
    <w:p>
      <w:pPr>
        <w:rPr>
          <w:i/>
          <w:szCs w:val="24"/>
        </w:rPr>
      </w:pPr>
    </w:p>
    <w:p>
      <w:pPr>
        <w:pStyle w:val="5"/>
        <w:numPr>
          <w:ilvl w:val="0"/>
          <w:numId w:val="0"/>
        </w:numPr>
        <w:tabs>
          <w:tab w:val="left" w:pos="945"/>
        </w:tabs>
        <w:spacing w:before="0" w:after="0" w:line="360" w:lineRule="auto"/>
        <w:ind w:left="425" w:hanging="425"/>
        <w:rPr>
          <w:rFonts w:ascii="宋体" w:hAnsi="宋体"/>
          <w:sz w:val="24"/>
          <w:szCs w:val="24"/>
        </w:rPr>
      </w:pPr>
      <w:bookmarkStart w:id="275" w:name="_Toc56180309"/>
      <w:bookmarkStart w:id="276" w:name="_Toc22806167"/>
      <w:bookmarkStart w:id="277" w:name="_Toc55398713"/>
      <w:r>
        <w:rPr>
          <w:rFonts w:hint="eastAsia" w:ascii="宋体" w:hAnsi="宋体"/>
          <w:sz w:val="24"/>
          <w:szCs w:val="24"/>
        </w:rPr>
        <w:t>附表4：商务评审表</w:t>
      </w:r>
      <w:bookmarkEnd w:id="275"/>
      <w:bookmarkEnd w:id="276"/>
      <w:bookmarkEnd w:id="277"/>
    </w:p>
    <w:tbl>
      <w:tblPr>
        <w:tblStyle w:val="30"/>
        <w:tblW w:w="92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870"/>
        <w:gridCol w:w="7095"/>
        <w:gridCol w:w="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blHeader/>
        </w:trPr>
        <w:tc>
          <w:tcPr>
            <w:tcW w:w="581"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rPr>
                <w:rFonts w:ascii="宋体" w:hAnsi="宋体"/>
                <w:b/>
                <w:bCs/>
                <w:kern w:val="0"/>
                <w:szCs w:val="21"/>
              </w:rPr>
            </w:pPr>
            <w:r>
              <w:rPr>
                <w:rFonts w:hint="eastAsia" w:ascii="宋体" w:hAnsi="宋体" w:cs="宋体"/>
                <w:b/>
                <w:bCs/>
                <w:kern w:val="0"/>
                <w:szCs w:val="21"/>
              </w:rPr>
              <w:t>序号</w:t>
            </w:r>
          </w:p>
        </w:tc>
        <w:tc>
          <w:tcPr>
            <w:tcW w:w="87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ascii="宋体" w:hAnsi="宋体"/>
                <w:b/>
                <w:bCs/>
                <w:kern w:val="0"/>
                <w:szCs w:val="21"/>
              </w:rPr>
            </w:pPr>
            <w:r>
              <w:rPr>
                <w:rFonts w:hint="eastAsia" w:ascii="宋体" w:hAnsi="宋体" w:cs="宋体"/>
                <w:b/>
                <w:bCs/>
                <w:kern w:val="0"/>
                <w:szCs w:val="21"/>
              </w:rPr>
              <w:t>评审</w:t>
            </w:r>
          </w:p>
          <w:p>
            <w:pPr>
              <w:widowControl/>
              <w:jc w:val="center"/>
              <w:rPr>
                <w:rFonts w:ascii="宋体" w:hAnsi="宋体"/>
                <w:b/>
                <w:bCs/>
                <w:kern w:val="0"/>
                <w:szCs w:val="21"/>
              </w:rPr>
            </w:pPr>
            <w:r>
              <w:rPr>
                <w:rFonts w:hint="eastAsia" w:ascii="宋体" w:hAnsi="宋体" w:cs="宋体"/>
                <w:b/>
                <w:bCs/>
                <w:kern w:val="0"/>
                <w:szCs w:val="21"/>
              </w:rPr>
              <w:t>项目</w:t>
            </w:r>
          </w:p>
        </w:tc>
        <w:tc>
          <w:tcPr>
            <w:tcW w:w="7095"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ascii="宋体" w:hAnsi="宋体"/>
                <w:b/>
                <w:bCs/>
                <w:kern w:val="0"/>
                <w:szCs w:val="21"/>
              </w:rPr>
            </w:pPr>
            <w:r>
              <w:rPr>
                <w:rFonts w:hint="eastAsia" w:ascii="宋体" w:hAnsi="宋体" w:cs="宋体"/>
                <w:b/>
                <w:bCs/>
                <w:kern w:val="0"/>
                <w:szCs w:val="21"/>
              </w:rPr>
              <w:t>评审内容</w:t>
            </w:r>
          </w:p>
        </w:tc>
        <w:tc>
          <w:tcPr>
            <w:tcW w:w="71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ascii="宋体" w:hAnsi="宋体"/>
                <w:b/>
                <w:bCs/>
                <w:kern w:val="0"/>
                <w:szCs w:val="21"/>
              </w:rPr>
            </w:pPr>
            <w:r>
              <w:rPr>
                <w:rFonts w:hint="eastAsia" w:ascii="宋体" w:hAnsi="宋体" w:cs="宋体"/>
                <w:b/>
                <w:bCs/>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cs="宋体"/>
                <w:bCs/>
                <w:kern w:val="0"/>
                <w:szCs w:val="21"/>
              </w:rPr>
              <w:t>1</w:t>
            </w:r>
          </w:p>
        </w:tc>
        <w:tc>
          <w:tcPr>
            <w:tcW w:w="8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kern w:val="0"/>
                <w:szCs w:val="21"/>
              </w:rPr>
            </w:pPr>
            <w:r>
              <w:rPr>
                <w:rFonts w:hint="eastAsia" w:ascii="宋体" w:hAnsi="宋体" w:cs="宋体"/>
                <w:kern w:val="0"/>
                <w:sz w:val="22"/>
              </w:rPr>
              <w:t>类似项目业绩</w:t>
            </w:r>
          </w:p>
        </w:tc>
        <w:tc>
          <w:tcPr>
            <w:tcW w:w="7095"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cs="宋体"/>
                <w:szCs w:val="21"/>
              </w:rPr>
              <w:t>2023年1月1日至今，供应商承接的同类项目管理经验和业绩（物业管理）：</w:t>
            </w:r>
          </w:p>
          <w:p>
            <w:pPr>
              <w:rPr>
                <w:rFonts w:ascii="宋体" w:hAnsi="宋体"/>
                <w:szCs w:val="21"/>
              </w:rPr>
            </w:pPr>
            <w:r>
              <w:rPr>
                <w:rFonts w:hint="eastAsia" w:ascii="宋体" w:hAnsi="宋体" w:cs="宋体"/>
                <w:szCs w:val="21"/>
              </w:rPr>
              <w:t>每提供一个业绩得0.5分，最高得2.5分。</w:t>
            </w:r>
          </w:p>
          <w:p>
            <w:pPr>
              <w:rPr>
                <w:rFonts w:ascii="宋体" w:hAnsi="宋体"/>
                <w:szCs w:val="21"/>
              </w:rPr>
            </w:pPr>
            <w:r>
              <w:rPr>
                <w:rFonts w:hint="eastAsia" w:ascii="宋体" w:hAnsi="宋体" w:cs="宋体"/>
                <w:szCs w:val="21"/>
              </w:rPr>
              <w:t>备注：（1）时间以签订合同时间为准；（2）须提供合同签约时间、项目名称、金额和双方盖章等关键页面扫描件加盖公章，提供合同对应任一发票及该发票在国家税务总局全国增值税发票查验平台（https://inv-veri.chinatax.gov.cn）的完整检验截图，否则无效；（3）合同需要至少涵盖安保、保洁、绿化、设施设备维护等服务内容，否则，不计入业绩。</w:t>
            </w:r>
          </w:p>
        </w:tc>
        <w:tc>
          <w:tcPr>
            <w:tcW w:w="7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cs="宋体"/>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5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cs="宋体"/>
                <w:kern w:val="0"/>
                <w:szCs w:val="21"/>
              </w:rPr>
              <w:t>2</w:t>
            </w:r>
          </w:p>
        </w:tc>
        <w:tc>
          <w:tcPr>
            <w:tcW w:w="8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kern w:val="0"/>
                <w:szCs w:val="21"/>
              </w:rPr>
            </w:pPr>
            <w:r>
              <w:rPr>
                <w:rFonts w:hint="eastAsia" w:ascii="宋体" w:hAnsi="宋体" w:cs="宋体"/>
                <w:kern w:val="0"/>
                <w:sz w:val="22"/>
              </w:rPr>
              <w:t>用户评价</w:t>
            </w:r>
          </w:p>
        </w:tc>
        <w:tc>
          <w:tcPr>
            <w:tcW w:w="7095" w:type="dxa"/>
            <w:tcBorders>
              <w:top w:val="single" w:color="auto" w:sz="4" w:space="0"/>
              <w:left w:val="single" w:color="auto" w:sz="4" w:space="0"/>
              <w:bottom w:val="single" w:color="auto" w:sz="4" w:space="0"/>
              <w:right w:val="single" w:color="auto" w:sz="4" w:space="0"/>
            </w:tcBorders>
            <w:vAlign w:val="center"/>
          </w:tcPr>
          <w:p>
            <w:pPr>
              <w:rPr>
                <w:rFonts w:ascii="宋体" w:hAnsi="宋体"/>
                <w:kern w:val="0"/>
                <w:szCs w:val="21"/>
              </w:rPr>
            </w:pPr>
            <w:r>
              <w:rPr>
                <w:rFonts w:hint="eastAsia" w:ascii="宋体" w:hAnsi="宋体" w:cs="宋体"/>
                <w:kern w:val="0"/>
                <w:szCs w:val="21"/>
              </w:rPr>
              <w:t>根据供应商提供的用户评价，每提供一份类似项目业绩表中同类项目业主单位出具的服务质量认可证明材料（优、优良、好、较好）：</w:t>
            </w:r>
          </w:p>
          <w:p>
            <w:pPr>
              <w:rPr>
                <w:rFonts w:ascii="宋体" w:hAnsi="宋体"/>
                <w:kern w:val="0"/>
                <w:szCs w:val="21"/>
              </w:rPr>
            </w:pPr>
            <w:r>
              <w:rPr>
                <w:rFonts w:hint="eastAsia" w:ascii="宋体" w:hAnsi="宋体" w:cs="宋体"/>
                <w:kern w:val="0"/>
                <w:szCs w:val="21"/>
              </w:rPr>
              <w:t>每提供一份评价材料得0.5分，最高得2.5分</w:t>
            </w:r>
          </w:p>
          <w:p>
            <w:pPr>
              <w:rPr>
                <w:rFonts w:ascii="宋体" w:hAnsi="宋体"/>
                <w:szCs w:val="21"/>
              </w:rPr>
            </w:pPr>
            <w:r>
              <w:rPr>
                <w:rFonts w:hint="eastAsia" w:ascii="宋体" w:hAnsi="宋体" w:cs="宋体"/>
                <w:kern w:val="0"/>
                <w:szCs w:val="21"/>
              </w:rPr>
              <w:t>备注：（1）评价材料要求是供应商提供的供应商类似项目业绩表中有效计分的同类项目的用户评价材料；（2）必须有用户单位或主管部门盖章的评价材料才有效。</w:t>
            </w:r>
          </w:p>
        </w:tc>
        <w:tc>
          <w:tcPr>
            <w:tcW w:w="7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cs="宋体"/>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trPr>
        <w:tc>
          <w:tcPr>
            <w:tcW w:w="5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cs="宋体"/>
                <w:kern w:val="0"/>
                <w:szCs w:val="21"/>
              </w:rPr>
              <w:t>3</w:t>
            </w:r>
          </w:p>
        </w:tc>
        <w:tc>
          <w:tcPr>
            <w:tcW w:w="8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kern w:val="0"/>
                <w:sz w:val="18"/>
                <w:szCs w:val="18"/>
              </w:rPr>
            </w:pPr>
            <w:r>
              <w:rPr>
                <w:rFonts w:hint="eastAsia" w:ascii="宋体" w:hAnsi="宋体" w:cs="宋体"/>
                <w:kern w:val="0"/>
                <w:sz w:val="22"/>
              </w:rPr>
              <w:t>企业荣誉</w:t>
            </w:r>
          </w:p>
        </w:tc>
        <w:tc>
          <w:tcPr>
            <w:tcW w:w="709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Cs w:val="21"/>
              </w:rPr>
            </w:pPr>
            <w:r>
              <w:rPr>
                <w:rFonts w:hint="eastAsia" w:ascii="宋体" w:hAnsi="宋体" w:cs="宋体"/>
                <w:szCs w:val="21"/>
              </w:rPr>
              <w:t>2023年1月1日至今，供应商获得过政府单位颁发并与本项目相关的荣誉证书，每提供1个得1分，最多得2分。若同时获得同一奖项的不同等级证书，仅按最高级别证书计分，不进行重复或累计计算。</w:t>
            </w:r>
            <w:r>
              <w:rPr>
                <w:rFonts w:hint="eastAsia" w:ascii="宋体" w:hAnsi="宋体" w:cs="宋体"/>
                <w:szCs w:val="21"/>
              </w:rPr>
              <w:br w:type="textWrapping"/>
            </w:r>
            <w:r>
              <w:rPr>
                <w:rFonts w:hint="eastAsia" w:ascii="宋体" w:hAnsi="宋体" w:cs="宋体"/>
                <w:szCs w:val="21"/>
              </w:rPr>
              <w:t>注：必须提供证书复印件并加盖公章。</w:t>
            </w:r>
          </w:p>
        </w:tc>
        <w:tc>
          <w:tcPr>
            <w:tcW w:w="7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5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cs="宋体"/>
                <w:kern w:val="0"/>
                <w:szCs w:val="21"/>
              </w:rPr>
              <w:t>4</w:t>
            </w:r>
          </w:p>
        </w:tc>
        <w:tc>
          <w:tcPr>
            <w:tcW w:w="8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kern w:val="0"/>
                <w:szCs w:val="21"/>
              </w:rPr>
            </w:pPr>
            <w:r>
              <w:rPr>
                <w:rFonts w:hint="eastAsia" w:ascii="宋体" w:hAnsi="宋体" w:cs="宋体"/>
                <w:kern w:val="0"/>
                <w:sz w:val="22"/>
              </w:rPr>
              <w:t>企业管理体系认证</w:t>
            </w:r>
          </w:p>
        </w:tc>
        <w:tc>
          <w:tcPr>
            <w:tcW w:w="709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Cs w:val="21"/>
              </w:rPr>
            </w:pPr>
            <w:r>
              <w:rPr>
                <w:rFonts w:hint="eastAsia" w:ascii="宋体" w:hAnsi="宋体" w:cs="宋体"/>
                <w:szCs w:val="21"/>
              </w:rPr>
              <w:t>供应商具有以下认证证书，且在有效期内：</w:t>
            </w:r>
          </w:p>
          <w:p>
            <w:pPr>
              <w:widowControl/>
              <w:jc w:val="left"/>
              <w:rPr>
                <w:rFonts w:ascii="宋体" w:hAnsi="宋体" w:cs="宋体"/>
                <w:szCs w:val="21"/>
              </w:rPr>
            </w:pPr>
            <w:r>
              <w:rPr>
                <w:rFonts w:hint="eastAsia" w:ascii="宋体" w:hAnsi="宋体" w:cs="宋体"/>
                <w:szCs w:val="21"/>
              </w:rPr>
              <w:t>（1）质量管理体系认证证书；</w:t>
            </w:r>
          </w:p>
          <w:p>
            <w:pPr>
              <w:widowControl/>
              <w:jc w:val="left"/>
              <w:rPr>
                <w:rFonts w:ascii="宋体" w:hAnsi="宋体" w:cs="宋体"/>
                <w:szCs w:val="21"/>
              </w:rPr>
            </w:pPr>
            <w:r>
              <w:rPr>
                <w:rFonts w:hint="eastAsia" w:ascii="宋体" w:hAnsi="宋体" w:cs="宋体"/>
                <w:szCs w:val="21"/>
              </w:rPr>
              <w:t>（2）环境管理体系认证证书；</w:t>
            </w:r>
          </w:p>
          <w:p>
            <w:pPr>
              <w:widowControl/>
              <w:jc w:val="left"/>
              <w:rPr>
                <w:rFonts w:ascii="宋体" w:hAnsi="宋体" w:cs="宋体"/>
                <w:szCs w:val="21"/>
              </w:rPr>
            </w:pPr>
            <w:r>
              <w:rPr>
                <w:rFonts w:hint="eastAsia" w:ascii="宋体" w:hAnsi="宋体" w:cs="宋体"/>
                <w:szCs w:val="21"/>
              </w:rPr>
              <w:t>（3）职业健康安全管理体系认证证书；</w:t>
            </w:r>
          </w:p>
          <w:p>
            <w:pPr>
              <w:widowControl/>
              <w:jc w:val="left"/>
              <w:rPr>
                <w:rFonts w:ascii="宋体" w:hAnsi="宋体" w:cs="宋体"/>
                <w:szCs w:val="21"/>
              </w:rPr>
            </w:pPr>
            <w:r>
              <w:rPr>
                <w:rFonts w:hint="eastAsia" w:ascii="宋体" w:hAnsi="宋体" w:cs="宋体"/>
                <w:szCs w:val="21"/>
              </w:rPr>
              <w:t>每提供一个证书得1分，最高得3分。</w:t>
            </w:r>
          </w:p>
          <w:p>
            <w:pPr>
              <w:widowControl/>
              <w:jc w:val="left"/>
              <w:rPr>
                <w:rFonts w:ascii="宋体" w:hAnsi="宋体" w:cs="宋体"/>
                <w:szCs w:val="21"/>
              </w:rPr>
            </w:pPr>
            <w:r>
              <w:rPr>
                <w:rFonts w:hint="eastAsia" w:ascii="宋体" w:hAnsi="宋体" w:cs="宋体"/>
                <w:szCs w:val="21"/>
              </w:rPr>
              <w:t>备注：1）提供认证证书复印件并须同时提供在全国认证认可信息公共服务平台网站（http://cx.cnca.cn/CertECloud/index/index/page）对体系证书的信息查询截图作为评审依据，已失效或撤销的不得分。</w:t>
            </w:r>
            <w:r>
              <w:rPr>
                <w:rFonts w:hint="eastAsia" w:ascii="宋体" w:hAnsi="宋体"/>
                <w:bCs/>
                <w:szCs w:val="24"/>
              </w:rPr>
              <w:t>2）</w:t>
            </w:r>
            <w:bookmarkStart w:id="278" w:name="OLE_LINK34"/>
            <w:r>
              <w:rPr>
                <w:rFonts w:hint="eastAsia" w:ascii="宋体" w:hAnsi="宋体"/>
                <w:bCs/>
                <w:szCs w:val="24"/>
              </w:rPr>
              <w:t>供应商</w:t>
            </w:r>
            <w:bookmarkEnd w:id="278"/>
            <w:r>
              <w:rPr>
                <w:rFonts w:hint="eastAsia" w:ascii="宋体" w:hAnsi="宋体"/>
                <w:bCs/>
                <w:szCs w:val="24"/>
              </w:rPr>
              <w:t>如因成立时间不满足认证时间要求且办理认证所需要合理时间不足导致未能获得认证证书的，或者因办理新证(旧证续期)所需要合理时间不足导致未能获得认证证书的，供应商提供说明文件明确以上事项，说明合理且属实的，可对应得分。</w:t>
            </w:r>
          </w:p>
        </w:tc>
        <w:tc>
          <w:tcPr>
            <w:tcW w:w="7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5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cs="宋体"/>
                <w:kern w:val="0"/>
                <w:szCs w:val="21"/>
              </w:rPr>
              <w:t>5</w:t>
            </w:r>
          </w:p>
        </w:tc>
        <w:tc>
          <w:tcPr>
            <w:tcW w:w="8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kern w:val="0"/>
                <w:sz w:val="22"/>
              </w:rPr>
            </w:pPr>
            <w:r>
              <w:rPr>
                <w:rFonts w:hint="eastAsia" w:ascii="宋体" w:hAnsi="宋体" w:cs="宋体"/>
                <w:kern w:val="0"/>
                <w:szCs w:val="21"/>
              </w:rPr>
              <w:t>项目经理资质</w:t>
            </w:r>
          </w:p>
        </w:tc>
        <w:tc>
          <w:tcPr>
            <w:tcW w:w="709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Cs w:val="21"/>
              </w:rPr>
            </w:pPr>
            <w:r>
              <w:rPr>
                <w:rFonts w:hint="eastAsia" w:ascii="宋体" w:hAnsi="宋体" w:cs="宋体"/>
                <w:szCs w:val="21"/>
              </w:rPr>
              <w:t>供应商拟派项目经理（1人）：</w:t>
            </w:r>
          </w:p>
          <w:p>
            <w:pPr>
              <w:widowControl/>
              <w:jc w:val="left"/>
              <w:rPr>
                <w:rFonts w:ascii="宋体" w:hAnsi="宋体" w:cs="宋体"/>
                <w:szCs w:val="21"/>
              </w:rPr>
            </w:pPr>
            <w:r>
              <w:rPr>
                <w:rFonts w:hint="eastAsia" w:ascii="宋体" w:hAnsi="宋体" w:cs="宋体"/>
                <w:szCs w:val="21"/>
              </w:rPr>
              <w:t>（1）具有全日制本科学历，且工作经验不少于10年的，得3分；</w:t>
            </w:r>
          </w:p>
          <w:p>
            <w:pPr>
              <w:widowControl/>
              <w:jc w:val="left"/>
              <w:rPr>
                <w:rFonts w:ascii="宋体" w:hAnsi="宋体" w:cs="宋体"/>
                <w:szCs w:val="21"/>
              </w:rPr>
            </w:pPr>
            <w:r>
              <w:rPr>
                <w:rFonts w:hint="eastAsia" w:ascii="宋体" w:hAnsi="宋体" w:cs="宋体"/>
                <w:szCs w:val="21"/>
              </w:rPr>
              <w:t>（2）满足（1）的基础上，具有人社部门颁发的中级或以上管理类职称证书的，加3分；</w:t>
            </w:r>
          </w:p>
          <w:p>
            <w:pPr>
              <w:widowControl/>
              <w:tabs>
                <w:tab w:val="left" w:pos="5274"/>
              </w:tabs>
              <w:jc w:val="left"/>
              <w:rPr>
                <w:rFonts w:ascii="宋体" w:hAnsi="宋体" w:cs="宋体"/>
                <w:szCs w:val="21"/>
              </w:rPr>
            </w:pPr>
            <w:r>
              <w:rPr>
                <w:rFonts w:hint="eastAsia" w:ascii="宋体" w:hAnsi="宋体" w:cs="宋体"/>
                <w:szCs w:val="21"/>
              </w:rPr>
              <w:t>（4）本小项最高得6分。</w:t>
            </w:r>
            <w:r>
              <w:rPr>
                <w:rFonts w:hint="eastAsia" w:ascii="宋体" w:hAnsi="宋体" w:cs="宋体"/>
                <w:szCs w:val="21"/>
              </w:rPr>
              <w:tab/>
            </w:r>
          </w:p>
          <w:p>
            <w:pPr>
              <w:jc w:val="left"/>
              <w:rPr>
                <w:rFonts w:ascii="宋体" w:hAnsi="宋体" w:cs="宋体"/>
                <w:szCs w:val="21"/>
              </w:rPr>
            </w:pPr>
            <w:r>
              <w:rPr>
                <w:rFonts w:hint="eastAsia" w:ascii="宋体" w:hAnsi="宋体" w:cs="宋体"/>
                <w:szCs w:val="21"/>
              </w:rPr>
              <w:t>备注：（1）须提供身份证、学历证书、教育部学历证书电子注册备案表（扫描件）或中国高等教育学历认证报告（扫描件）或中国高等教育学生信息网（学信网）查询截图）、职称证书复印件；（2）工作年限以取得最高学历毕业证时间起至投标截止日计算，以及供应商为其缴纳近3个月内任1个月的社会保险证明（以投标截止日之前）；（3）人员岗位不得兼任，学历证书只需提供最高学历。未按要求提供资料或不符合要求的不得分。</w:t>
            </w:r>
          </w:p>
        </w:tc>
        <w:tc>
          <w:tcPr>
            <w:tcW w:w="7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58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cs="宋体"/>
                <w:kern w:val="0"/>
                <w:szCs w:val="21"/>
              </w:rPr>
              <w:t>6</w:t>
            </w:r>
          </w:p>
        </w:tc>
        <w:tc>
          <w:tcPr>
            <w:tcW w:w="8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kern w:val="0"/>
                <w:sz w:val="22"/>
              </w:rPr>
            </w:pPr>
            <w:r>
              <w:rPr>
                <w:rFonts w:hint="eastAsia" w:ascii="宋体" w:hAnsi="宋体" w:cs="宋体"/>
                <w:kern w:val="0"/>
                <w:szCs w:val="21"/>
              </w:rPr>
              <w:t>主要人员资质</w:t>
            </w:r>
          </w:p>
        </w:tc>
        <w:tc>
          <w:tcPr>
            <w:tcW w:w="709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Cs w:val="21"/>
              </w:rPr>
            </w:pPr>
            <w:r>
              <w:rPr>
                <w:rFonts w:hint="eastAsia" w:ascii="宋体" w:hAnsi="宋体" w:cs="宋体"/>
                <w:szCs w:val="21"/>
              </w:rPr>
              <w:t>1.供应商拟派安全主管（1人）：</w:t>
            </w:r>
          </w:p>
          <w:p>
            <w:pPr>
              <w:widowControl/>
              <w:jc w:val="left"/>
              <w:rPr>
                <w:rFonts w:ascii="宋体" w:hAnsi="宋体" w:cs="宋体"/>
                <w:szCs w:val="21"/>
              </w:rPr>
            </w:pPr>
            <w:r>
              <w:rPr>
                <w:rFonts w:hint="eastAsia" w:ascii="宋体" w:hAnsi="宋体" w:cs="宋体"/>
                <w:szCs w:val="21"/>
              </w:rPr>
              <w:t>（1）具有全日制本科学历，且工作经验不少于10年的，得2分；</w:t>
            </w:r>
          </w:p>
          <w:p>
            <w:pPr>
              <w:widowControl/>
              <w:jc w:val="left"/>
              <w:rPr>
                <w:rFonts w:ascii="宋体" w:hAnsi="宋体" w:cs="宋体"/>
                <w:szCs w:val="21"/>
              </w:rPr>
            </w:pPr>
            <w:r>
              <w:rPr>
                <w:rFonts w:hint="eastAsia" w:ascii="宋体" w:hAnsi="宋体" w:cs="宋体"/>
                <w:szCs w:val="21"/>
              </w:rPr>
              <w:t>（2）在满足（1）的基础上，持有保安员二级及以上职业资格证书的，得2分；</w:t>
            </w:r>
          </w:p>
          <w:p>
            <w:pPr>
              <w:widowControl/>
              <w:jc w:val="left"/>
              <w:rPr>
                <w:rFonts w:ascii="宋体" w:hAnsi="宋体" w:cs="宋体"/>
                <w:szCs w:val="21"/>
              </w:rPr>
            </w:pPr>
            <w:r>
              <w:rPr>
                <w:rFonts w:hint="eastAsia" w:ascii="宋体" w:hAnsi="宋体" w:cs="宋体"/>
                <w:szCs w:val="21"/>
              </w:rPr>
              <w:t>（3）本小项最高得4分。</w:t>
            </w:r>
          </w:p>
          <w:p>
            <w:pPr>
              <w:widowControl/>
              <w:jc w:val="left"/>
              <w:rPr>
                <w:rFonts w:ascii="宋体" w:hAnsi="宋体" w:cs="宋体"/>
                <w:szCs w:val="21"/>
              </w:rPr>
            </w:pPr>
            <w:r>
              <w:rPr>
                <w:rFonts w:hint="eastAsia" w:ascii="宋体" w:hAnsi="宋体" w:cs="宋体"/>
                <w:szCs w:val="21"/>
              </w:rPr>
              <w:t>备注：须提供身份证、学历证书、教育部学历证书电子注册备案表（扫描件）或中国高等教育学历认证报告（扫描件）或中国高等教育学生信息网（学信网）查询截图）、职业资格证书复印件；工作年限以取得最高学历毕业证时间起至投标截止日计算，以及供应商为其缴纳近3个月内任1个月的社会保险证明（以投标截止日之前）；人员岗位不得兼任，学历证书只需提供最高学历。未按要求提供资料或不符合要求的不得分。</w:t>
            </w:r>
          </w:p>
          <w:p>
            <w:pPr>
              <w:widowControl/>
              <w:jc w:val="left"/>
              <w:rPr>
                <w:rFonts w:ascii="宋体" w:hAnsi="宋体" w:cs="宋体"/>
                <w:szCs w:val="21"/>
              </w:rPr>
            </w:pPr>
            <w:r>
              <w:rPr>
                <w:rFonts w:hint="eastAsia" w:ascii="宋体" w:hAnsi="宋体" w:cs="宋体"/>
                <w:szCs w:val="21"/>
              </w:rPr>
              <w:t>2.拟派的保洁主管（1人）：</w:t>
            </w:r>
          </w:p>
          <w:p>
            <w:pPr>
              <w:widowControl/>
              <w:jc w:val="left"/>
              <w:rPr>
                <w:rFonts w:ascii="宋体" w:hAnsi="宋体" w:cs="宋体"/>
                <w:szCs w:val="21"/>
              </w:rPr>
            </w:pPr>
            <w:r>
              <w:rPr>
                <w:rFonts w:hint="eastAsia" w:ascii="宋体" w:hAnsi="宋体" w:cs="宋体"/>
                <w:szCs w:val="21"/>
              </w:rPr>
              <w:t>（1）具有本科或以上学历，5年及以上工作年限，得1分；</w:t>
            </w:r>
          </w:p>
          <w:p>
            <w:pPr>
              <w:widowControl/>
              <w:jc w:val="left"/>
              <w:rPr>
                <w:rFonts w:ascii="宋体" w:hAnsi="宋体" w:cs="宋体"/>
                <w:szCs w:val="21"/>
              </w:rPr>
            </w:pPr>
            <w:r>
              <w:rPr>
                <w:rFonts w:hint="eastAsia" w:ascii="宋体" w:hAnsi="宋体" w:cs="宋体"/>
                <w:szCs w:val="21"/>
              </w:rPr>
              <w:t>（2）在满足（1）的基础上，持有人社部门颁发的中级或以上职称证书的，得2分；</w:t>
            </w:r>
          </w:p>
          <w:p>
            <w:pPr>
              <w:widowControl/>
              <w:jc w:val="left"/>
              <w:rPr>
                <w:rFonts w:ascii="宋体" w:hAnsi="宋体" w:cs="宋体"/>
                <w:szCs w:val="21"/>
              </w:rPr>
            </w:pPr>
            <w:r>
              <w:rPr>
                <w:rFonts w:hint="eastAsia" w:ascii="宋体" w:hAnsi="宋体" w:cs="宋体"/>
                <w:szCs w:val="21"/>
              </w:rPr>
              <w:t xml:space="preserve">（4）本小项最高得3分。 </w:t>
            </w:r>
          </w:p>
          <w:p>
            <w:pPr>
              <w:widowControl/>
              <w:jc w:val="left"/>
              <w:rPr>
                <w:rFonts w:ascii="宋体" w:hAnsi="宋体" w:cs="宋体"/>
                <w:szCs w:val="21"/>
              </w:rPr>
            </w:pPr>
            <w:r>
              <w:rPr>
                <w:rFonts w:hint="eastAsia" w:ascii="宋体" w:hAnsi="宋体" w:cs="宋体"/>
                <w:szCs w:val="21"/>
              </w:rPr>
              <w:t>备注：须提供身份证、学历证书、技能/职称证书复印件，工作年限以取得最高学历毕业证时间起至投标截止日计算，以及供应商为其缴纳近3个月内任1个月的社会保险证明（以投标截止日之前）。人员岗位不得兼任。学历证书只需提供最高学历。未按要求提供资料或不符合要求的不得分。</w:t>
            </w:r>
          </w:p>
          <w:p>
            <w:pPr>
              <w:widowControl/>
              <w:jc w:val="left"/>
              <w:rPr>
                <w:rFonts w:ascii="宋体" w:hAnsi="宋体" w:cs="宋体"/>
                <w:szCs w:val="21"/>
              </w:rPr>
            </w:pPr>
            <w:r>
              <w:rPr>
                <w:rFonts w:hint="eastAsia" w:ascii="宋体" w:hAnsi="宋体" w:cs="宋体"/>
                <w:szCs w:val="21"/>
              </w:rPr>
              <w:t>3.拟派的工程技术员（1人）：</w:t>
            </w:r>
          </w:p>
          <w:p>
            <w:pPr>
              <w:widowControl/>
              <w:jc w:val="left"/>
              <w:rPr>
                <w:rFonts w:ascii="宋体" w:hAnsi="宋体" w:cs="宋体"/>
                <w:szCs w:val="21"/>
              </w:rPr>
            </w:pPr>
            <w:r>
              <w:rPr>
                <w:rFonts w:hint="eastAsia" w:ascii="宋体" w:hAnsi="宋体" w:cs="宋体"/>
                <w:szCs w:val="21"/>
              </w:rPr>
              <w:t>（1）具有工程类本科或以上学历，5年及以上工作年限，得2分；</w:t>
            </w:r>
          </w:p>
          <w:p>
            <w:pPr>
              <w:widowControl/>
              <w:jc w:val="left"/>
              <w:rPr>
                <w:rFonts w:ascii="宋体" w:hAnsi="宋体" w:cs="宋体"/>
                <w:szCs w:val="21"/>
              </w:rPr>
            </w:pPr>
            <w:r>
              <w:rPr>
                <w:rFonts w:hint="eastAsia" w:ascii="宋体" w:hAnsi="宋体" w:cs="宋体"/>
                <w:szCs w:val="21"/>
              </w:rPr>
              <w:t>（2）满足（1）的基础上，具有人社部门颁发的工程类中级或以上职称证书的，得2分；</w:t>
            </w:r>
          </w:p>
          <w:p>
            <w:pPr>
              <w:widowControl/>
              <w:jc w:val="left"/>
              <w:rPr>
                <w:rFonts w:ascii="宋体" w:hAnsi="宋体" w:cs="宋体"/>
                <w:szCs w:val="21"/>
              </w:rPr>
            </w:pPr>
            <w:r>
              <w:rPr>
                <w:rFonts w:hint="eastAsia" w:ascii="宋体" w:hAnsi="宋体" w:cs="宋体"/>
                <w:szCs w:val="21"/>
              </w:rPr>
              <w:t>（3）本小项最高得4分。</w:t>
            </w:r>
          </w:p>
          <w:p>
            <w:pPr>
              <w:widowControl/>
              <w:jc w:val="left"/>
              <w:rPr>
                <w:rFonts w:ascii="宋体" w:hAnsi="宋体" w:cs="宋体"/>
                <w:szCs w:val="21"/>
              </w:rPr>
            </w:pPr>
            <w:r>
              <w:rPr>
                <w:rFonts w:hint="eastAsia" w:ascii="宋体" w:hAnsi="宋体" w:cs="宋体"/>
                <w:szCs w:val="21"/>
              </w:rPr>
              <w:t>备注：（1）须提供身份证、学历证书、教育部学历证书电子注册备案表（扫描件）或中国高等教育学历认证报告（扫描件）或中国高等教育学生信息网（学信网）查询截图）、职称证书复印件；（2）工作年限以取得最高学历毕业证时间起至投标截止日计算，以及供应商为其缴纳近3个月内任1个月的社会保险证明（以投标截止日之前）；（3）人员岗位不得兼任，学历证书只需提供最高学历。未按要求提供资料或不符合要求的不得分。</w:t>
            </w:r>
          </w:p>
          <w:p>
            <w:pPr>
              <w:widowControl/>
              <w:jc w:val="left"/>
              <w:rPr>
                <w:rFonts w:ascii="宋体" w:hAnsi="宋体" w:cs="宋体"/>
                <w:szCs w:val="21"/>
              </w:rPr>
            </w:pPr>
            <w:r>
              <w:rPr>
                <w:rFonts w:hint="eastAsia" w:ascii="宋体" w:hAnsi="宋体" w:cs="宋体"/>
                <w:szCs w:val="21"/>
              </w:rPr>
              <w:t>4.拟派保安人员：</w:t>
            </w:r>
          </w:p>
          <w:p>
            <w:pPr>
              <w:widowControl/>
              <w:jc w:val="left"/>
              <w:rPr>
                <w:rFonts w:ascii="宋体" w:hAnsi="宋体" w:cs="宋体"/>
                <w:szCs w:val="21"/>
              </w:rPr>
            </w:pPr>
            <w:r>
              <w:rPr>
                <w:rFonts w:hint="eastAsia" w:ascii="宋体" w:hAnsi="宋体" w:cs="宋体"/>
                <w:szCs w:val="21"/>
              </w:rPr>
              <w:t>每拟派一名保安员，同时持有应急救援员证书和中级及以上消防设施操作员证书的，得1分，本小项最高得3分。</w:t>
            </w:r>
          </w:p>
          <w:p>
            <w:pPr>
              <w:widowControl/>
              <w:jc w:val="left"/>
              <w:rPr>
                <w:rFonts w:ascii="宋体" w:hAnsi="宋体" w:cs="宋体"/>
                <w:szCs w:val="21"/>
              </w:rPr>
            </w:pPr>
            <w:r>
              <w:rPr>
                <w:rFonts w:hint="eastAsia" w:ascii="宋体" w:hAnsi="宋体" w:cs="宋体"/>
                <w:szCs w:val="21"/>
              </w:rPr>
              <w:t>备注：（1）须提供身份证、资格证书复印件，以及供应商为其缴纳近3个月任1个月的社会保险证明（以投标截止日之前）；（2）未按要求提供资料或不符合要求的不得分；（3）应急救援员证书和消防设施操作员证书须提供技能人才评价证书全国联网查询平台（http://zscx.osta.org.cn/）的网站查询截图。</w:t>
            </w:r>
          </w:p>
        </w:tc>
        <w:tc>
          <w:tcPr>
            <w:tcW w:w="7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546" w:type="dxa"/>
            <w:gridSpan w:val="3"/>
            <w:tcBorders>
              <w:top w:val="single" w:color="auto" w:sz="4" w:space="0"/>
              <w:left w:val="single" w:color="auto" w:sz="4" w:space="0"/>
              <w:bottom w:val="single" w:color="auto" w:sz="4" w:space="0"/>
              <w:right w:val="single" w:color="auto" w:sz="4" w:space="0"/>
            </w:tcBorders>
            <w:vAlign w:val="center"/>
          </w:tcPr>
          <w:p>
            <w:pPr>
              <w:keepNext/>
              <w:keepLines/>
              <w:widowControl/>
              <w:spacing w:before="340" w:after="330"/>
              <w:jc w:val="center"/>
              <w:outlineLvl w:val="0"/>
              <w:rPr>
                <w:rFonts w:ascii="宋体" w:hAnsi="宋体"/>
                <w:bCs/>
                <w:snapToGrid w:val="0"/>
                <w:kern w:val="0"/>
                <w:szCs w:val="21"/>
              </w:rPr>
            </w:pPr>
            <w:bookmarkStart w:id="279" w:name="_Toc8438"/>
            <w:r>
              <w:rPr>
                <w:rFonts w:hint="eastAsia" w:ascii="宋体" w:hAnsi="宋体" w:cs="宋体"/>
                <w:b/>
                <w:bCs/>
                <w:kern w:val="0"/>
                <w:szCs w:val="21"/>
              </w:rPr>
              <w:t>合计</w:t>
            </w:r>
            <w:bookmarkEnd w:id="279"/>
          </w:p>
        </w:tc>
        <w:tc>
          <w:tcPr>
            <w:tcW w:w="7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Cs w:val="21"/>
              </w:rPr>
            </w:pPr>
            <w:r>
              <w:rPr>
                <w:rFonts w:hint="eastAsia" w:ascii="宋体" w:hAnsi="宋体" w:cs="宋体"/>
                <w:b/>
                <w:bCs/>
                <w:kern w:val="0"/>
                <w:szCs w:val="21"/>
              </w:rPr>
              <w:t>30分</w:t>
            </w:r>
          </w:p>
        </w:tc>
      </w:tr>
    </w:tbl>
    <w:p>
      <w:pPr>
        <w:pStyle w:val="51"/>
        <w:spacing w:line="360" w:lineRule="auto"/>
        <w:rPr>
          <w:rFonts w:ascii="宋体" w:hAnsi="宋体"/>
          <w:sz w:val="24"/>
          <w:szCs w:val="24"/>
        </w:rPr>
      </w:pPr>
      <w:r>
        <w:rPr>
          <w:rFonts w:hint="eastAsia" w:ascii="宋体" w:hAnsi="宋体"/>
          <w:sz w:val="24"/>
          <w:szCs w:val="24"/>
        </w:rPr>
        <w:t>备注：</w:t>
      </w:r>
    </w:p>
    <w:p>
      <w:pPr>
        <w:pStyle w:val="51"/>
        <w:spacing w:line="360" w:lineRule="auto"/>
        <w:ind w:firstLine="480" w:firstLineChars="200"/>
        <w:rPr>
          <w:rFonts w:ascii="宋体" w:hAnsi="宋体"/>
          <w:sz w:val="24"/>
          <w:szCs w:val="24"/>
        </w:rPr>
      </w:pPr>
      <w:r>
        <w:rPr>
          <w:rFonts w:hint="eastAsia" w:ascii="宋体" w:hAnsi="宋体"/>
          <w:sz w:val="24"/>
          <w:szCs w:val="24"/>
        </w:rPr>
        <w:t>1.供应商应根据评审项目或内容提交相关的证明材料。</w:t>
      </w:r>
    </w:p>
    <w:p>
      <w:pPr>
        <w:pStyle w:val="51"/>
        <w:spacing w:line="360" w:lineRule="auto"/>
        <w:ind w:firstLine="480" w:firstLineChars="200"/>
        <w:rPr>
          <w:rFonts w:ascii="宋体" w:hAnsi="宋体"/>
          <w:sz w:val="24"/>
          <w:szCs w:val="24"/>
        </w:rPr>
      </w:pPr>
      <w:r>
        <w:rPr>
          <w:rFonts w:hint="eastAsia" w:ascii="宋体" w:hAnsi="宋体"/>
          <w:sz w:val="24"/>
          <w:szCs w:val="24"/>
        </w:rPr>
        <w:t>2.供应商未提供各项评审的相关内容证明文件或证明文件模糊不清（有有效期的，须在有效期内），以致评委无法做出准确评判时，该项得分为0分。</w:t>
      </w:r>
    </w:p>
    <w:p>
      <w:pPr>
        <w:pStyle w:val="51"/>
        <w:spacing w:line="360" w:lineRule="auto"/>
        <w:outlineLvl w:val="2"/>
        <w:rPr>
          <w:rFonts w:ascii="宋体" w:hAnsi="宋体"/>
          <w:b/>
          <w:bCs/>
          <w:sz w:val="24"/>
          <w:szCs w:val="24"/>
        </w:rPr>
      </w:pPr>
      <w:r>
        <w:br w:type="page"/>
      </w:r>
      <w:bookmarkStart w:id="280" w:name="_Toc55398714"/>
      <w:bookmarkStart w:id="281" w:name="_Toc56180310"/>
      <w:bookmarkStart w:id="282" w:name="_Toc22806168"/>
      <w:r>
        <w:rPr>
          <w:rFonts w:hint="eastAsia" w:ascii="宋体" w:hAnsi="宋体"/>
          <w:b/>
          <w:bCs/>
          <w:sz w:val="24"/>
          <w:szCs w:val="24"/>
        </w:rPr>
        <w:t>附表5：价格评审表</w:t>
      </w:r>
      <w:bookmarkEnd w:id="280"/>
      <w:bookmarkEnd w:id="281"/>
      <w:bookmarkEnd w:id="282"/>
      <w:r>
        <w:rPr>
          <w:rFonts w:hint="eastAsia" w:ascii="宋体" w:hAnsi="宋体"/>
          <w:b/>
          <w:bCs/>
          <w:sz w:val="24"/>
          <w:szCs w:val="24"/>
        </w:rPr>
        <w:t>（20分）</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701"/>
        <w:gridCol w:w="6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tcPr>
          <w:p>
            <w:pPr>
              <w:wordWrap w:val="0"/>
              <w:autoSpaceDE w:val="0"/>
              <w:autoSpaceDN w:val="0"/>
              <w:jc w:val="center"/>
              <w:rPr>
                <w:rFonts w:ascii="宋体" w:hAnsi="宋体"/>
                <w:b/>
                <w:szCs w:val="24"/>
              </w:rPr>
            </w:pPr>
            <w:r>
              <w:rPr>
                <w:rFonts w:hint="eastAsia" w:ascii="宋体" w:hAnsi="宋体"/>
                <w:b/>
                <w:szCs w:val="24"/>
              </w:rPr>
              <w:t>序号</w:t>
            </w:r>
          </w:p>
        </w:tc>
        <w:tc>
          <w:tcPr>
            <w:tcW w:w="1701" w:type="dxa"/>
            <w:vAlign w:val="center"/>
          </w:tcPr>
          <w:p>
            <w:pPr>
              <w:wordWrap w:val="0"/>
              <w:autoSpaceDE w:val="0"/>
              <w:autoSpaceDN w:val="0"/>
              <w:jc w:val="center"/>
              <w:rPr>
                <w:rFonts w:ascii="宋体" w:hAnsi="宋体"/>
                <w:b/>
                <w:szCs w:val="24"/>
              </w:rPr>
            </w:pPr>
            <w:r>
              <w:rPr>
                <w:rFonts w:hint="eastAsia" w:ascii="宋体" w:hAnsi="宋体"/>
                <w:b/>
                <w:szCs w:val="24"/>
              </w:rPr>
              <w:t>项目</w:t>
            </w:r>
          </w:p>
        </w:tc>
        <w:tc>
          <w:tcPr>
            <w:tcW w:w="6828" w:type="dxa"/>
            <w:vAlign w:val="center"/>
          </w:tcPr>
          <w:p>
            <w:pPr>
              <w:wordWrap w:val="0"/>
              <w:autoSpaceDE w:val="0"/>
              <w:autoSpaceDN w:val="0"/>
              <w:jc w:val="center"/>
              <w:rPr>
                <w:rFonts w:ascii="宋体" w:hAnsi="宋体"/>
                <w:b/>
                <w:szCs w:val="24"/>
              </w:rPr>
            </w:pPr>
            <w:r>
              <w:rPr>
                <w:rFonts w:hint="eastAsia" w:ascii="宋体" w:hAnsi="宋体"/>
                <w:b/>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numPr>
                <w:ilvl w:val="0"/>
                <w:numId w:val="37"/>
              </w:numPr>
              <w:wordWrap w:val="0"/>
              <w:autoSpaceDE w:val="0"/>
              <w:autoSpaceDN w:val="0"/>
              <w:ind w:left="0" w:firstLine="0"/>
              <w:jc w:val="center"/>
              <w:rPr>
                <w:rFonts w:ascii="宋体" w:hAnsi="宋体"/>
                <w:szCs w:val="24"/>
              </w:rPr>
            </w:pPr>
          </w:p>
        </w:tc>
        <w:tc>
          <w:tcPr>
            <w:tcW w:w="1701" w:type="dxa"/>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b/>
                <w:szCs w:val="24"/>
              </w:rPr>
            </w:pPr>
            <w:r>
              <w:rPr>
                <w:rFonts w:hint="eastAsia" w:ascii="宋体" w:hAnsi="宋体"/>
                <w:b/>
                <w:szCs w:val="24"/>
              </w:rPr>
              <w:t>最后磋商报价</w:t>
            </w:r>
          </w:p>
        </w:tc>
        <w:tc>
          <w:tcPr>
            <w:tcW w:w="6828" w:type="dxa"/>
            <w:vAlign w:val="center"/>
          </w:tcPr>
          <w:p>
            <w:pPr>
              <w:wordWrap w:val="0"/>
              <w:autoSpaceDE w:val="0"/>
              <w:autoSpaceDN w:val="0"/>
              <w:rPr>
                <w:rFonts w:ascii="宋体" w:hAnsi="宋体"/>
                <w:szCs w:val="24"/>
              </w:rPr>
            </w:pPr>
            <w:r>
              <w:rPr>
                <w:rFonts w:hint="eastAsia" w:ascii="宋体" w:hAnsi="宋体"/>
                <w:szCs w:val="24"/>
              </w:rPr>
              <w:t>磋商后供应商提交的最后报价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numPr>
                <w:ilvl w:val="0"/>
                <w:numId w:val="37"/>
              </w:numPr>
              <w:wordWrap w:val="0"/>
              <w:autoSpaceDE w:val="0"/>
              <w:autoSpaceDN w:val="0"/>
              <w:ind w:left="0" w:firstLine="0"/>
              <w:jc w:val="center"/>
              <w:rPr>
                <w:rFonts w:ascii="宋体" w:hAnsi="宋体"/>
                <w:szCs w:val="24"/>
              </w:rPr>
            </w:pPr>
          </w:p>
        </w:tc>
        <w:tc>
          <w:tcPr>
            <w:tcW w:w="1701" w:type="dxa"/>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szCs w:val="24"/>
              </w:rPr>
            </w:pPr>
            <w:r>
              <w:rPr>
                <w:rFonts w:hint="eastAsia" w:ascii="宋体" w:hAnsi="宋体"/>
                <w:b/>
                <w:szCs w:val="24"/>
              </w:rPr>
              <w:t>核实价</w:t>
            </w:r>
          </w:p>
        </w:tc>
        <w:tc>
          <w:tcPr>
            <w:tcW w:w="6828" w:type="dxa"/>
            <w:vAlign w:val="center"/>
          </w:tcPr>
          <w:p>
            <w:pPr>
              <w:wordWrap w:val="0"/>
              <w:autoSpaceDE w:val="0"/>
              <w:autoSpaceDN w:val="0"/>
              <w:rPr>
                <w:rFonts w:ascii="宋体" w:hAnsi="宋体"/>
                <w:szCs w:val="24"/>
              </w:rPr>
            </w:pPr>
            <w:r>
              <w:rPr>
                <w:rFonts w:hint="eastAsia" w:ascii="宋体" w:hAnsi="宋体"/>
                <w:szCs w:val="24"/>
              </w:rPr>
              <w:t>按本部分第3.5.1条对最后报价进行算术修正后的最后磋商报价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3" w:type="dxa"/>
            <w:vAlign w:val="center"/>
          </w:tcPr>
          <w:p>
            <w:pPr>
              <w:numPr>
                <w:ilvl w:val="0"/>
                <w:numId w:val="37"/>
              </w:numPr>
              <w:wordWrap w:val="0"/>
              <w:autoSpaceDE w:val="0"/>
              <w:autoSpaceDN w:val="0"/>
              <w:ind w:left="0" w:firstLine="0"/>
              <w:jc w:val="center"/>
              <w:rPr>
                <w:rFonts w:ascii="宋体" w:hAnsi="宋体"/>
                <w:szCs w:val="24"/>
              </w:rPr>
            </w:pPr>
          </w:p>
        </w:tc>
        <w:tc>
          <w:tcPr>
            <w:tcW w:w="1701" w:type="dxa"/>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b/>
                <w:szCs w:val="24"/>
              </w:rPr>
            </w:pPr>
            <w:r>
              <w:rPr>
                <w:rFonts w:hint="eastAsia" w:ascii="宋体" w:hAnsi="宋体"/>
                <w:b/>
                <w:szCs w:val="24"/>
              </w:rPr>
              <w:t>价格扣除</w:t>
            </w:r>
          </w:p>
          <w:p>
            <w:pPr>
              <w:wordWrap w:val="0"/>
              <w:autoSpaceDE w:val="0"/>
              <w:autoSpaceDN w:val="0"/>
              <w:jc w:val="left"/>
              <w:rPr>
                <w:rFonts w:ascii="宋体" w:hAnsi="宋体"/>
                <w:szCs w:val="24"/>
              </w:rPr>
            </w:pPr>
            <w:r>
              <w:rPr>
                <w:rFonts w:hint="eastAsia" w:ascii="宋体" w:hAnsi="宋体"/>
                <w:b/>
                <w:szCs w:val="24"/>
              </w:rPr>
              <w:t>（如适用）</w:t>
            </w:r>
          </w:p>
        </w:tc>
        <w:tc>
          <w:tcPr>
            <w:tcW w:w="6828" w:type="dxa"/>
            <w:vAlign w:val="center"/>
          </w:tcPr>
          <w:p>
            <w:pPr>
              <w:wordWrap w:val="0"/>
              <w:autoSpaceDE w:val="0"/>
              <w:autoSpaceDN w:val="0"/>
              <w:rPr>
                <w:rFonts w:ascii="宋体" w:hAnsi="宋体"/>
                <w:szCs w:val="24"/>
              </w:rPr>
            </w:pPr>
            <w:r>
              <w:rPr>
                <w:rFonts w:hint="eastAsia" w:ascii="宋体" w:hAnsi="宋体"/>
                <w:szCs w:val="24"/>
              </w:rPr>
              <w:t>按本部分第9.2条规定对算术修正后的最后报价进行政策调整。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numPr>
                <w:ilvl w:val="0"/>
                <w:numId w:val="37"/>
              </w:numPr>
              <w:wordWrap w:val="0"/>
              <w:autoSpaceDE w:val="0"/>
              <w:autoSpaceDN w:val="0"/>
              <w:ind w:left="0" w:firstLine="0"/>
              <w:jc w:val="center"/>
              <w:rPr>
                <w:rFonts w:ascii="宋体" w:hAnsi="宋体"/>
                <w:szCs w:val="24"/>
              </w:rPr>
            </w:pPr>
          </w:p>
        </w:tc>
        <w:tc>
          <w:tcPr>
            <w:tcW w:w="1701" w:type="dxa"/>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b/>
                <w:szCs w:val="24"/>
              </w:rPr>
            </w:pPr>
            <w:r>
              <w:rPr>
                <w:rFonts w:hint="eastAsia" w:ascii="宋体" w:hAnsi="宋体"/>
                <w:b/>
                <w:szCs w:val="24"/>
              </w:rPr>
              <w:t>评审价</w:t>
            </w:r>
          </w:p>
        </w:tc>
        <w:tc>
          <w:tcPr>
            <w:tcW w:w="6828" w:type="dxa"/>
            <w:vAlign w:val="center"/>
          </w:tcPr>
          <w:p>
            <w:pPr>
              <w:wordWrap w:val="0"/>
              <w:autoSpaceDE w:val="0"/>
              <w:autoSpaceDN w:val="0"/>
              <w:rPr>
                <w:rFonts w:ascii="宋体" w:hAnsi="宋体"/>
                <w:szCs w:val="24"/>
              </w:rPr>
            </w:pPr>
            <w:r>
              <w:rPr>
                <w:rFonts w:hint="eastAsia" w:ascii="宋体" w:hAnsi="宋体"/>
                <w:szCs w:val="24"/>
              </w:rPr>
              <w:t>经算术修正和落实政府采购政策需进行的价格扣除后的价格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numPr>
                <w:ilvl w:val="0"/>
                <w:numId w:val="37"/>
              </w:numPr>
              <w:wordWrap w:val="0"/>
              <w:autoSpaceDE w:val="0"/>
              <w:autoSpaceDN w:val="0"/>
              <w:ind w:left="0" w:firstLine="0"/>
              <w:jc w:val="center"/>
              <w:rPr>
                <w:rFonts w:ascii="宋体" w:hAnsi="宋体"/>
                <w:szCs w:val="24"/>
              </w:rPr>
            </w:pPr>
          </w:p>
        </w:tc>
        <w:tc>
          <w:tcPr>
            <w:tcW w:w="1701" w:type="dxa"/>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b/>
                <w:szCs w:val="24"/>
              </w:rPr>
            </w:pPr>
            <w:r>
              <w:rPr>
                <w:rFonts w:hint="eastAsia" w:ascii="宋体" w:hAnsi="宋体"/>
                <w:b/>
                <w:szCs w:val="24"/>
              </w:rPr>
              <w:t>磋商基准价</w:t>
            </w:r>
          </w:p>
        </w:tc>
        <w:tc>
          <w:tcPr>
            <w:tcW w:w="6828" w:type="dxa"/>
            <w:vAlign w:val="center"/>
          </w:tcPr>
          <w:p>
            <w:pPr>
              <w:wordWrap w:val="0"/>
              <w:autoSpaceDE w:val="0"/>
              <w:autoSpaceDN w:val="0"/>
            </w:pPr>
            <w:r>
              <w:rPr>
                <w:rFonts w:hint="eastAsia"/>
              </w:rPr>
              <w:t>①总价或单价或折扣率报价时：</w:t>
            </w:r>
          </w:p>
          <w:p>
            <w:pPr>
              <w:wordWrap w:val="0"/>
              <w:autoSpaceDE w:val="0"/>
              <w:autoSpaceDN w:val="0"/>
            </w:pPr>
            <w:r>
              <w:rPr>
                <w:rFonts w:hint="eastAsia"/>
              </w:rPr>
              <w:t>磋商基准价=满足磋商文件要求且最后报价最低的供应商的价格</w:t>
            </w:r>
          </w:p>
          <w:p>
            <w:pPr>
              <w:wordWrap w:val="0"/>
              <w:autoSpaceDE w:val="0"/>
              <w:autoSpaceDN w:val="0"/>
              <w:rPr>
                <w:rFonts w:ascii="宋体" w:hAnsi="宋体"/>
                <w:szCs w:val="24"/>
              </w:rPr>
            </w:pPr>
            <w:r>
              <w:rPr>
                <w:rFonts w:hint="eastAsia" w:ascii="宋体" w:hAnsi="宋体"/>
                <w:szCs w:val="24"/>
              </w:rPr>
              <w:t>②下浮率或优惠率报价时：</w:t>
            </w:r>
          </w:p>
          <w:p>
            <w:pPr>
              <w:pStyle w:val="2"/>
              <w:rPr>
                <w:rFonts w:ascii="宋体" w:hAnsi="宋体"/>
                <w:szCs w:val="24"/>
              </w:rPr>
            </w:pPr>
            <w:r>
              <w:rPr>
                <w:rFonts w:hint="eastAsia" w:ascii="宋体" w:hAnsi="宋体"/>
                <w:szCs w:val="24"/>
              </w:rPr>
              <w:t>评标基准价=（1－满足磋商文件要求且最后报价最高的供应商的报价）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numPr>
                <w:ilvl w:val="0"/>
                <w:numId w:val="37"/>
              </w:numPr>
              <w:wordWrap w:val="0"/>
              <w:autoSpaceDE w:val="0"/>
              <w:autoSpaceDN w:val="0"/>
              <w:ind w:left="0" w:firstLine="0"/>
              <w:jc w:val="center"/>
              <w:rPr>
                <w:rFonts w:ascii="宋体" w:hAnsi="宋体"/>
                <w:szCs w:val="24"/>
              </w:rPr>
            </w:pPr>
          </w:p>
        </w:tc>
        <w:tc>
          <w:tcPr>
            <w:tcW w:w="1701" w:type="dxa"/>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b/>
                <w:szCs w:val="24"/>
              </w:rPr>
            </w:pPr>
            <w:r>
              <w:rPr>
                <w:rFonts w:hint="eastAsia" w:ascii="宋体" w:hAnsi="宋体"/>
                <w:b/>
                <w:szCs w:val="24"/>
              </w:rPr>
              <w:t>响应报价得分</w:t>
            </w:r>
          </w:p>
        </w:tc>
        <w:tc>
          <w:tcPr>
            <w:tcW w:w="6828" w:type="dxa"/>
            <w:vAlign w:val="center"/>
          </w:tcPr>
          <w:p>
            <w:pPr>
              <w:wordWrap w:val="0"/>
              <w:autoSpaceDE w:val="0"/>
              <w:autoSpaceDN w:val="0"/>
            </w:pPr>
            <w:r>
              <w:rPr>
                <w:rFonts w:hint="eastAsia"/>
              </w:rPr>
              <w:t>①总价或单价或折扣率报价时：</w:t>
            </w:r>
          </w:p>
          <w:p>
            <w:pPr>
              <w:wordWrap w:val="0"/>
              <w:autoSpaceDE w:val="0"/>
              <w:autoSpaceDN w:val="0"/>
            </w:pPr>
            <w:r>
              <w:rPr>
                <w:rFonts w:hint="eastAsia"/>
              </w:rPr>
              <w:t>价格得分=（磋商基准价÷最后磋商报价）×价格部分分值</w:t>
            </w:r>
          </w:p>
          <w:p>
            <w:r>
              <w:rPr>
                <w:rFonts w:hint="eastAsia"/>
              </w:rPr>
              <w:t>②下浮率或优惠率报价时：</w:t>
            </w:r>
          </w:p>
          <w:p>
            <w:pPr>
              <w:pStyle w:val="2"/>
              <w:rPr>
                <w:rFonts w:ascii="宋体" w:hAnsi="宋体"/>
                <w:szCs w:val="24"/>
              </w:rPr>
            </w:pPr>
            <w:r>
              <w:rPr>
                <w:rFonts w:hint="eastAsia"/>
              </w:rPr>
              <w:t>价格得分=【评标基准价÷（1－最后磋商报价）】×价格部分分值</w:t>
            </w:r>
          </w:p>
        </w:tc>
      </w:tr>
    </w:tbl>
    <w:p>
      <w:bookmarkStart w:id="283" w:name="_Toc55398715"/>
      <w:bookmarkStart w:id="284" w:name="_Toc22806169"/>
      <w:r>
        <w:rPr>
          <w:rFonts w:hint="eastAsia"/>
          <w:szCs w:val="24"/>
        </w:rPr>
        <w:t>注：因落实政府采购政策进行价格扣除的，以扣除后的价格（即评审价）计算磋商基准价和最后磋商报价。</w:t>
      </w:r>
    </w:p>
    <w:bookmarkEnd w:id="283"/>
    <w:bookmarkEnd w:id="284"/>
    <w:p/>
    <w:p>
      <w:pPr>
        <w:rPr>
          <w:rFonts w:ascii="宋体" w:hAnsi="宋体" w:cs="Arial"/>
          <w:szCs w:val="24"/>
        </w:rPr>
      </w:pPr>
      <w:bookmarkStart w:id="285" w:name="_Toc44687991"/>
      <w:bookmarkEnd w:id="285"/>
      <w:bookmarkStart w:id="286" w:name="_Toc44688205"/>
      <w:bookmarkEnd w:id="286"/>
      <w:bookmarkStart w:id="287" w:name="_Toc44687979"/>
      <w:bookmarkEnd w:id="287"/>
      <w:bookmarkStart w:id="288" w:name="_Toc44688217"/>
      <w:bookmarkEnd w:id="288"/>
    </w:p>
    <w:p>
      <w:pPr>
        <w:pStyle w:val="5"/>
        <w:numPr>
          <w:ilvl w:val="0"/>
          <w:numId w:val="0"/>
        </w:numPr>
        <w:tabs>
          <w:tab w:val="left" w:pos="945"/>
        </w:tabs>
        <w:spacing w:before="0" w:after="0" w:line="360" w:lineRule="auto"/>
        <w:ind w:left="425"/>
        <w:jc w:val="center"/>
        <w:rPr>
          <w:rFonts w:ascii="宋体" w:hAnsi="宋体"/>
        </w:rPr>
      </w:pPr>
      <w:r>
        <w:rPr>
          <w:sz w:val="24"/>
          <w:szCs w:val="24"/>
        </w:rPr>
        <w:br w:type="page"/>
      </w:r>
      <w:bookmarkStart w:id="289" w:name="_Toc55398716"/>
      <w:bookmarkStart w:id="290" w:name="_Toc56180312"/>
      <w:r>
        <w:rPr>
          <w:rFonts w:hint="eastAsia"/>
        </w:rPr>
        <w:t>评审办法</w:t>
      </w:r>
      <w:bookmarkEnd w:id="289"/>
      <w:bookmarkEnd w:id="290"/>
    </w:p>
    <w:p>
      <w:pPr>
        <w:pStyle w:val="5"/>
        <w:numPr>
          <w:ilvl w:val="0"/>
          <w:numId w:val="38"/>
        </w:numPr>
        <w:tabs>
          <w:tab w:val="left" w:pos="945"/>
        </w:tabs>
        <w:spacing w:before="0" w:after="0" w:line="360" w:lineRule="auto"/>
        <w:rPr>
          <w:rFonts w:ascii="宋体" w:hAnsi="宋体"/>
          <w:sz w:val="24"/>
          <w:szCs w:val="24"/>
        </w:rPr>
      </w:pPr>
      <w:bookmarkStart w:id="291" w:name="_Toc56180313"/>
      <w:bookmarkStart w:id="292" w:name="_Toc55398717"/>
      <w:r>
        <w:rPr>
          <w:rFonts w:hint="eastAsia" w:ascii="宋体" w:hAnsi="宋体"/>
          <w:sz w:val="24"/>
          <w:szCs w:val="24"/>
        </w:rPr>
        <w:t>响应文件的接收</w:t>
      </w:r>
      <w:bookmarkEnd w:id="291"/>
      <w:bookmarkEnd w:id="292"/>
    </w:p>
    <w:p>
      <w:pPr>
        <w:numPr>
          <w:ilvl w:val="0"/>
          <w:numId w:val="39"/>
        </w:numPr>
        <w:wordWrap w:val="0"/>
        <w:autoSpaceDE w:val="0"/>
        <w:autoSpaceDN w:val="0"/>
        <w:ind w:left="960" w:hanging="960" w:hangingChars="400"/>
        <w:rPr>
          <w:rFonts w:ascii="宋体" w:hAnsi="宋体"/>
          <w:szCs w:val="24"/>
        </w:rPr>
      </w:pPr>
      <w:r>
        <w:rPr>
          <w:rFonts w:hint="eastAsia" w:ascii="宋体" w:hAnsi="宋体"/>
          <w:szCs w:val="24"/>
        </w:rPr>
        <w:t xml:space="preserve">    采购人或者采购代理机构收到响应文件后，如实记载响应文件的送达时间和密封情况，签收保存，并向供应商出具签收回执。</w:t>
      </w:r>
    </w:p>
    <w:p>
      <w:pPr>
        <w:numPr>
          <w:ilvl w:val="0"/>
          <w:numId w:val="39"/>
        </w:numPr>
        <w:wordWrap w:val="0"/>
        <w:autoSpaceDE w:val="0"/>
        <w:autoSpaceDN w:val="0"/>
        <w:ind w:left="960" w:hanging="960" w:hangingChars="400"/>
        <w:rPr>
          <w:rFonts w:ascii="宋体" w:hAnsi="宋体"/>
          <w:szCs w:val="24"/>
        </w:rPr>
      </w:pPr>
      <w:r>
        <w:rPr>
          <w:rFonts w:hint="eastAsia" w:ascii="宋体" w:hAnsi="宋体"/>
          <w:szCs w:val="24"/>
        </w:rPr>
        <w:t xml:space="preserve">    首次响应文件递交截止时间后，由全体响应供应商或者其推选的代表对全部响应文件的密封情况进行检查，也可以由采购人委托的机构检查并见证。</w:t>
      </w:r>
    </w:p>
    <w:p>
      <w:pPr>
        <w:pStyle w:val="5"/>
        <w:numPr>
          <w:ilvl w:val="0"/>
          <w:numId w:val="38"/>
        </w:numPr>
        <w:tabs>
          <w:tab w:val="left" w:pos="945"/>
        </w:tabs>
        <w:spacing w:before="0" w:after="0" w:line="360" w:lineRule="auto"/>
        <w:rPr>
          <w:rFonts w:ascii="宋体" w:hAnsi="宋体"/>
          <w:sz w:val="24"/>
          <w:szCs w:val="24"/>
        </w:rPr>
      </w:pPr>
      <w:bookmarkStart w:id="293" w:name="_Toc56180314"/>
      <w:bookmarkStart w:id="294" w:name="_Toc55398718"/>
      <w:r>
        <w:rPr>
          <w:rFonts w:hint="eastAsia" w:ascii="宋体" w:hAnsi="宋体"/>
          <w:sz w:val="24"/>
          <w:szCs w:val="24"/>
        </w:rPr>
        <w:t>磋商小组组成及职责</w:t>
      </w:r>
      <w:bookmarkEnd w:id="293"/>
      <w:bookmarkEnd w:id="294"/>
    </w:p>
    <w:p>
      <w:pPr>
        <w:wordWrap w:val="0"/>
        <w:autoSpaceDE w:val="0"/>
        <w:autoSpaceDN w:val="0"/>
        <w:adjustRightInd w:val="0"/>
        <w:ind w:left="960" w:hanging="960" w:hangingChars="400"/>
        <w:rPr>
          <w:rFonts w:ascii="宋体" w:hAnsi="宋体"/>
          <w:szCs w:val="24"/>
        </w:rPr>
      </w:pPr>
      <w:r>
        <w:rPr>
          <w:rFonts w:hint="eastAsia" w:ascii="宋体" w:hAnsi="宋体"/>
          <w:szCs w:val="24"/>
        </w:rPr>
        <w:t>2.1.    磋商小组由采购人代表和评审专家组成，成员人数应当为3人及以上单数，其中评审专家不得少于成员总数的三分之二。</w:t>
      </w:r>
    </w:p>
    <w:p>
      <w:pPr>
        <w:wordWrap w:val="0"/>
        <w:autoSpaceDE w:val="0"/>
        <w:autoSpaceDN w:val="0"/>
        <w:adjustRightInd w:val="0"/>
        <w:ind w:left="960" w:hanging="960" w:hangingChars="400"/>
        <w:rPr>
          <w:rFonts w:ascii="宋体" w:hAnsi="宋体"/>
          <w:szCs w:val="24"/>
        </w:rPr>
      </w:pPr>
      <w:r>
        <w:rPr>
          <w:rFonts w:hint="eastAsia" w:ascii="宋体" w:hAnsi="宋体"/>
          <w:szCs w:val="24"/>
        </w:rPr>
        <w:t>2.2    磋商小组成员名单在磋商结果公告前应当保密。磋商小组成员有下列情形之一的，受到邀请应主动提出回避，采购当事人也可以要求该磋商小组成员回避：</w:t>
      </w:r>
    </w:p>
    <w:p>
      <w:pPr>
        <w:tabs>
          <w:tab w:val="left" w:pos="0"/>
        </w:tabs>
        <w:wordWrap w:val="0"/>
        <w:autoSpaceDE w:val="0"/>
        <w:autoSpaceDN w:val="0"/>
        <w:adjustRightInd w:val="0"/>
        <w:ind w:left="1920" w:leftChars="200" w:hanging="1440" w:hangingChars="600"/>
        <w:rPr>
          <w:rFonts w:ascii="宋体" w:hAnsi="宋体"/>
          <w:szCs w:val="24"/>
        </w:rPr>
      </w:pPr>
      <w:r>
        <w:rPr>
          <w:rFonts w:hint="eastAsia" w:ascii="宋体" w:hAnsi="宋体"/>
          <w:szCs w:val="24"/>
        </w:rPr>
        <w:t>（1）参加采购活动前3年内与供应商存在劳动关系；</w:t>
      </w:r>
    </w:p>
    <w:p>
      <w:pPr>
        <w:tabs>
          <w:tab w:val="left" w:pos="0"/>
        </w:tabs>
        <w:wordWrap w:val="0"/>
        <w:autoSpaceDE w:val="0"/>
        <w:autoSpaceDN w:val="0"/>
        <w:adjustRightInd w:val="0"/>
        <w:ind w:left="1920" w:leftChars="200" w:hanging="1440" w:hangingChars="600"/>
        <w:rPr>
          <w:rFonts w:ascii="宋体" w:hAnsi="宋体"/>
          <w:szCs w:val="24"/>
        </w:rPr>
      </w:pPr>
      <w:r>
        <w:rPr>
          <w:rFonts w:hint="eastAsia" w:ascii="宋体" w:hAnsi="宋体"/>
          <w:szCs w:val="24"/>
        </w:rPr>
        <w:t>（2）参加采购活动前3年内担任供应商的董事、监事；</w:t>
      </w:r>
    </w:p>
    <w:p>
      <w:pPr>
        <w:tabs>
          <w:tab w:val="left" w:pos="0"/>
        </w:tabs>
        <w:wordWrap w:val="0"/>
        <w:autoSpaceDE w:val="0"/>
        <w:autoSpaceDN w:val="0"/>
        <w:adjustRightInd w:val="0"/>
        <w:ind w:left="1920" w:leftChars="200" w:hanging="1440" w:hangingChars="600"/>
        <w:rPr>
          <w:rFonts w:ascii="宋体" w:hAnsi="宋体"/>
          <w:szCs w:val="24"/>
        </w:rPr>
      </w:pPr>
      <w:r>
        <w:rPr>
          <w:rFonts w:hint="eastAsia" w:ascii="宋体" w:hAnsi="宋体"/>
          <w:szCs w:val="24"/>
        </w:rPr>
        <w:t>（3）参加采购活动前3年内是供应商的控股股东或者实际控制人；</w:t>
      </w:r>
    </w:p>
    <w:p>
      <w:pPr>
        <w:tabs>
          <w:tab w:val="left" w:pos="0"/>
        </w:tabs>
        <w:wordWrap w:val="0"/>
        <w:autoSpaceDE w:val="0"/>
        <w:autoSpaceDN w:val="0"/>
        <w:adjustRightInd w:val="0"/>
        <w:ind w:left="960" w:leftChars="200" w:hanging="480" w:hangingChars="200"/>
        <w:rPr>
          <w:rFonts w:ascii="宋体" w:hAnsi="宋体"/>
          <w:szCs w:val="24"/>
        </w:rPr>
      </w:pPr>
      <w:r>
        <w:rPr>
          <w:rFonts w:hint="eastAsia" w:ascii="宋体" w:hAnsi="宋体"/>
          <w:szCs w:val="24"/>
        </w:rPr>
        <w:t>（4）与供应商的法定代表人或者负责人有夫妻、直系血亲、三代以内旁系血亲或者近姻亲关系；</w:t>
      </w:r>
    </w:p>
    <w:p>
      <w:pPr>
        <w:tabs>
          <w:tab w:val="left" w:pos="0"/>
        </w:tabs>
        <w:wordWrap w:val="0"/>
        <w:autoSpaceDE w:val="0"/>
        <w:autoSpaceDN w:val="0"/>
        <w:adjustRightInd w:val="0"/>
        <w:ind w:left="960" w:leftChars="200" w:hanging="480" w:hangingChars="200"/>
        <w:rPr>
          <w:rFonts w:ascii="宋体" w:hAnsi="宋体"/>
          <w:szCs w:val="24"/>
        </w:rPr>
      </w:pPr>
      <w:r>
        <w:rPr>
          <w:rFonts w:hint="eastAsia" w:ascii="宋体" w:hAnsi="宋体"/>
          <w:szCs w:val="24"/>
        </w:rPr>
        <w:t>（5）与供应商有其他可能影响政府采购活动公平、公正进行的关系。</w:t>
      </w:r>
    </w:p>
    <w:p>
      <w:pPr>
        <w:pStyle w:val="5"/>
        <w:numPr>
          <w:ilvl w:val="0"/>
          <w:numId w:val="38"/>
        </w:numPr>
        <w:tabs>
          <w:tab w:val="left" w:pos="945"/>
        </w:tabs>
        <w:spacing w:before="0" w:after="0" w:line="360" w:lineRule="auto"/>
        <w:rPr>
          <w:rFonts w:ascii="宋体" w:hAnsi="宋体"/>
          <w:sz w:val="24"/>
          <w:szCs w:val="24"/>
        </w:rPr>
      </w:pPr>
      <w:bookmarkStart w:id="295" w:name="_Toc55398719"/>
      <w:bookmarkStart w:id="296" w:name="_Toc56180315"/>
      <w:r>
        <w:rPr>
          <w:rFonts w:hint="eastAsia" w:ascii="宋体" w:hAnsi="宋体"/>
          <w:sz w:val="24"/>
          <w:szCs w:val="24"/>
        </w:rPr>
        <w:t>评审注意事项</w:t>
      </w:r>
      <w:bookmarkEnd w:id="295"/>
      <w:bookmarkEnd w:id="296"/>
    </w:p>
    <w:p>
      <w:pPr>
        <w:wordWrap w:val="0"/>
        <w:autoSpaceDE w:val="0"/>
        <w:autoSpaceDN w:val="0"/>
        <w:adjustRightInd w:val="0"/>
        <w:ind w:left="960" w:hanging="960" w:hangingChars="400"/>
        <w:rPr>
          <w:rFonts w:ascii="宋体" w:hAnsi="宋体"/>
          <w:szCs w:val="24"/>
        </w:rPr>
      </w:pPr>
      <w:r>
        <w:rPr>
          <w:rFonts w:hint="eastAsia" w:ascii="宋体" w:hAnsi="宋体"/>
          <w:szCs w:val="24"/>
        </w:rPr>
        <w:t>3.1.    采购人、采购代理机构应当按照政府采购法和本办法的规定组织开展竞争性磋商，并采取必要措施，保证磋商在严格保密的情况下进行。</w:t>
      </w:r>
    </w:p>
    <w:p>
      <w:pPr>
        <w:wordWrap w:val="0"/>
        <w:autoSpaceDE w:val="0"/>
        <w:autoSpaceDN w:val="0"/>
        <w:adjustRightInd w:val="0"/>
        <w:ind w:left="960" w:hanging="960" w:hangingChars="400"/>
        <w:rPr>
          <w:rFonts w:ascii="宋体" w:hAnsi="宋体"/>
          <w:szCs w:val="24"/>
        </w:rPr>
      </w:pPr>
      <w:r>
        <w:rPr>
          <w:rFonts w:hint="eastAsia" w:ascii="宋体" w:hAnsi="宋体"/>
          <w:szCs w:val="24"/>
        </w:rPr>
        <w:t>3.2.    对磋商文件中描述有歧义或前后不一致的地方，磋商小组有权按法律法规的规定进行评判，但对同一条款的评判应适用于每个供应商。</w:t>
      </w:r>
    </w:p>
    <w:p>
      <w:pPr>
        <w:wordWrap w:val="0"/>
        <w:autoSpaceDE w:val="0"/>
        <w:autoSpaceDN w:val="0"/>
        <w:adjustRightInd w:val="0"/>
        <w:ind w:left="960" w:hanging="960" w:hangingChars="400"/>
        <w:rPr>
          <w:rFonts w:ascii="宋体" w:hAnsi="宋体"/>
          <w:szCs w:val="24"/>
        </w:rPr>
      </w:pPr>
      <w:r>
        <w:rPr>
          <w:rFonts w:hint="eastAsia" w:ascii="宋体" w:hAnsi="宋体"/>
          <w:szCs w:val="24"/>
        </w:rPr>
        <w:t>3.3     澄清、说明或者更正：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代理机构可根据记录的供应商代表联系方式发送短信提醒或电话告知。若因供应商联系方式错误未接收短信、未接听电话或超时未进行澄清（响应）造成的不利后果由供应商自行承担。磋商小组不接受供应商主动提出的澄清、说明或补正。磋商小组对供应商提交的澄清、说明或补正有疑问的，可以要求供应商进一步澄清、说明或补正。</w:t>
      </w:r>
    </w:p>
    <w:p>
      <w:pPr>
        <w:wordWrap w:val="0"/>
        <w:autoSpaceDE w:val="0"/>
        <w:autoSpaceDN w:val="0"/>
        <w:adjustRightInd w:val="0"/>
        <w:ind w:left="960" w:hanging="960" w:hangingChars="400"/>
        <w:rPr>
          <w:rFonts w:ascii="宋体" w:hAnsi="宋体"/>
          <w:szCs w:val="24"/>
        </w:rPr>
      </w:pPr>
      <w:r>
        <w:rPr>
          <w:rFonts w:hint="eastAsia" w:ascii="宋体" w:hAnsi="宋体"/>
          <w:szCs w:val="24"/>
        </w:rPr>
        <w:t>3.4    磋商小组认为响应供应商的报价明显低于其他通过资格、符合性审查响应供应商的报价，有可能影响项目质量或者不能诚信履约的，应当要求其在磋商现场合理的时间内提供书面说明，必要时提交相关证明材料；响应供应商不能证明其报价合理性的，磋商小组应当将其作为无效响应处理。</w:t>
      </w:r>
    </w:p>
    <w:p>
      <w:pPr>
        <w:numPr>
          <w:ilvl w:val="1"/>
          <w:numId w:val="40"/>
        </w:numPr>
        <w:wordWrap w:val="0"/>
        <w:autoSpaceDE w:val="0"/>
        <w:autoSpaceDN w:val="0"/>
        <w:adjustRightInd w:val="0"/>
        <w:rPr>
          <w:rFonts w:ascii="宋体" w:hAnsi="宋体"/>
          <w:szCs w:val="24"/>
        </w:rPr>
      </w:pPr>
      <w:r>
        <w:rPr>
          <w:rFonts w:hint="eastAsia" w:ascii="宋体" w:hAnsi="宋体"/>
          <w:szCs w:val="24"/>
        </w:rPr>
        <w:t xml:space="preserve">   响应文件差异修正原则</w:t>
      </w:r>
    </w:p>
    <w:p>
      <w:pPr>
        <w:rPr>
          <w:rFonts w:ascii="宋体" w:hAnsi="宋体"/>
          <w:szCs w:val="24"/>
        </w:rPr>
      </w:pPr>
      <w:r>
        <w:rPr>
          <w:rFonts w:hint="eastAsia" w:ascii="宋体" w:hAnsi="宋体"/>
          <w:szCs w:val="24"/>
        </w:rPr>
        <w:t>3.5.1响应文件报价出现前后不一致的，除非磋商文件另有规定，报价修正的原则如下：</w:t>
      </w:r>
    </w:p>
    <w:p>
      <w:pPr>
        <w:ind w:left="960" w:leftChars="200" w:hanging="480" w:hangingChars="200"/>
        <w:rPr>
          <w:rFonts w:ascii="宋体" w:hAnsi="宋体"/>
          <w:szCs w:val="24"/>
        </w:rPr>
      </w:pPr>
      <w:r>
        <w:rPr>
          <w:rFonts w:hint="eastAsia" w:ascii="宋体" w:hAnsi="宋体"/>
          <w:szCs w:val="24"/>
        </w:rPr>
        <w:t>（1）响应文件中报价一览表（最后报价表）内容与响应文件中相应内容不一致的，以报价一览表（最后报价表）为准；</w:t>
      </w:r>
    </w:p>
    <w:p>
      <w:pPr>
        <w:ind w:left="960" w:leftChars="200" w:hanging="480" w:hangingChars="200"/>
        <w:rPr>
          <w:rFonts w:ascii="宋体" w:hAnsi="宋体"/>
          <w:szCs w:val="24"/>
        </w:rPr>
      </w:pPr>
      <w:r>
        <w:rPr>
          <w:rFonts w:hint="eastAsia" w:ascii="宋体" w:hAnsi="宋体"/>
          <w:szCs w:val="24"/>
        </w:rPr>
        <w:t>（2）</w:t>
      </w:r>
      <w:r>
        <w:rPr>
          <w:rFonts w:hint="eastAsia" w:ascii="宋体" w:hAnsi="宋体"/>
          <w:szCs w:val="24"/>
        </w:rPr>
        <w:tab/>
      </w:r>
      <w:r>
        <w:rPr>
          <w:rFonts w:hint="eastAsia" w:ascii="宋体" w:hAnsi="宋体"/>
          <w:szCs w:val="24"/>
        </w:rPr>
        <w:t>大写金额和小写金额不一致的，以大写金额为准；</w:t>
      </w:r>
    </w:p>
    <w:p>
      <w:pPr>
        <w:ind w:left="960" w:leftChars="200" w:hanging="480" w:hangingChars="200"/>
        <w:rPr>
          <w:rFonts w:ascii="宋体" w:hAnsi="宋体"/>
          <w:szCs w:val="24"/>
        </w:rPr>
      </w:pPr>
      <w:r>
        <w:rPr>
          <w:rFonts w:hint="eastAsia" w:ascii="宋体" w:hAnsi="宋体"/>
          <w:szCs w:val="24"/>
        </w:rPr>
        <w:t>（3）</w:t>
      </w:r>
      <w:r>
        <w:rPr>
          <w:rFonts w:hint="eastAsia" w:ascii="宋体" w:hAnsi="宋体"/>
          <w:szCs w:val="24"/>
        </w:rPr>
        <w:tab/>
      </w:r>
      <w:r>
        <w:rPr>
          <w:rFonts w:hint="eastAsia" w:ascii="宋体" w:hAnsi="宋体"/>
          <w:szCs w:val="24"/>
        </w:rPr>
        <w:t>单价金额小数点或者百分比有明显错位的，以报价一览表（最后报价表）的总价为准，并修改单价；</w:t>
      </w:r>
    </w:p>
    <w:p>
      <w:pPr>
        <w:wordWrap w:val="0"/>
        <w:autoSpaceDE w:val="0"/>
        <w:autoSpaceDN w:val="0"/>
        <w:adjustRightInd w:val="0"/>
        <w:ind w:left="960" w:leftChars="150" w:hanging="600" w:hangingChars="250"/>
        <w:rPr>
          <w:rFonts w:ascii="宋体" w:hAnsi="宋体"/>
          <w:szCs w:val="24"/>
        </w:rPr>
      </w:pPr>
      <w:r>
        <w:rPr>
          <w:rFonts w:hint="eastAsia" w:ascii="宋体" w:hAnsi="宋体"/>
          <w:szCs w:val="24"/>
        </w:rPr>
        <w:t>（4）总价金额与按单价汇总金额不一致的，以单价金额计算结果为准；（但是单价金额计算结果超过预算价/最高限价的，对其按无效响应处理）</w:t>
      </w:r>
    </w:p>
    <w:p>
      <w:pPr>
        <w:wordWrap w:val="0"/>
        <w:autoSpaceDE w:val="0"/>
        <w:autoSpaceDN w:val="0"/>
        <w:adjustRightInd w:val="0"/>
        <w:ind w:left="960" w:leftChars="400" w:firstLine="360" w:firstLineChars="150"/>
        <w:rPr>
          <w:rFonts w:ascii="宋体" w:hAnsi="宋体"/>
          <w:szCs w:val="24"/>
        </w:rPr>
      </w:pPr>
      <w:r>
        <w:rPr>
          <w:rFonts w:hint="eastAsia" w:ascii="宋体" w:hAnsi="宋体"/>
          <w:szCs w:val="24"/>
        </w:rPr>
        <w:t>同时出现上述两种以上不一致的，按照前款规定的顺序修正。修正后的报价须经供应商加盖公章，或者由法定代表人或其授权的代表签字确认后产生约束力；供应商不确认的，其</w:t>
      </w:r>
      <w:r>
        <w:rPr>
          <w:rFonts w:hint="eastAsia" w:ascii="宋体" w:hAnsi="宋体"/>
          <w:b/>
          <w:szCs w:val="24"/>
        </w:rPr>
        <w:t>响应无效</w:t>
      </w:r>
      <w:r>
        <w:rPr>
          <w:rFonts w:hint="eastAsia" w:ascii="宋体" w:hAnsi="宋体"/>
          <w:szCs w:val="24"/>
        </w:rPr>
        <w:t>。</w:t>
      </w:r>
    </w:p>
    <w:p>
      <w:pPr>
        <w:wordWrap w:val="0"/>
        <w:autoSpaceDE w:val="0"/>
        <w:autoSpaceDN w:val="0"/>
        <w:adjustRightInd w:val="0"/>
        <w:ind w:left="960" w:hanging="960" w:hangingChars="400"/>
        <w:rPr>
          <w:rFonts w:ascii="宋体" w:hAnsi="宋体"/>
          <w:szCs w:val="24"/>
        </w:rPr>
      </w:pPr>
      <w:r>
        <w:rPr>
          <w:rFonts w:hint="eastAsia" w:ascii="宋体" w:hAnsi="宋体"/>
          <w:szCs w:val="24"/>
        </w:rPr>
        <w:t>3.5.2  对不同文字文本响应文件的解释发生异议的，以中文文本为准。</w:t>
      </w:r>
    </w:p>
    <w:p>
      <w:pPr>
        <w:wordWrap w:val="0"/>
        <w:autoSpaceDE w:val="0"/>
        <w:autoSpaceDN w:val="0"/>
        <w:adjustRightInd w:val="0"/>
        <w:ind w:left="960" w:hanging="960" w:hangingChars="400"/>
        <w:rPr>
          <w:rFonts w:ascii="宋体" w:hAnsi="宋体"/>
          <w:szCs w:val="24"/>
        </w:rPr>
      </w:pPr>
      <w:r>
        <w:rPr>
          <w:rFonts w:hint="eastAsia" w:ascii="宋体" w:hAnsi="宋体"/>
          <w:szCs w:val="24"/>
        </w:rPr>
        <w:t xml:space="preserve">3.6.    </w:t>
      </w:r>
      <w:r>
        <w:rPr>
          <w:rFonts w:hint="eastAsia" w:ascii="宋体" w:hAnsi="宋体"/>
          <w:b/>
          <w:szCs w:val="24"/>
        </w:rPr>
        <w:t>响应无效</w:t>
      </w:r>
      <w:r>
        <w:rPr>
          <w:rFonts w:hint="eastAsia" w:ascii="宋体" w:hAnsi="宋体"/>
          <w:szCs w:val="24"/>
        </w:rPr>
        <w:t>的情形</w:t>
      </w:r>
    </w:p>
    <w:p>
      <w:pPr>
        <w:pStyle w:val="2"/>
        <w:ind w:left="960" w:leftChars="400"/>
      </w:pPr>
      <w:r>
        <w:rPr>
          <w:rFonts w:hint="eastAsia"/>
        </w:rPr>
        <w:t>详见以下条款及《资格审查表》、《符合性审查表》和采购文件中其他响应无效条款。</w:t>
      </w:r>
    </w:p>
    <w:p>
      <w:pPr>
        <w:numPr>
          <w:ilvl w:val="0"/>
          <w:numId w:val="41"/>
        </w:numPr>
        <w:wordWrap w:val="0"/>
        <w:autoSpaceDE w:val="0"/>
        <w:autoSpaceDN w:val="0"/>
        <w:ind w:left="960" w:hanging="960" w:hangingChars="400"/>
        <w:rPr>
          <w:rFonts w:ascii="宋体" w:hAnsi="宋体"/>
          <w:szCs w:val="24"/>
        </w:rPr>
      </w:pPr>
      <w:r>
        <w:rPr>
          <w:rFonts w:hint="eastAsia" w:ascii="宋体" w:hAnsi="宋体"/>
          <w:szCs w:val="24"/>
        </w:rPr>
        <w:t>供应商存在下列情况之一的，</w:t>
      </w:r>
      <w:r>
        <w:rPr>
          <w:rFonts w:hint="eastAsia" w:ascii="宋体" w:hAnsi="宋体"/>
          <w:b/>
          <w:szCs w:val="24"/>
        </w:rPr>
        <w:t>响应无效</w:t>
      </w:r>
      <w:r>
        <w:rPr>
          <w:rFonts w:hint="eastAsia" w:ascii="宋体" w:hAnsi="宋体"/>
          <w:szCs w:val="24"/>
        </w:rPr>
        <w:t>:</w:t>
      </w:r>
    </w:p>
    <w:p>
      <w:pPr>
        <w:tabs>
          <w:tab w:val="left" w:pos="0"/>
        </w:tabs>
        <w:wordWrap w:val="0"/>
        <w:autoSpaceDE w:val="0"/>
        <w:autoSpaceDN w:val="0"/>
        <w:adjustRightInd w:val="0"/>
        <w:ind w:left="960" w:leftChars="200" w:hanging="480" w:hangingChars="200"/>
        <w:rPr>
          <w:rFonts w:ascii="宋体" w:hAnsi="宋体"/>
          <w:szCs w:val="24"/>
        </w:rPr>
      </w:pPr>
      <w:r>
        <w:rPr>
          <w:rFonts w:hint="eastAsia" w:ascii="宋体" w:hAnsi="宋体"/>
          <w:szCs w:val="24"/>
        </w:rPr>
        <w:t>（1）未按照磋商文件的规定提交磋商保证金的；</w:t>
      </w:r>
      <w:r>
        <w:rPr>
          <w:rFonts w:hint="eastAsia" w:ascii="宋体" w:hAnsi="宋体"/>
          <w:b/>
          <w:szCs w:val="24"/>
        </w:rPr>
        <w:t>（不需要缴纳磋商保证金的项目不适用）</w:t>
      </w:r>
    </w:p>
    <w:p>
      <w:pPr>
        <w:tabs>
          <w:tab w:val="left" w:pos="0"/>
        </w:tabs>
        <w:wordWrap w:val="0"/>
        <w:autoSpaceDE w:val="0"/>
        <w:autoSpaceDN w:val="0"/>
        <w:adjustRightInd w:val="0"/>
        <w:ind w:left="960" w:leftChars="200" w:hanging="480" w:hangingChars="200"/>
        <w:rPr>
          <w:rFonts w:ascii="宋体" w:hAnsi="宋体"/>
          <w:szCs w:val="24"/>
        </w:rPr>
      </w:pPr>
      <w:r>
        <w:rPr>
          <w:rFonts w:hint="eastAsia" w:ascii="宋体" w:hAnsi="宋体"/>
          <w:szCs w:val="24"/>
        </w:rPr>
        <w:t>（2）响应文件未按磋商文件要求签署、盖章的；</w:t>
      </w:r>
    </w:p>
    <w:p>
      <w:pPr>
        <w:tabs>
          <w:tab w:val="left" w:pos="0"/>
        </w:tabs>
        <w:wordWrap w:val="0"/>
        <w:autoSpaceDE w:val="0"/>
        <w:autoSpaceDN w:val="0"/>
        <w:adjustRightInd w:val="0"/>
        <w:ind w:left="960" w:leftChars="200" w:hanging="480" w:hangingChars="200"/>
        <w:rPr>
          <w:rFonts w:ascii="宋体" w:hAnsi="宋体"/>
          <w:szCs w:val="24"/>
        </w:rPr>
      </w:pPr>
      <w:r>
        <w:rPr>
          <w:rFonts w:hint="eastAsia" w:ascii="宋体" w:hAnsi="宋体"/>
          <w:szCs w:val="24"/>
        </w:rPr>
        <w:t>（3）不具备磋商文件中规定的资格要求的；</w:t>
      </w:r>
    </w:p>
    <w:p>
      <w:pPr>
        <w:tabs>
          <w:tab w:val="left" w:pos="0"/>
        </w:tabs>
        <w:wordWrap w:val="0"/>
        <w:autoSpaceDE w:val="0"/>
        <w:autoSpaceDN w:val="0"/>
        <w:adjustRightInd w:val="0"/>
        <w:ind w:left="960" w:leftChars="200" w:hanging="480" w:hangingChars="200"/>
        <w:rPr>
          <w:rFonts w:ascii="宋体" w:hAnsi="宋体"/>
          <w:szCs w:val="24"/>
        </w:rPr>
      </w:pPr>
      <w:r>
        <w:rPr>
          <w:rFonts w:hint="eastAsia" w:ascii="宋体" w:hAnsi="宋体"/>
          <w:szCs w:val="24"/>
        </w:rPr>
        <w:t>（4）首次报价（最后报价）超过磋商文件中规定的预算金额或者最高限价的；</w:t>
      </w:r>
    </w:p>
    <w:p>
      <w:pPr>
        <w:tabs>
          <w:tab w:val="left" w:pos="0"/>
        </w:tabs>
        <w:wordWrap w:val="0"/>
        <w:autoSpaceDE w:val="0"/>
        <w:autoSpaceDN w:val="0"/>
        <w:adjustRightInd w:val="0"/>
        <w:ind w:left="960" w:leftChars="200" w:hanging="480" w:hangingChars="200"/>
        <w:rPr>
          <w:rFonts w:ascii="宋体" w:hAnsi="宋体"/>
          <w:szCs w:val="24"/>
        </w:rPr>
      </w:pPr>
      <w:r>
        <w:rPr>
          <w:rFonts w:hint="eastAsia" w:ascii="宋体" w:hAnsi="宋体"/>
          <w:szCs w:val="24"/>
        </w:rPr>
        <w:t>（5）响应文件含有采购人不能接受的附加条件的；</w:t>
      </w:r>
    </w:p>
    <w:p>
      <w:pPr>
        <w:tabs>
          <w:tab w:val="left" w:pos="0"/>
        </w:tabs>
        <w:wordWrap w:val="0"/>
        <w:autoSpaceDE w:val="0"/>
        <w:autoSpaceDN w:val="0"/>
        <w:adjustRightInd w:val="0"/>
        <w:ind w:left="960" w:leftChars="200" w:hanging="480" w:hangingChars="200"/>
        <w:rPr>
          <w:rFonts w:ascii="宋体" w:hAnsi="宋体"/>
          <w:szCs w:val="24"/>
        </w:rPr>
      </w:pPr>
      <w:r>
        <w:rPr>
          <w:rFonts w:hint="eastAsia" w:ascii="宋体" w:hAnsi="宋体"/>
          <w:szCs w:val="24"/>
        </w:rPr>
        <w:t>（6）法律、法规和磋商文件规定的其他无效情形。</w:t>
      </w:r>
    </w:p>
    <w:p>
      <w:pPr>
        <w:numPr>
          <w:ilvl w:val="0"/>
          <w:numId w:val="41"/>
        </w:numPr>
        <w:wordWrap w:val="0"/>
        <w:autoSpaceDE w:val="0"/>
        <w:autoSpaceDN w:val="0"/>
        <w:ind w:left="960" w:hanging="960" w:hangingChars="400"/>
        <w:rPr>
          <w:rFonts w:ascii="宋体" w:hAnsi="宋体"/>
          <w:szCs w:val="24"/>
        </w:rPr>
      </w:pPr>
      <w:r>
        <w:rPr>
          <w:rFonts w:hint="eastAsia" w:ascii="宋体" w:hAnsi="宋体"/>
          <w:szCs w:val="24"/>
        </w:rPr>
        <w:t xml:space="preserve">   有下列情形之一的，视为供应商串通响应报价，其</w:t>
      </w:r>
      <w:r>
        <w:rPr>
          <w:rFonts w:hint="eastAsia" w:ascii="宋体" w:hAnsi="宋体"/>
          <w:b/>
          <w:szCs w:val="24"/>
        </w:rPr>
        <w:t>响应无效</w:t>
      </w:r>
      <w:r>
        <w:rPr>
          <w:rFonts w:hint="eastAsia" w:ascii="宋体" w:hAnsi="宋体"/>
          <w:szCs w:val="24"/>
        </w:rPr>
        <w:t>：</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（1）不同供应商的响应文件由同一单位或者个人编制；</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（2）不同供应商委托同一单位或者个人办理响应事宜；</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（3）不同供应商的响应文件载明的项目管理成员或者联系人员为同一人；</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（4）不同供应商的响应文件异常一致或者响应报价呈规律性差异；</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（5）不同供应商的响应文件相互混装；</w:t>
      </w:r>
    </w:p>
    <w:p>
      <w:pPr>
        <w:tabs>
          <w:tab w:val="left" w:pos="945"/>
        </w:tabs>
        <w:wordWrap w:val="0"/>
        <w:autoSpaceDE w:val="0"/>
        <w:autoSpaceDN w:val="0"/>
        <w:ind w:left="960" w:leftChars="200" w:hanging="480" w:hangingChars="200"/>
        <w:rPr>
          <w:rFonts w:ascii="宋体" w:hAnsi="宋体"/>
          <w:b/>
          <w:szCs w:val="24"/>
        </w:rPr>
      </w:pPr>
      <w:r>
        <w:rPr>
          <w:rFonts w:hint="eastAsia" w:ascii="宋体" w:hAnsi="宋体"/>
          <w:szCs w:val="24"/>
        </w:rPr>
        <w:t>（6）不同供应商的磋商保证金从同一单位或者个人的账户转出。</w:t>
      </w:r>
      <w:r>
        <w:rPr>
          <w:rFonts w:hint="eastAsia" w:ascii="宋体" w:hAnsi="宋体"/>
          <w:b/>
          <w:szCs w:val="24"/>
        </w:rPr>
        <w:t>（不需要缴纳磋商保证金的项目不适用）</w:t>
      </w:r>
    </w:p>
    <w:p>
      <w:pPr>
        <w:pStyle w:val="2"/>
        <w:ind w:left="480" w:leftChars="200"/>
      </w:pPr>
      <w:r>
        <w:rPr>
          <w:rFonts w:hint="eastAsia"/>
        </w:rPr>
        <w:t>说明：在评审过程中发现供应商有上述情形的，磋商小组应当认定其响应无效。同时，项目评审时被认定为串通响应的供应商不得参加该合同项下的采购活动。</w:t>
      </w:r>
    </w:p>
    <w:p>
      <w:pPr>
        <w:numPr>
          <w:ilvl w:val="0"/>
          <w:numId w:val="41"/>
        </w:numPr>
        <w:wordWrap w:val="0"/>
        <w:autoSpaceDE w:val="0"/>
        <w:autoSpaceDN w:val="0"/>
        <w:rPr>
          <w:rFonts w:ascii="宋体" w:hAnsi="宋体"/>
          <w:szCs w:val="24"/>
        </w:rPr>
      </w:pPr>
      <w:r>
        <w:rPr>
          <w:rFonts w:hint="eastAsia" w:ascii="宋体" w:hAnsi="宋体"/>
          <w:szCs w:val="24"/>
        </w:rPr>
        <w:t>其他</w:t>
      </w:r>
      <w:r>
        <w:rPr>
          <w:rFonts w:hint="eastAsia" w:ascii="宋体" w:hAnsi="宋体"/>
          <w:b/>
          <w:szCs w:val="24"/>
        </w:rPr>
        <w:t>响应无效</w:t>
      </w:r>
      <w:r>
        <w:rPr>
          <w:rFonts w:hint="eastAsia" w:ascii="宋体" w:hAnsi="宋体"/>
          <w:szCs w:val="24"/>
        </w:rPr>
        <w:t>的情形：</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（1）评审期间，供应商没有按磋商小组的要求提交法定代表人或其委托代理人签字的澄清、说明、补正或改变了响应文件的实质性内容的；</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（2）响应文件提供虚假材料的；</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（3）供应商以他人名义响应、串通响应、以行贿手段谋取成交或者以其他弄虚作假方式响应的；</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（4）供应商对采购人、采购代理机构、磋商小组及其工作人员施加影响，有碍采购公平、公正的。</w:t>
      </w:r>
    </w:p>
    <w:p>
      <w:pPr>
        <w:wordWrap w:val="0"/>
        <w:autoSpaceDE w:val="0"/>
        <w:autoSpaceDN w:val="0"/>
        <w:adjustRightInd w:val="0"/>
        <w:ind w:left="960" w:hanging="960" w:hangingChars="400"/>
        <w:rPr>
          <w:rFonts w:ascii="宋体" w:hAnsi="宋体"/>
          <w:szCs w:val="24"/>
        </w:rPr>
      </w:pPr>
      <w:r>
        <w:rPr>
          <w:rFonts w:hint="eastAsia" w:ascii="宋体" w:hAnsi="宋体"/>
          <w:szCs w:val="24"/>
        </w:rPr>
        <w:t>3.7.有下列情形之一的，属于恶意串通响应，成交无效：</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（1）</w:t>
      </w:r>
      <w:r>
        <w:rPr>
          <w:rFonts w:hint="eastAsia" w:ascii="宋体" w:hAnsi="宋体"/>
          <w:szCs w:val="24"/>
        </w:rPr>
        <w:tab/>
      </w:r>
      <w:r>
        <w:rPr>
          <w:rFonts w:hint="eastAsia" w:ascii="宋体" w:hAnsi="宋体"/>
          <w:szCs w:val="24"/>
        </w:rPr>
        <w:t>供应商直接或者间接从采购人或者采购代理机构处获得其他供应商的相关情况并修改其响应文件；</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（2）</w:t>
      </w:r>
      <w:r>
        <w:rPr>
          <w:rFonts w:hint="eastAsia" w:ascii="宋体" w:hAnsi="宋体"/>
          <w:szCs w:val="24"/>
        </w:rPr>
        <w:tab/>
      </w:r>
      <w:r>
        <w:rPr>
          <w:rFonts w:hint="eastAsia" w:ascii="宋体" w:hAnsi="宋体"/>
          <w:szCs w:val="24"/>
        </w:rPr>
        <w:t>供应商按照采购人或者采购代理机构的授意撤换、修改响应文件；</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（3）</w:t>
      </w:r>
      <w:r>
        <w:rPr>
          <w:rFonts w:hint="eastAsia" w:ascii="宋体" w:hAnsi="宋体"/>
          <w:szCs w:val="24"/>
        </w:rPr>
        <w:tab/>
      </w:r>
      <w:r>
        <w:rPr>
          <w:rFonts w:hint="eastAsia" w:ascii="宋体" w:hAnsi="宋体"/>
          <w:szCs w:val="24"/>
        </w:rPr>
        <w:t>供应商之间协商报价、技术方案等响应文件的实质性内容；</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（4）</w:t>
      </w:r>
      <w:r>
        <w:rPr>
          <w:rFonts w:hint="eastAsia" w:ascii="宋体" w:hAnsi="宋体"/>
          <w:szCs w:val="24"/>
        </w:rPr>
        <w:tab/>
      </w:r>
      <w:r>
        <w:rPr>
          <w:rFonts w:hint="eastAsia" w:ascii="宋体" w:hAnsi="宋体"/>
          <w:szCs w:val="24"/>
        </w:rPr>
        <w:t>属于同一集团、协会、商会等组织成员的供应商按照该组织要求协同参加政府采购活动；</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（5）</w:t>
      </w:r>
      <w:r>
        <w:rPr>
          <w:rFonts w:hint="eastAsia" w:ascii="宋体" w:hAnsi="宋体"/>
          <w:szCs w:val="24"/>
        </w:rPr>
        <w:tab/>
      </w:r>
      <w:r>
        <w:rPr>
          <w:rFonts w:hint="eastAsia" w:ascii="宋体" w:hAnsi="宋体"/>
          <w:szCs w:val="24"/>
        </w:rPr>
        <w:t>供应商之间事先约定由某一特定供应商成交；</w:t>
      </w:r>
    </w:p>
    <w:p>
      <w:pPr>
        <w:tabs>
          <w:tab w:val="left" w:pos="945"/>
        </w:tabs>
        <w:wordWrap w:val="0"/>
        <w:autoSpaceDE w:val="0"/>
        <w:autoSpaceDN w:val="0"/>
        <w:ind w:left="960" w:leftChars="200" w:hanging="480" w:hangingChars="200"/>
        <w:rPr>
          <w:rFonts w:ascii="宋体" w:hAnsi="宋体"/>
          <w:szCs w:val="24"/>
        </w:rPr>
      </w:pPr>
      <w:r>
        <w:rPr>
          <w:rFonts w:hint="eastAsia" w:ascii="宋体" w:hAnsi="宋体"/>
          <w:szCs w:val="24"/>
        </w:rPr>
        <w:t>（6）</w:t>
      </w:r>
      <w:r>
        <w:rPr>
          <w:rFonts w:hint="eastAsia" w:ascii="宋体" w:hAnsi="宋体"/>
          <w:szCs w:val="24"/>
        </w:rPr>
        <w:tab/>
      </w:r>
      <w:r>
        <w:rPr>
          <w:rFonts w:hint="eastAsia" w:ascii="宋体" w:hAnsi="宋体"/>
          <w:szCs w:val="24"/>
        </w:rPr>
        <w:t>供应商之间商定部分供应商放弃参加政府采购活动或者放弃成交；</w:t>
      </w:r>
    </w:p>
    <w:p>
      <w:pPr>
        <w:tabs>
          <w:tab w:val="left" w:pos="945"/>
        </w:tabs>
        <w:wordWrap w:val="0"/>
        <w:autoSpaceDE w:val="0"/>
        <w:autoSpaceDN w:val="0"/>
        <w:ind w:left="960" w:leftChars="200" w:hanging="480" w:hangingChars="200"/>
      </w:pPr>
      <w:r>
        <w:rPr>
          <w:rFonts w:hint="eastAsia" w:ascii="宋体" w:hAnsi="宋体"/>
          <w:szCs w:val="24"/>
        </w:rPr>
        <w:t>（7）</w:t>
      </w:r>
      <w:r>
        <w:rPr>
          <w:rFonts w:hint="eastAsia" w:ascii="宋体" w:hAnsi="宋体"/>
          <w:szCs w:val="24"/>
        </w:rPr>
        <w:tab/>
      </w:r>
      <w:r>
        <w:rPr>
          <w:rFonts w:hint="eastAsia" w:ascii="宋体" w:hAnsi="宋体"/>
          <w:szCs w:val="24"/>
        </w:rPr>
        <w:t>供应商与采购人或者采购代理机构之间、供应商相互之间，为谋求特定供应商成交或者排斥其他供应商的其他串通行为。</w:t>
      </w:r>
    </w:p>
    <w:p>
      <w:pPr>
        <w:pStyle w:val="5"/>
        <w:numPr>
          <w:ilvl w:val="0"/>
          <w:numId w:val="38"/>
        </w:numPr>
        <w:tabs>
          <w:tab w:val="left" w:pos="945"/>
        </w:tabs>
        <w:spacing w:before="0" w:after="0" w:line="360" w:lineRule="auto"/>
        <w:rPr>
          <w:rFonts w:ascii="宋体" w:hAnsi="宋体"/>
          <w:sz w:val="28"/>
          <w:szCs w:val="28"/>
        </w:rPr>
      </w:pPr>
      <w:bookmarkStart w:id="297" w:name="_Toc55398720"/>
      <w:bookmarkStart w:id="298" w:name="_Toc56180316"/>
      <w:r>
        <w:rPr>
          <w:rFonts w:hint="eastAsia" w:ascii="宋体" w:hAnsi="宋体"/>
          <w:sz w:val="28"/>
          <w:szCs w:val="28"/>
        </w:rPr>
        <w:t>磋商与评审方法</w:t>
      </w:r>
      <w:bookmarkEnd w:id="297"/>
      <w:bookmarkEnd w:id="298"/>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299" w:name="_Toc56180317"/>
      <w:bookmarkStart w:id="300" w:name="_Toc55398721"/>
      <w:r>
        <w:rPr>
          <w:rFonts w:hint="eastAsia" w:ascii="宋体" w:hAnsi="宋体"/>
          <w:sz w:val="24"/>
          <w:szCs w:val="24"/>
        </w:rPr>
        <w:t>磋商与评审方法</w:t>
      </w:r>
      <w:bookmarkEnd w:id="299"/>
      <w:bookmarkEnd w:id="300"/>
    </w:p>
    <w:p>
      <w:pPr>
        <w:numPr>
          <w:ilvl w:val="0"/>
          <w:numId w:val="43"/>
        </w:numPr>
        <w:wordWrap w:val="0"/>
        <w:autoSpaceDE w:val="0"/>
        <w:autoSpaceDN w:val="0"/>
        <w:ind w:left="960" w:hanging="960" w:hangingChars="400"/>
        <w:rPr>
          <w:rFonts w:ascii="宋体" w:hAnsi="宋体"/>
          <w:szCs w:val="24"/>
        </w:rPr>
      </w:pPr>
      <w:r>
        <w:rPr>
          <w:rFonts w:hint="eastAsia" w:ascii="宋体" w:hAnsi="宋体" w:cs="Arial"/>
          <w:szCs w:val="24"/>
          <w:lang w:val="zh-CN"/>
        </w:rPr>
        <w:t xml:space="preserve">    本次磋商采用一轮或多轮磋商，</w:t>
      </w:r>
      <w:r>
        <w:rPr>
          <w:rFonts w:hint="eastAsia" w:ascii="宋体" w:hAnsi="宋体"/>
          <w:szCs w:val="24"/>
        </w:rPr>
        <w:t>评审方法采用综合评分法。评审因素及评分分值详见《评审办法前附表》。</w:t>
      </w:r>
    </w:p>
    <w:p>
      <w:pPr>
        <w:pStyle w:val="5"/>
        <w:numPr>
          <w:ilvl w:val="0"/>
          <w:numId w:val="38"/>
        </w:numPr>
        <w:tabs>
          <w:tab w:val="left" w:pos="945"/>
        </w:tabs>
        <w:spacing w:before="0" w:after="0" w:line="360" w:lineRule="auto"/>
        <w:rPr>
          <w:rFonts w:ascii="宋体" w:hAnsi="宋体"/>
          <w:sz w:val="24"/>
          <w:szCs w:val="24"/>
        </w:rPr>
      </w:pPr>
      <w:bookmarkStart w:id="301" w:name="_Toc55398722"/>
      <w:bookmarkStart w:id="302" w:name="_Toc56180318"/>
      <w:r>
        <w:rPr>
          <w:rFonts w:hint="eastAsia" w:ascii="宋体" w:hAnsi="宋体"/>
          <w:sz w:val="24"/>
          <w:szCs w:val="24"/>
        </w:rPr>
        <w:t>磋商与评审程序</w:t>
      </w:r>
      <w:bookmarkEnd w:id="301"/>
      <w:bookmarkEnd w:id="302"/>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303" w:name="_Toc56180319"/>
      <w:bookmarkStart w:id="304" w:name="_Toc55398723"/>
      <w:r>
        <w:rPr>
          <w:rFonts w:hint="eastAsia" w:ascii="宋体" w:hAnsi="宋体"/>
          <w:sz w:val="24"/>
          <w:szCs w:val="24"/>
        </w:rPr>
        <w:t>资格审查和初步符合性审查</w:t>
      </w:r>
      <w:bookmarkEnd w:id="303"/>
      <w:bookmarkEnd w:id="304"/>
    </w:p>
    <w:p>
      <w:pPr>
        <w:numPr>
          <w:ilvl w:val="0"/>
          <w:numId w:val="44"/>
        </w:numPr>
        <w:wordWrap w:val="0"/>
        <w:autoSpaceDE w:val="0"/>
        <w:autoSpaceDN w:val="0"/>
        <w:ind w:left="960" w:hanging="960" w:hangingChars="400"/>
        <w:rPr>
          <w:rFonts w:ascii="宋体" w:hAnsi="宋体"/>
          <w:szCs w:val="24"/>
        </w:rPr>
      </w:pPr>
      <w:r>
        <w:rPr>
          <w:rFonts w:hint="eastAsia" w:ascii="宋体" w:hAnsi="宋体"/>
          <w:szCs w:val="24"/>
        </w:rPr>
        <w:t xml:space="preserve">    资格审查项目详见本部分附表《资格审查表》，未实质性响应磋商文件的响应文件按</w:t>
      </w:r>
      <w:r>
        <w:rPr>
          <w:rFonts w:hint="eastAsia" w:ascii="宋体" w:hAnsi="宋体"/>
          <w:b/>
          <w:szCs w:val="24"/>
        </w:rPr>
        <w:t>无效响应</w:t>
      </w:r>
      <w:r>
        <w:rPr>
          <w:rFonts w:hint="eastAsia" w:ascii="宋体" w:hAnsi="宋体"/>
          <w:szCs w:val="24"/>
        </w:rPr>
        <w:t>处理，不进入磋商，磋商小组应当告知提交响应文件的供应商。</w:t>
      </w:r>
    </w:p>
    <w:p>
      <w:pPr>
        <w:numPr>
          <w:ilvl w:val="0"/>
          <w:numId w:val="44"/>
        </w:numPr>
        <w:wordWrap w:val="0"/>
        <w:autoSpaceDE w:val="0"/>
        <w:autoSpaceDN w:val="0"/>
        <w:ind w:left="960" w:hanging="960" w:hangingChars="400"/>
        <w:rPr>
          <w:rFonts w:ascii="宋体" w:hAnsi="宋体"/>
          <w:szCs w:val="24"/>
        </w:rPr>
      </w:pPr>
      <w:r>
        <w:rPr>
          <w:rFonts w:hint="eastAsia" w:ascii="宋体" w:hAnsi="宋体"/>
          <w:szCs w:val="24"/>
        </w:rPr>
        <w:t xml:space="preserve">    磋商小组对通过资格审查供应商的首次响应文件进行初步符合性审查，审查项目详见本部分附表《符合性审查表》，未实质性响应磋商文件的响应文件按</w:t>
      </w:r>
      <w:r>
        <w:rPr>
          <w:rFonts w:hint="eastAsia" w:ascii="宋体" w:hAnsi="宋体"/>
          <w:b/>
          <w:szCs w:val="24"/>
        </w:rPr>
        <w:t>无效响应</w:t>
      </w:r>
      <w:r>
        <w:rPr>
          <w:rFonts w:hint="eastAsia" w:ascii="宋体" w:hAnsi="宋体"/>
          <w:szCs w:val="24"/>
        </w:rPr>
        <w:t>处理，不进入磋商，磋商小组应当告知提交响应文件的供应商。</w:t>
      </w:r>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305" w:name="_Toc55398724"/>
      <w:bookmarkStart w:id="306" w:name="_Toc56180320"/>
      <w:r>
        <w:rPr>
          <w:rFonts w:hint="eastAsia" w:ascii="宋体" w:hAnsi="宋体"/>
          <w:sz w:val="24"/>
          <w:szCs w:val="24"/>
        </w:rPr>
        <w:t>磋商过程</w:t>
      </w:r>
      <w:bookmarkEnd w:id="305"/>
      <w:bookmarkEnd w:id="306"/>
    </w:p>
    <w:p>
      <w:pPr>
        <w:numPr>
          <w:ilvl w:val="0"/>
          <w:numId w:val="45"/>
        </w:numPr>
        <w:wordWrap w:val="0"/>
        <w:autoSpaceDE w:val="0"/>
        <w:autoSpaceDN w:val="0"/>
        <w:ind w:left="960" w:hanging="960" w:hangingChars="400"/>
        <w:rPr>
          <w:rFonts w:ascii="宋体" w:hAnsi="宋体"/>
          <w:szCs w:val="24"/>
        </w:rPr>
      </w:pPr>
      <w:r>
        <w:rPr>
          <w:rFonts w:hint="eastAsia" w:ascii="宋体" w:hAnsi="宋体"/>
          <w:szCs w:val="24"/>
        </w:rPr>
        <w:t xml:space="preserve">     磋商小组邀请通过资格审查和初步符合性审查的供应商参加磋商。供应商由法定代表人或其委托代表凭身份证明按规定时间到达现场参加磋商（具体要求详见《评审办法前附表》，如未载明的，由磋商小组确定）。</w:t>
      </w:r>
    </w:p>
    <w:p>
      <w:pPr>
        <w:numPr>
          <w:ilvl w:val="0"/>
          <w:numId w:val="45"/>
        </w:numPr>
        <w:wordWrap w:val="0"/>
        <w:autoSpaceDE w:val="0"/>
        <w:autoSpaceDN w:val="0"/>
        <w:ind w:left="960" w:hanging="960" w:hangingChars="400"/>
        <w:rPr>
          <w:rFonts w:ascii="宋体" w:hAnsi="宋体"/>
          <w:szCs w:val="24"/>
        </w:rPr>
      </w:pPr>
      <w:r>
        <w:rPr>
          <w:rFonts w:hint="eastAsia" w:ascii="宋体" w:hAnsi="宋体"/>
          <w:szCs w:val="24"/>
        </w:rPr>
        <w:t xml:space="preserve">     磋商小组所有成员应当集中与单一供应商分别进行磋商，并给予所有参加磋商的供应商平等的磋商机会。</w:t>
      </w:r>
    </w:p>
    <w:p>
      <w:pPr>
        <w:numPr>
          <w:ilvl w:val="0"/>
          <w:numId w:val="45"/>
        </w:numPr>
        <w:wordWrap w:val="0"/>
        <w:autoSpaceDE w:val="0"/>
        <w:autoSpaceDN w:val="0"/>
        <w:ind w:left="960" w:hanging="960" w:hangingChars="400"/>
        <w:rPr>
          <w:rFonts w:ascii="宋体" w:hAnsi="宋体"/>
          <w:szCs w:val="24"/>
        </w:rPr>
      </w:pPr>
      <w:r>
        <w:rPr>
          <w:rFonts w:hint="eastAsia"/>
        </w:rPr>
        <w:t xml:space="preserve">     </w:t>
      </w:r>
      <w:r>
        <w:rPr>
          <w:rFonts w:hint="eastAsia"/>
          <w:szCs w:val="24"/>
        </w:rPr>
        <w:t>在磋商过程中，</w:t>
      </w:r>
      <w:r>
        <w:rPr>
          <w:rFonts w:hint="eastAsia" w:ascii="宋体" w:hAnsi="宋体"/>
          <w:szCs w:val="24"/>
        </w:rPr>
        <w:t>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w:t>
      </w:r>
    </w:p>
    <w:p>
      <w:pPr>
        <w:numPr>
          <w:ilvl w:val="0"/>
          <w:numId w:val="45"/>
        </w:numPr>
        <w:wordWrap w:val="0"/>
        <w:autoSpaceDE w:val="0"/>
        <w:autoSpaceDN w:val="0"/>
        <w:ind w:left="960" w:hanging="960" w:hangingChars="400"/>
        <w:rPr>
          <w:rFonts w:ascii="宋体" w:hAnsi="宋体"/>
          <w:szCs w:val="24"/>
        </w:rPr>
      </w:pPr>
      <w:r>
        <w:rPr>
          <w:rFonts w:hint="eastAsia" w:ascii="宋体" w:hAnsi="宋体"/>
          <w:szCs w:val="24"/>
        </w:rPr>
        <w:tab/>
      </w:r>
      <w:r>
        <w:rPr>
          <w:rFonts w:hint="eastAsia" w:ascii="宋体" w:hAnsi="宋体"/>
          <w:szCs w:val="24"/>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pPr>
        <w:numPr>
          <w:ilvl w:val="0"/>
          <w:numId w:val="45"/>
        </w:numPr>
        <w:wordWrap w:val="0"/>
        <w:autoSpaceDE w:val="0"/>
        <w:autoSpaceDN w:val="0"/>
        <w:ind w:left="960" w:hanging="960" w:hangingChars="400"/>
        <w:rPr>
          <w:rFonts w:ascii="宋体" w:hAnsi="宋体"/>
          <w:szCs w:val="24"/>
        </w:rPr>
      </w:pPr>
      <w:r>
        <w:rPr>
          <w:rFonts w:hint="eastAsia" w:ascii="宋体" w:hAnsi="宋体"/>
          <w:szCs w:val="24"/>
        </w:rPr>
        <w:t xml:space="preserve">     磋商文件能够详细列明采购标的的技术、服务要求的，磋商结束后，磋商小组应当要求所有实质性响应的供应商在规定时间内提交最后报价，提交最后报价的供应商不得少于3家。</w:t>
      </w:r>
    </w:p>
    <w:p>
      <w:pPr>
        <w:numPr>
          <w:ilvl w:val="0"/>
          <w:numId w:val="45"/>
        </w:numPr>
        <w:wordWrap w:val="0"/>
        <w:autoSpaceDE w:val="0"/>
        <w:autoSpaceDN w:val="0"/>
        <w:ind w:left="960" w:hanging="960" w:hangingChars="400"/>
        <w:rPr>
          <w:rFonts w:ascii="宋体" w:hAnsi="宋体"/>
          <w:szCs w:val="24"/>
        </w:rPr>
      </w:pPr>
      <w:r>
        <w:rPr>
          <w:rFonts w:hint="eastAsia" w:ascii="宋体" w:hAnsi="宋体"/>
          <w:szCs w:val="24"/>
        </w:rPr>
        <w:t xml:space="preserve">     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numPr>
          <w:ilvl w:val="0"/>
          <w:numId w:val="45"/>
        </w:numPr>
        <w:wordWrap w:val="0"/>
        <w:autoSpaceDE w:val="0"/>
        <w:autoSpaceDN w:val="0"/>
        <w:ind w:left="960" w:hanging="960" w:hangingChars="400"/>
        <w:rPr>
          <w:rFonts w:ascii="宋体" w:hAnsi="宋体"/>
          <w:szCs w:val="24"/>
        </w:rPr>
      </w:pPr>
      <w:r>
        <w:rPr>
          <w:rFonts w:hint="eastAsia" w:ascii="宋体" w:hAnsi="宋体"/>
          <w:szCs w:val="24"/>
        </w:rPr>
        <w:t xml:space="preserve">     最后报价时间由磋商小组决定，最后报价是供应商响应文件的有效组成部分。</w:t>
      </w:r>
      <w:r>
        <w:rPr>
          <w:rFonts w:hint="eastAsia" w:ascii="宋体" w:hAnsi="宋体"/>
          <w:szCs w:val="24"/>
        </w:rPr>
        <w:tab/>
      </w:r>
      <w:r>
        <w:rPr>
          <w:rFonts w:hint="eastAsia" w:ascii="宋体" w:hAnsi="宋体"/>
          <w:szCs w:val="24"/>
        </w:rPr>
        <w:t>符合本部分“最后报价供应商可以为2家的特殊情形”的，提交最后报价的供应商可以为2家。</w:t>
      </w:r>
    </w:p>
    <w:p>
      <w:pPr>
        <w:numPr>
          <w:ilvl w:val="0"/>
          <w:numId w:val="45"/>
        </w:numPr>
        <w:wordWrap w:val="0"/>
        <w:autoSpaceDE w:val="0"/>
        <w:autoSpaceDN w:val="0"/>
        <w:ind w:left="960" w:hanging="960" w:hangingChars="400"/>
        <w:rPr>
          <w:rFonts w:ascii="宋体" w:hAnsi="宋体"/>
          <w:b/>
          <w:szCs w:val="24"/>
        </w:rPr>
      </w:pPr>
      <w:r>
        <w:rPr>
          <w:rFonts w:hint="eastAsia" w:ascii="宋体" w:hAnsi="宋体"/>
          <w:szCs w:val="24"/>
        </w:rPr>
        <w:t xml:space="preserve">    </w:t>
      </w:r>
      <w:r>
        <w:rPr>
          <w:rFonts w:hint="eastAsia" w:ascii="宋体" w:hAnsi="宋体"/>
          <w:b/>
          <w:szCs w:val="24"/>
        </w:rPr>
        <w:t>最后报价供应商可以为2家的特殊情形：</w:t>
      </w:r>
    </w:p>
    <w:p>
      <w:pPr>
        <w:wordWrap w:val="0"/>
        <w:autoSpaceDE w:val="0"/>
        <w:autoSpaceDN w:val="0"/>
        <w:ind w:left="960" w:leftChars="200" w:hanging="480" w:hangingChars="200"/>
        <w:rPr>
          <w:rFonts w:ascii="宋体" w:hAnsi="宋体"/>
          <w:szCs w:val="24"/>
        </w:rPr>
      </w:pPr>
      <w:r>
        <w:rPr>
          <w:rFonts w:hint="eastAsia" w:ascii="宋体" w:hAnsi="宋体"/>
          <w:szCs w:val="24"/>
        </w:rPr>
        <w:t>（1）符合《政府采购竞争性磋商采购方式管理暂行办法》（财库〔2014〕214号）第三条第四项情形“市场竞争不充分的科研项目，以及需要扶持的科技成果转化项目”的，提交最后报价的供应商可以为2家。</w:t>
      </w:r>
    </w:p>
    <w:p>
      <w:pPr>
        <w:wordWrap w:val="0"/>
        <w:autoSpaceDE w:val="0"/>
        <w:autoSpaceDN w:val="0"/>
        <w:ind w:left="960" w:leftChars="200" w:hanging="480" w:hangingChars="200"/>
        <w:rPr>
          <w:rFonts w:ascii="宋体" w:hAnsi="宋体"/>
          <w:szCs w:val="24"/>
        </w:rPr>
      </w:pPr>
      <w:r>
        <w:rPr>
          <w:rFonts w:hint="eastAsia" w:ascii="宋体" w:hAnsi="宋体"/>
          <w:szCs w:val="24"/>
        </w:rPr>
        <w:t>（2）符合《财政部关于政府采购竞争性磋商采购方式管理暂行办法有关问题的补充通知》（财库〔2015〕124号）情形“政府购买服务项目（含政府和社会资本合作项目），在采购过程中符合要求的供应商（社会资本）只有2家的，竞争性磋商采购活动可以继续进行”。</w:t>
      </w:r>
      <w:r>
        <w:rPr>
          <w:rFonts w:hint="eastAsia" w:ascii="宋体" w:hAnsi="宋体"/>
          <w:szCs w:val="24"/>
        </w:rPr>
        <w:tab/>
      </w:r>
    </w:p>
    <w:p>
      <w:pPr>
        <w:numPr>
          <w:ilvl w:val="0"/>
          <w:numId w:val="45"/>
        </w:numPr>
        <w:wordWrap w:val="0"/>
        <w:autoSpaceDE w:val="0"/>
        <w:autoSpaceDN w:val="0"/>
        <w:ind w:left="960" w:hanging="960" w:hangingChars="400"/>
        <w:rPr>
          <w:rFonts w:ascii="宋体" w:hAnsi="宋体"/>
          <w:szCs w:val="24"/>
        </w:rPr>
      </w:pPr>
      <w:r>
        <w:rPr>
          <w:rFonts w:hint="eastAsia" w:ascii="宋体" w:hAnsi="宋体"/>
          <w:szCs w:val="24"/>
        </w:rPr>
        <w:t xml:space="preserve">    已提交首次响应文件的供应商，在提交最后报价之前，可以根据磋商情况退出磋商。退出磋商的供应商不进行后续评审。</w:t>
      </w:r>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307" w:name="_Toc55398725"/>
      <w:bookmarkStart w:id="308" w:name="_Toc56180321"/>
      <w:r>
        <w:rPr>
          <w:rFonts w:hint="eastAsia" w:ascii="宋体" w:hAnsi="宋体"/>
          <w:sz w:val="24"/>
          <w:szCs w:val="24"/>
        </w:rPr>
        <w:t>最终符合性审查</w:t>
      </w:r>
      <w:bookmarkEnd w:id="307"/>
      <w:bookmarkEnd w:id="308"/>
    </w:p>
    <w:p>
      <w:pPr>
        <w:numPr>
          <w:ilvl w:val="0"/>
          <w:numId w:val="46"/>
        </w:numPr>
        <w:ind w:left="960" w:hanging="960" w:hangingChars="400"/>
        <w:rPr>
          <w:rFonts w:ascii="宋体" w:hAnsi="宋体"/>
          <w:szCs w:val="24"/>
        </w:rPr>
      </w:pPr>
      <w:r>
        <w:rPr>
          <w:rFonts w:hint="eastAsia" w:ascii="宋体" w:hAnsi="宋体"/>
          <w:szCs w:val="24"/>
        </w:rPr>
        <w:t xml:space="preserve">     磋商小组对响应供应商的所有响应文件（包括首次响应文件，磋商过程中提交的澄清、说明或者更正文件，及最后报价文件）进行最终符合性审查，审查项目详见本部分附表《符合性审查表》，未实质性响应磋商文件的响应文件按</w:t>
      </w:r>
      <w:r>
        <w:rPr>
          <w:rFonts w:hint="eastAsia" w:ascii="宋体" w:hAnsi="宋体"/>
          <w:b/>
          <w:szCs w:val="24"/>
        </w:rPr>
        <w:t>无效响应</w:t>
      </w:r>
      <w:r>
        <w:rPr>
          <w:rFonts w:hint="eastAsia" w:ascii="宋体" w:hAnsi="宋体"/>
          <w:szCs w:val="24"/>
        </w:rPr>
        <w:t>处理，不进入后续综合评分，磋商小组应当告知提交响应文件的供应商。</w:t>
      </w:r>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309" w:name="_Toc56180322"/>
      <w:bookmarkStart w:id="310" w:name="_Toc55398726"/>
      <w:r>
        <w:rPr>
          <w:rFonts w:hint="eastAsia" w:ascii="宋体" w:hAnsi="宋体"/>
          <w:sz w:val="24"/>
          <w:szCs w:val="24"/>
        </w:rPr>
        <w:t>技术</w:t>
      </w:r>
      <w:r>
        <w:rPr>
          <w:rFonts w:ascii="宋体" w:hAnsi="宋体"/>
          <w:sz w:val="24"/>
          <w:szCs w:val="24"/>
        </w:rPr>
        <w:t>/服务</w:t>
      </w:r>
      <w:r>
        <w:rPr>
          <w:rFonts w:hint="eastAsia" w:ascii="宋体" w:hAnsi="宋体"/>
          <w:sz w:val="24"/>
          <w:szCs w:val="24"/>
        </w:rPr>
        <w:t>评审及商务评审</w:t>
      </w:r>
      <w:bookmarkEnd w:id="309"/>
      <w:bookmarkEnd w:id="310"/>
    </w:p>
    <w:p>
      <w:pPr>
        <w:numPr>
          <w:ilvl w:val="0"/>
          <w:numId w:val="47"/>
        </w:numPr>
        <w:wordWrap w:val="0"/>
        <w:autoSpaceDE w:val="0"/>
        <w:autoSpaceDN w:val="0"/>
        <w:ind w:left="960" w:hanging="964" w:hangingChars="400"/>
        <w:rPr>
          <w:rFonts w:ascii="宋体" w:hAnsi="宋体"/>
          <w:szCs w:val="24"/>
        </w:rPr>
      </w:pPr>
      <w:r>
        <w:rPr>
          <w:rFonts w:hint="eastAsia" w:ascii="宋体" w:hAnsi="宋体"/>
          <w:b/>
          <w:szCs w:val="24"/>
        </w:rPr>
        <w:t xml:space="preserve">    </w:t>
      </w:r>
      <w:r>
        <w:rPr>
          <w:rFonts w:hint="eastAsia" w:ascii="宋体" w:hAnsi="宋体"/>
          <w:szCs w:val="24"/>
        </w:rPr>
        <w:t>磋商小组各成员依据磋商文件规定的技术</w:t>
      </w:r>
      <w:r>
        <w:rPr>
          <w:rFonts w:ascii="宋体" w:hAnsi="宋体"/>
          <w:szCs w:val="24"/>
        </w:rPr>
        <w:t>/服务</w:t>
      </w:r>
      <w:r>
        <w:rPr>
          <w:rFonts w:hint="eastAsia" w:ascii="宋体" w:hAnsi="宋体"/>
          <w:szCs w:val="24"/>
        </w:rPr>
        <w:t>、商务评审因素独立对每个有效响应的文件进行评价、打分，然后汇总每个供应商每项评分因素的得分。</w:t>
      </w:r>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311" w:name="_Toc56180323"/>
      <w:bookmarkStart w:id="312" w:name="_Toc55398727"/>
      <w:r>
        <w:rPr>
          <w:rFonts w:hint="eastAsia" w:ascii="宋体" w:hAnsi="宋体"/>
          <w:sz w:val="24"/>
          <w:szCs w:val="24"/>
        </w:rPr>
        <w:t>价格评审</w:t>
      </w:r>
      <w:bookmarkEnd w:id="311"/>
      <w:bookmarkEnd w:id="312"/>
    </w:p>
    <w:p>
      <w:pPr>
        <w:numPr>
          <w:ilvl w:val="0"/>
          <w:numId w:val="48"/>
        </w:numPr>
        <w:wordWrap w:val="0"/>
        <w:autoSpaceDE w:val="0"/>
        <w:autoSpaceDN w:val="0"/>
        <w:ind w:left="960" w:hanging="964" w:hangingChars="400"/>
        <w:rPr>
          <w:rFonts w:ascii="宋体" w:hAnsi="宋体"/>
          <w:szCs w:val="24"/>
        </w:rPr>
      </w:pPr>
      <w:r>
        <w:rPr>
          <w:rFonts w:hint="eastAsia" w:ascii="宋体" w:hAnsi="宋体"/>
          <w:b/>
          <w:szCs w:val="24"/>
        </w:rPr>
        <w:t xml:space="preserve">    </w:t>
      </w:r>
      <w:r>
        <w:rPr>
          <w:rFonts w:hint="eastAsia" w:ascii="宋体" w:hAnsi="宋体"/>
          <w:szCs w:val="24"/>
        </w:rPr>
        <w:t>价格核准（核实价的确定）：磋商小组对有效供应商的最后报价进行复核，修正错误的原则详见上述第3.5.1条的规定。经修正后的报价即为核实价。</w:t>
      </w:r>
    </w:p>
    <w:p>
      <w:pPr>
        <w:numPr>
          <w:ilvl w:val="0"/>
          <w:numId w:val="48"/>
        </w:numPr>
        <w:wordWrap w:val="0"/>
        <w:autoSpaceDE w:val="0"/>
        <w:autoSpaceDN w:val="0"/>
        <w:ind w:left="960" w:hanging="960" w:hangingChars="400"/>
        <w:rPr>
          <w:rFonts w:ascii="宋体" w:hAnsi="宋体"/>
          <w:szCs w:val="24"/>
        </w:rPr>
      </w:pPr>
      <w:r>
        <w:rPr>
          <w:rFonts w:hint="eastAsia" w:ascii="宋体" w:hAnsi="宋体"/>
          <w:szCs w:val="24"/>
        </w:rPr>
        <w:t xml:space="preserve"> </w:t>
      </w:r>
      <w:r>
        <w:rPr>
          <w:rFonts w:hint="eastAsia" w:ascii="宋体" w:hAnsi="宋体"/>
          <w:szCs w:val="24"/>
        </w:rPr>
        <w:tab/>
      </w:r>
      <w:r>
        <w:rPr>
          <w:rFonts w:hint="eastAsia" w:ascii="宋体" w:hAnsi="宋体"/>
          <w:szCs w:val="24"/>
        </w:rPr>
        <w:t>价格扣除（如适用）：磋商小组根据政府采购政策功能，对符合条件的供应商报价进行价格扣除，详见《评审办法前附表》和本部分附件《政策功能性评审优惠》。</w:t>
      </w:r>
    </w:p>
    <w:p>
      <w:pPr>
        <w:numPr>
          <w:ilvl w:val="0"/>
          <w:numId w:val="48"/>
        </w:numPr>
        <w:wordWrap w:val="0"/>
        <w:autoSpaceDE w:val="0"/>
        <w:autoSpaceDN w:val="0"/>
        <w:ind w:left="960" w:hanging="960" w:hangingChars="400"/>
        <w:rPr>
          <w:rFonts w:ascii="宋体" w:hAnsi="宋体"/>
          <w:szCs w:val="24"/>
        </w:rPr>
      </w:pPr>
      <w:r>
        <w:rPr>
          <w:rFonts w:hint="eastAsia" w:ascii="宋体" w:hAnsi="宋体"/>
          <w:szCs w:val="24"/>
        </w:rPr>
        <w:t xml:space="preserve">   评审价的确定：磋商小组经上述步骤进行价格评审后，得出各有效供应商的评审价（指最后报价经算术修正和落实政府采购政策需进行的价格扣除后的价格）。</w:t>
      </w:r>
    </w:p>
    <w:p>
      <w:pPr>
        <w:numPr>
          <w:ilvl w:val="0"/>
          <w:numId w:val="48"/>
        </w:numPr>
        <w:wordWrap w:val="0"/>
        <w:autoSpaceDE w:val="0"/>
        <w:autoSpaceDN w:val="0"/>
        <w:ind w:left="960" w:hanging="960" w:hangingChars="400"/>
        <w:rPr>
          <w:rFonts w:ascii="宋体" w:hAnsi="宋体"/>
          <w:szCs w:val="24"/>
        </w:rPr>
      </w:pPr>
      <w:r>
        <w:rPr>
          <w:rFonts w:hint="eastAsia" w:ascii="宋体" w:hAnsi="宋体"/>
          <w:szCs w:val="24"/>
        </w:rPr>
        <w:t xml:space="preserve">    价格评审结果：项目评审过程中，不得去除最后报价中的最高报价和最低报价。价格分统一采用低价优先法计算，即满足磋商文件要求且最后报价最低的供应商的价格为磋商基准价，其价格分为满分。因落实政府采购政策进行价格扣除的，以扣除后的价格（即评审价）计算磋商基准价和最后磋商报价。价格分计算详见《价格评审表》。</w:t>
      </w:r>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313" w:name="_Toc55398728"/>
      <w:bookmarkStart w:id="314" w:name="_Toc56180324"/>
      <w:r>
        <w:rPr>
          <w:rFonts w:hint="eastAsia" w:ascii="宋体" w:hAnsi="宋体"/>
          <w:sz w:val="24"/>
          <w:szCs w:val="24"/>
        </w:rPr>
        <w:t>评分汇总</w:t>
      </w:r>
      <w:bookmarkEnd w:id="313"/>
      <w:bookmarkEnd w:id="314"/>
    </w:p>
    <w:p>
      <w:pPr>
        <w:numPr>
          <w:ilvl w:val="0"/>
          <w:numId w:val="49"/>
        </w:numPr>
        <w:tabs>
          <w:tab w:val="left" w:pos="945"/>
        </w:tabs>
        <w:wordWrap w:val="0"/>
        <w:autoSpaceDE w:val="0"/>
        <w:autoSpaceDN w:val="0"/>
        <w:ind w:left="960" w:hanging="964" w:hangingChars="400"/>
        <w:rPr>
          <w:rFonts w:ascii="宋体" w:hAnsi="宋体"/>
        </w:rPr>
      </w:pPr>
      <w:bookmarkStart w:id="315" w:name="_Toc47525140"/>
      <w:bookmarkEnd w:id="315"/>
      <w:bookmarkStart w:id="316" w:name="_Toc44688184"/>
      <w:bookmarkEnd w:id="316"/>
      <w:bookmarkStart w:id="317" w:name="_Toc47459108"/>
      <w:bookmarkEnd w:id="317"/>
      <w:bookmarkStart w:id="318" w:name="_Toc46305929"/>
      <w:bookmarkEnd w:id="318"/>
      <w:bookmarkStart w:id="319" w:name="_Toc44687958"/>
      <w:bookmarkEnd w:id="319"/>
      <w:bookmarkStart w:id="320" w:name="_Toc44687592"/>
      <w:bookmarkEnd w:id="320"/>
      <w:r>
        <w:rPr>
          <w:rFonts w:hint="eastAsia" w:ascii="宋体" w:hAnsi="宋体"/>
          <w:b/>
          <w:szCs w:val="24"/>
        </w:rPr>
        <w:t>综合得分汇总：</w:t>
      </w:r>
    </w:p>
    <w:p>
      <w:pPr>
        <w:ind w:left="960" w:leftChars="350" w:hanging="120" w:hangingChars="50"/>
        <w:rPr>
          <w:rFonts w:ascii="宋体" w:hAnsi="宋体"/>
          <w:szCs w:val="24"/>
        </w:rPr>
      </w:pPr>
      <w:r>
        <w:rPr>
          <w:rFonts w:hint="eastAsia" w:ascii="宋体" w:hAnsi="宋体"/>
          <w:szCs w:val="24"/>
        </w:rPr>
        <w:t>综合得分计算详见《评审办法前附表》。</w:t>
      </w:r>
    </w:p>
    <w:p>
      <w:pPr>
        <w:numPr>
          <w:ilvl w:val="0"/>
          <w:numId w:val="49"/>
        </w:numPr>
        <w:tabs>
          <w:tab w:val="left" w:pos="945"/>
        </w:tabs>
        <w:wordWrap w:val="0"/>
        <w:autoSpaceDE w:val="0"/>
        <w:autoSpaceDN w:val="0"/>
        <w:ind w:left="960" w:hanging="960" w:hangingChars="400"/>
        <w:rPr>
          <w:rFonts w:ascii="宋体" w:hAnsi="宋体"/>
          <w:szCs w:val="24"/>
        </w:rPr>
      </w:pPr>
      <w:r>
        <w:rPr>
          <w:rFonts w:hint="eastAsia" w:ascii="宋体" w:hAnsi="宋体"/>
          <w:szCs w:val="24"/>
        </w:rPr>
        <w:t>除下列情形外，采购人或者采购代理机构不得以任何理由组织重新评审。采购人、采购代理机构发现磋商小组未按照磋商文件规定的评审标准进行评审的，应当重新开展采购活动，并同时书面报告本级财政部门。</w:t>
      </w:r>
    </w:p>
    <w:p>
      <w:pPr>
        <w:numPr>
          <w:ilvl w:val="0"/>
          <w:numId w:val="50"/>
        </w:numPr>
        <w:rPr>
          <w:rFonts w:ascii="宋体" w:hAnsi="宋体"/>
          <w:szCs w:val="24"/>
        </w:rPr>
      </w:pPr>
      <w:r>
        <w:rPr>
          <w:rFonts w:hint="eastAsia" w:ascii="宋体" w:hAnsi="宋体"/>
          <w:szCs w:val="24"/>
        </w:rPr>
        <w:t>资格性检查认定错误；</w:t>
      </w:r>
    </w:p>
    <w:p>
      <w:pPr>
        <w:numPr>
          <w:ilvl w:val="0"/>
          <w:numId w:val="50"/>
        </w:numPr>
        <w:rPr>
          <w:rFonts w:ascii="宋体" w:hAnsi="宋体"/>
          <w:szCs w:val="24"/>
        </w:rPr>
      </w:pPr>
      <w:r>
        <w:rPr>
          <w:rFonts w:hint="eastAsia" w:ascii="宋体" w:hAnsi="宋体"/>
          <w:szCs w:val="24"/>
        </w:rPr>
        <w:t>分值汇总计算错误；</w:t>
      </w:r>
    </w:p>
    <w:p>
      <w:pPr>
        <w:numPr>
          <w:ilvl w:val="0"/>
          <w:numId w:val="50"/>
        </w:numPr>
        <w:rPr>
          <w:rFonts w:ascii="宋体" w:hAnsi="宋体"/>
          <w:szCs w:val="24"/>
        </w:rPr>
      </w:pPr>
      <w:r>
        <w:rPr>
          <w:rFonts w:hint="eastAsia" w:ascii="宋体" w:hAnsi="宋体"/>
          <w:szCs w:val="24"/>
        </w:rPr>
        <w:t>分项评分超出评分标准范围；</w:t>
      </w:r>
    </w:p>
    <w:p>
      <w:pPr>
        <w:numPr>
          <w:ilvl w:val="0"/>
          <w:numId w:val="50"/>
        </w:numPr>
        <w:rPr>
          <w:rFonts w:ascii="宋体" w:hAnsi="宋体"/>
          <w:szCs w:val="24"/>
        </w:rPr>
      </w:pPr>
      <w:r>
        <w:rPr>
          <w:rFonts w:hint="eastAsia" w:ascii="宋体" w:hAnsi="宋体"/>
          <w:szCs w:val="24"/>
        </w:rPr>
        <w:t>客观分评分不一致；</w:t>
      </w:r>
    </w:p>
    <w:p>
      <w:pPr>
        <w:numPr>
          <w:ilvl w:val="0"/>
          <w:numId w:val="50"/>
        </w:numPr>
        <w:rPr>
          <w:rFonts w:ascii="宋体" w:hAnsi="宋体"/>
          <w:szCs w:val="24"/>
        </w:rPr>
      </w:pPr>
      <w:r>
        <w:rPr>
          <w:rFonts w:hint="eastAsia" w:ascii="宋体" w:hAnsi="宋体"/>
          <w:szCs w:val="24"/>
        </w:rPr>
        <w:t>经磋商小组一致认定评分畸高、畸低。</w:t>
      </w:r>
    </w:p>
    <w:p>
      <w:pPr>
        <w:ind w:left="960" w:hanging="960" w:hangingChars="400"/>
        <w:rPr>
          <w:rFonts w:ascii="宋体" w:hAnsi="宋体"/>
          <w:szCs w:val="24"/>
        </w:rPr>
      </w:pPr>
      <w:r>
        <w:rPr>
          <w:rFonts w:hint="eastAsia" w:ascii="宋体" w:hAnsi="宋体"/>
          <w:szCs w:val="24"/>
        </w:rPr>
        <w:t xml:space="preserve">           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财政部门。</w:t>
      </w:r>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321" w:name="_Toc56180325"/>
      <w:bookmarkStart w:id="322" w:name="_Toc55398729"/>
      <w:r>
        <w:rPr>
          <w:rFonts w:hint="eastAsia" w:ascii="宋体" w:hAnsi="宋体"/>
          <w:sz w:val="24"/>
          <w:szCs w:val="24"/>
        </w:rPr>
        <w:t>评审结果排序与推荐成交候选供应商</w:t>
      </w:r>
      <w:bookmarkEnd w:id="321"/>
      <w:bookmarkEnd w:id="322"/>
    </w:p>
    <w:p>
      <w:pPr>
        <w:numPr>
          <w:ilvl w:val="1"/>
          <w:numId w:val="51"/>
        </w:numPr>
        <w:tabs>
          <w:tab w:val="left" w:pos="945"/>
        </w:tabs>
        <w:wordWrap w:val="0"/>
        <w:autoSpaceDE w:val="0"/>
        <w:autoSpaceDN w:val="0"/>
        <w:ind w:left="960" w:hanging="960" w:hangingChars="400"/>
        <w:rPr>
          <w:rFonts w:ascii="宋体" w:hAnsi="宋体"/>
          <w:szCs w:val="24"/>
        </w:rPr>
      </w:pPr>
      <w:r>
        <w:rPr>
          <w:rFonts w:hint="eastAsia" w:ascii="宋体" w:hAnsi="宋体"/>
          <w:szCs w:val="24"/>
        </w:rPr>
        <w:t>磋商小组应当根据综合评分情况，按照评审得分由高到低顺序推荐3名成交候选供应商。符合本部分“最后报价供应商可以为2家的特殊情形”的，可以推荐2家成交候选供应商。评审总得分相同的，按照最后报价</w:t>
      </w:r>
      <w:r>
        <w:rPr>
          <w:rFonts w:hint="eastAsia" w:ascii="宋体" w:hAnsi="宋体"/>
        </w:rPr>
        <w:t>（指未经价格扣除的最后报价）</w:t>
      </w:r>
      <w:r>
        <w:rPr>
          <w:rFonts w:hint="eastAsia" w:ascii="宋体" w:hAnsi="宋体"/>
          <w:szCs w:val="24"/>
        </w:rPr>
        <w:t>由低到高的顺序推荐。评审总得分且最后报价相同的，按照技术指标优劣顺序</w:t>
      </w:r>
      <w:r>
        <w:rPr>
          <w:rFonts w:hint="eastAsia" w:ascii="宋体" w:hAnsi="宋体" w:cs="宋体"/>
          <w:lang w:eastAsia="zh-TW"/>
        </w:rPr>
        <w:t>（技术</w:t>
      </w:r>
      <w:r>
        <w:rPr>
          <w:rFonts w:ascii="宋体" w:hAnsi="宋体" w:cs="宋体"/>
          <w:lang w:eastAsia="zh-TW"/>
        </w:rPr>
        <w:t>/服务</w:t>
      </w:r>
      <w:r>
        <w:rPr>
          <w:rFonts w:hint="eastAsia" w:ascii="宋体" w:hAnsi="宋体" w:cs="宋体"/>
          <w:lang w:eastAsia="zh-TW"/>
        </w:rPr>
        <w:t>部分得分由高到低的顺序）</w:t>
      </w:r>
      <w:r>
        <w:rPr>
          <w:rFonts w:hint="eastAsia" w:ascii="宋体" w:hAnsi="宋体"/>
          <w:szCs w:val="24"/>
        </w:rPr>
        <w:t>推荐。</w:t>
      </w:r>
      <w:r>
        <w:rPr>
          <w:rFonts w:hint="eastAsia" w:ascii="宋体" w:hAnsi="宋体"/>
        </w:rPr>
        <w:t>如</w:t>
      </w:r>
      <w:r>
        <w:rPr>
          <w:rFonts w:hint="eastAsia" w:ascii="宋体" w:hAnsi="宋体" w:cs="宋体"/>
          <w:lang w:eastAsia="zh-TW"/>
        </w:rPr>
        <w:t>技术</w:t>
      </w:r>
      <w:r>
        <w:rPr>
          <w:rFonts w:ascii="宋体" w:hAnsi="宋体" w:cs="宋体"/>
          <w:lang w:eastAsia="zh-TW"/>
        </w:rPr>
        <w:t>/服务</w:t>
      </w:r>
      <w:r>
        <w:rPr>
          <w:rFonts w:hint="eastAsia" w:ascii="宋体" w:hAnsi="宋体" w:cs="宋体"/>
          <w:lang w:eastAsia="zh-TW"/>
        </w:rPr>
        <w:t>部分</w:t>
      </w:r>
      <w:r>
        <w:rPr>
          <w:rFonts w:hint="eastAsia" w:ascii="宋体" w:hAnsi="宋体"/>
        </w:rPr>
        <w:t>得分仍然相同的，则按随机抽取的方式推荐</w:t>
      </w:r>
      <w:r>
        <w:rPr>
          <w:rFonts w:ascii="宋体" w:hAnsi="宋体"/>
        </w:rPr>
        <w:t>。</w:t>
      </w:r>
    </w:p>
    <w:p>
      <w:pPr>
        <w:numPr>
          <w:ilvl w:val="1"/>
          <w:numId w:val="51"/>
        </w:numPr>
        <w:tabs>
          <w:tab w:val="left" w:pos="945"/>
        </w:tabs>
        <w:wordWrap w:val="0"/>
        <w:autoSpaceDE w:val="0"/>
        <w:autoSpaceDN w:val="0"/>
        <w:ind w:left="960" w:hanging="960" w:hangingChars="400"/>
        <w:rPr>
          <w:rFonts w:ascii="宋体" w:hAnsi="宋体"/>
          <w:szCs w:val="24"/>
        </w:rPr>
      </w:pPr>
      <w:r>
        <w:rPr>
          <w:rFonts w:hint="eastAsia" w:ascii="宋体" w:hAnsi="宋体"/>
          <w:szCs w:val="24"/>
        </w:rPr>
        <w:t>编写评审报告：磋商小组根据全体成员签字的原始评审记录和评审结果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323" w:name="_Toc55398730"/>
      <w:bookmarkStart w:id="324" w:name="_Toc56180326"/>
      <w:r>
        <w:rPr>
          <w:rFonts w:hint="eastAsia" w:ascii="宋体" w:hAnsi="宋体"/>
          <w:sz w:val="24"/>
          <w:szCs w:val="24"/>
        </w:rPr>
        <w:t>确定成交供应商</w:t>
      </w:r>
      <w:bookmarkEnd w:id="323"/>
      <w:bookmarkEnd w:id="324"/>
    </w:p>
    <w:p>
      <w:pPr>
        <w:numPr>
          <w:ilvl w:val="0"/>
          <w:numId w:val="52"/>
        </w:numPr>
        <w:tabs>
          <w:tab w:val="left" w:pos="945"/>
        </w:tabs>
        <w:wordWrap w:val="0"/>
        <w:autoSpaceDE w:val="0"/>
        <w:autoSpaceDN w:val="0"/>
        <w:ind w:left="960" w:hanging="960" w:hangingChars="400"/>
        <w:rPr>
          <w:rFonts w:ascii="宋体" w:hAnsi="宋体"/>
          <w:szCs w:val="24"/>
        </w:rPr>
      </w:pPr>
      <w:r>
        <w:rPr>
          <w:rFonts w:hint="eastAsia" w:ascii="宋体" w:hAnsi="宋体"/>
          <w:szCs w:val="24"/>
        </w:rPr>
        <w:t>根据磋商小组的评审结果，</w:t>
      </w:r>
      <w:r>
        <w:rPr>
          <w:rFonts w:hint="eastAsia" w:ascii="宋体" w:hAnsi="宋体"/>
          <w:szCs w:val="24"/>
        </w:rPr>
        <w:tab/>
      </w:r>
      <w:r>
        <w:rPr>
          <w:rFonts w:hint="eastAsia" w:ascii="宋体" w:hAnsi="宋体"/>
          <w:szCs w:val="24"/>
        </w:rPr>
        <w:t>成交供应商的确定详见《供应商须知》第20.条。</w:t>
      </w:r>
    </w:p>
    <w:p>
      <w:pPr>
        <w:numPr>
          <w:ilvl w:val="0"/>
          <w:numId w:val="52"/>
        </w:numPr>
        <w:tabs>
          <w:tab w:val="left" w:pos="945"/>
        </w:tabs>
        <w:wordWrap w:val="0"/>
        <w:autoSpaceDE w:val="0"/>
        <w:autoSpaceDN w:val="0"/>
        <w:ind w:left="960" w:hanging="960" w:hangingChars="400"/>
        <w:rPr>
          <w:rFonts w:ascii="宋体" w:hAnsi="宋体"/>
          <w:szCs w:val="24"/>
        </w:rPr>
      </w:pPr>
      <w:r>
        <w:rPr>
          <w:rFonts w:hint="eastAsia" w:ascii="宋体" w:hAnsi="宋体"/>
          <w:szCs w:val="24"/>
        </w:rPr>
        <w:t>成交价的确定：评审价仅用于计算价格评分和排序。除了按本部分第3.5.1条进行算术修正并经供应商确认的最后报价总价作为成交价总价外，成交价总价以最后报价总价为准。</w:t>
      </w:r>
    </w:p>
    <w:p>
      <w:pPr>
        <w:numPr>
          <w:ilvl w:val="0"/>
          <w:numId w:val="52"/>
        </w:numPr>
        <w:tabs>
          <w:tab w:val="left" w:pos="945"/>
        </w:tabs>
        <w:wordWrap w:val="0"/>
        <w:autoSpaceDE w:val="0"/>
        <w:autoSpaceDN w:val="0"/>
        <w:ind w:left="960" w:hanging="960" w:hangingChars="400"/>
        <w:rPr>
          <w:rFonts w:ascii="宋体" w:hAnsi="宋体"/>
          <w:szCs w:val="24"/>
        </w:rPr>
      </w:pPr>
      <w:r>
        <w:rPr>
          <w:rFonts w:hint="eastAsia" w:ascii="宋体" w:hAnsi="宋体"/>
          <w:szCs w:val="24"/>
        </w:rPr>
        <w:tab/>
      </w:r>
      <w:r>
        <w:rPr>
          <w:rFonts w:hint="eastAsia" w:ascii="宋体" w:hAnsi="宋体"/>
          <w:szCs w:val="24"/>
        </w:rPr>
        <w:t>供应商首次报价总价与最后报价总价不一致且供应商未对构成最后报价的组成部分和标的单价做出明细报价时，除磋商文件另有规定外，成交供应商对应首次报价中的相应标的，未做出明细报价的部分最终报价和标的最终报价单价按以下公式确定：</w:t>
      </w:r>
    </w:p>
    <w:p>
      <w:pPr>
        <w:numPr>
          <w:ilvl w:val="2"/>
          <w:numId w:val="42"/>
        </w:numPr>
        <w:tabs>
          <w:tab w:val="left" w:pos="945"/>
        </w:tabs>
        <w:wordWrap w:val="0"/>
        <w:autoSpaceDE w:val="0"/>
        <w:autoSpaceDN w:val="0"/>
        <w:ind w:left="960" w:hanging="960" w:hangingChars="400"/>
        <w:rPr>
          <w:rFonts w:ascii="宋体" w:hAnsi="宋体"/>
          <w:szCs w:val="24"/>
        </w:rPr>
      </w:pPr>
      <w:r>
        <w:rPr>
          <w:rFonts w:hint="eastAsia" w:ascii="宋体" w:hAnsi="宋体"/>
          <w:szCs w:val="24"/>
        </w:rPr>
        <w:t>未做出明细报价的部分最终报价=未做出明细报价的部分首次报价×（最后报价总价-磋商文件规定采用固定报价部分的报价-已做出明细报价的部分最后报价）÷（首次报价总价-磋商文件规定采用固定报价部分的报价-已做出明细报价的部分首次报价）。</w:t>
      </w:r>
    </w:p>
    <w:p>
      <w:pPr>
        <w:numPr>
          <w:ilvl w:val="2"/>
          <w:numId w:val="42"/>
        </w:numPr>
        <w:tabs>
          <w:tab w:val="left" w:pos="945"/>
        </w:tabs>
        <w:wordWrap w:val="0"/>
        <w:autoSpaceDE w:val="0"/>
        <w:autoSpaceDN w:val="0"/>
        <w:ind w:left="960" w:hanging="960" w:hangingChars="400"/>
        <w:rPr>
          <w:rFonts w:ascii="宋体" w:hAnsi="宋体"/>
          <w:szCs w:val="24"/>
        </w:rPr>
      </w:pPr>
      <w:r>
        <w:rPr>
          <w:rFonts w:hint="eastAsia" w:ascii="宋体" w:hAnsi="宋体"/>
          <w:szCs w:val="24"/>
        </w:rPr>
        <w:tab/>
      </w:r>
      <w:r>
        <w:rPr>
          <w:rFonts w:hint="eastAsia" w:ascii="宋体" w:hAnsi="宋体"/>
          <w:szCs w:val="24"/>
        </w:rPr>
        <w:t>未做出明细报价的标的最终报价单价=未做出明细报价的部分首次报价单价×（最后报价总价-磋商文件规定采用固定报价部分的报价-已做出明细报价的部分最后报价）÷（首次报价总价-磋商文件规定采用固定报价部分的报价-已做出明细报价的部分首次报价）。</w:t>
      </w:r>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325" w:name="_Toc56180327"/>
      <w:bookmarkStart w:id="326" w:name="_Toc55398731"/>
      <w:r>
        <w:rPr>
          <w:rFonts w:hint="eastAsia" w:ascii="宋体" w:hAnsi="宋体"/>
          <w:sz w:val="24"/>
          <w:szCs w:val="24"/>
        </w:rPr>
        <w:t>终止采购活动</w:t>
      </w:r>
      <w:bookmarkEnd w:id="325"/>
      <w:bookmarkEnd w:id="326"/>
    </w:p>
    <w:p>
      <w:pPr>
        <w:pStyle w:val="38"/>
        <w:ind w:firstLine="0" w:firstLineChars="0"/>
        <w:rPr>
          <w:rFonts w:ascii="宋体" w:hAnsi="宋体"/>
          <w:szCs w:val="24"/>
        </w:rPr>
      </w:pPr>
      <w:r>
        <w:rPr>
          <w:rFonts w:hint="eastAsia" w:ascii="宋体" w:hAnsi="宋体"/>
          <w:szCs w:val="24"/>
        </w:rPr>
        <w:t>13.1   出现下列情形之一的，采购人终止竞争性磋商采购活动：</w:t>
      </w:r>
    </w:p>
    <w:p>
      <w:pPr>
        <w:pStyle w:val="38"/>
        <w:ind w:left="1080" w:leftChars="250" w:hanging="480" w:hangingChars="200"/>
        <w:rPr>
          <w:rFonts w:ascii="宋体" w:hAnsi="宋体"/>
          <w:szCs w:val="24"/>
        </w:rPr>
      </w:pPr>
      <w:r>
        <w:rPr>
          <w:rFonts w:hint="eastAsia" w:ascii="宋体" w:hAnsi="宋体"/>
          <w:szCs w:val="24"/>
        </w:rPr>
        <w:t>（1）因情况变化，不再符合规定的竞争性磋商采购方式适用情形的；</w:t>
      </w:r>
    </w:p>
    <w:p>
      <w:pPr>
        <w:pStyle w:val="38"/>
        <w:ind w:left="1080" w:leftChars="250" w:hanging="480" w:hangingChars="200"/>
        <w:rPr>
          <w:rFonts w:ascii="宋体" w:hAnsi="宋体"/>
          <w:szCs w:val="24"/>
        </w:rPr>
      </w:pPr>
      <w:r>
        <w:rPr>
          <w:rFonts w:hint="eastAsia" w:ascii="宋体" w:hAnsi="宋体"/>
          <w:szCs w:val="24"/>
        </w:rPr>
        <w:t>（2）出现影响采购公正的违法、违规行为的；</w:t>
      </w:r>
    </w:p>
    <w:p>
      <w:pPr>
        <w:pStyle w:val="38"/>
        <w:ind w:left="1080" w:leftChars="250" w:hanging="480" w:hangingChars="200"/>
        <w:rPr>
          <w:rFonts w:ascii="宋体" w:hAnsi="宋体"/>
          <w:szCs w:val="24"/>
        </w:rPr>
      </w:pPr>
      <w:r>
        <w:rPr>
          <w:rFonts w:hint="eastAsia" w:ascii="宋体" w:hAnsi="宋体"/>
          <w:szCs w:val="24"/>
        </w:rPr>
        <w:t>（3）除法律规定的情形外（指最后报价供应商可以为2家的特殊情形），在采购过程中符合要求的供应商或者报价未超过采购预算的供应商不足3家的。</w:t>
      </w:r>
    </w:p>
    <w:p>
      <w:pPr>
        <w:pStyle w:val="38"/>
        <w:ind w:left="1080" w:leftChars="250" w:hanging="480" w:hangingChars="200"/>
        <w:rPr>
          <w:rFonts w:ascii="宋体" w:hAnsi="宋体"/>
          <w:szCs w:val="24"/>
        </w:rPr>
      </w:pPr>
      <w:r>
        <w:rPr>
          <w:rFonts w:hint="eastAsia" w:ascii="宋体" w:hAnsi="宋体"/>
          <w:szCs w:val="24"/>
        </w:rPr>
        <w:t>（4）在采购活动中因重大变故，采购任务取消的。</w:t>
      </w:r>
    </w:p>
    <w:p>
      <w:pPr>
        <w:pStyle w:val="5"/>
        <w:numPr>
          <w:ilvl w:val="0"/>
          <w:numId w:val="38"/>
        </w:numPr>
        <w:tabs>
          <w:tab w:val="left" w:pos="945"/>
        </w:tabs>
        <w:spacing w:before="0" w:after="0" w:line="360" w:lineRule="auto"/>
        <w:rPr>
          <w:rFonts w:ascii="宋体" w:hAnsi="宋体"/>
          <w:sz w:val="24"/>
          <w:szCs w:val="24"/>
        </w:rPr>
      </w:pPr>
      <w:bookmarkStart w:id="327" w:name="_Toc55398732"/>
      <w:bookmarkStart w:id="328" w:name="_Toc56180328"/>
      <w:r>
        <w:rPr>
          <w:rFonts w:hint="eastAsia"/>
          <w:sz w:val="24"/>
          <w:szCs w:val="24"/>
        </w:rPr>
        <w:t>其他内容</w:t>
      </w:r>
      <w:bookmarkEnd w:id="327"/>
      <w:bookmarkEnd w:id="328"/>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329" w:name="_Toc55398733"/>
      <w:bookmarkStart w:id="330" w:name="_Toc56180329"/>
      <w:r>
        <w:rPr>
          <w:rFonts w:hint="eastAsia" w:ascii="宋体" w:hAnsi="宋体"/>
          <w:sz w:val="24"/>
          <w:szCs w:val="24"/>
        </w:rPr>
        <w:t>需要补充的其他内容</w:t>
      </w:r>
      <w:bookmarkEnd w:id="329"/>
      <w:bookmarkEnd w:id="330"/>
    </w:p>
    <w:p>
      <w:pPr>
        <w:pStyle w:val="38"/>
        <w:ind w:firstLine="960" w:firstLineChars="400"/>
        <w:rPr>
          <w:rFonts w:ascii="宋体" w:hAnsi="宋体"/>
          <w:szCs w:val="24"/>
        </w:rPr>
      </w:pPr>
      <w:r>
        <w:rPr>
          <w:rFonts w:hint="eastAsia"/>
          <w:szCs w:val="24"/>
        </w:rPr>
        <w:t>见《评审办法前附表》。</w:t>
      </w:r>
    </w:p>
    <w:p>
      <w:pPr>
        <w:pStyle w:val="5"/>
        <w:numPr>
          <w:ilvl w:val="0"/>
          <w:numId w:val="42"/>
        </w:numPr>
        <w:tabs>
          <w:tab w:val="left" w:pos="945"/>
        </w:tabs>
        <w:spacing w:before="0" w:after="0" w:line="360" w:lineRule="auto"/>
        <w:ind w:left="960" w:hanging="964" w:hangingChars="400"/>
        <w:rPr>
          <w:rFonts w:ascii="宋体" w:hAnsi="宋体"/>
          <w:sz w:val="24"/>
          <w:szCs w:val="24"/>
        </w:rPr>
      </w:pPr>
      <w:bookmarkStart w:id="331" w:name="_Toc56180330"/>
      <w:bookmarkStart w:id="332" w:name="_Toc55398734"/>
      <w:r>
        <w:rPr>
          <w:rFonts w:hint="eastAsia" w:ascii="宋体" w:hAnsi="宋体"/>
          <w:sz w:val="24"/>
          <w:szCs w:val="24"/>
        </w:rPr>
        <w:t>附件</w:t>
      </w:r>
      <w:bookmarkEnd w:id="331"/>
      <w:bookmarkEnd w:id="332"/>
    </w:p>
    <w:p>
      <w:pPr>
        <w:ind w:firstLine="840" w:firstLineChars="350"/>
        <w:rPr>
          <w:szCs w:val="24"/>
        </w:rPr>
      </w:pPr>
      <w:r>
        <w:rPr>
          <w:rFonts w:hint="eastAsia" w:ascii="宋体" w:hAnsi="宋体"/>
          <w:szCs w:val="24"/>
        </w:rPr>
        <w:t>附件1：政策功能性评审优惠</w:t>
      </w:r>
    </w:p>
    <w:p>
      <w:pPr>
        <w:jc w:val="center"/>
        <w:rPr>
          <w:b/>
          <w:szCs w:val="24"/>
        </w:rPr>
      </w:pPr>
    </w:p>
    <w:p>
      <w:pPr>
        <w:jc w:val="center"/>
        <w:rPr>
          <w:b/>
          <w:szCs w:val="24"/>
        </w:rPr>
      </w:pPr>
    </w:p>
    <w:p>
      <w:pPr>
        <w:jc w:val="center"/>
        <w:rPr>
          <w:b/>
          <w:szCs w:val="24"/>
        </w:rPr>
      </w:pPr>
    </w:p>
    <w:p>
      <w:pPr>
        <w:pStyle w:val="5"/>
        <w:numPr>
          <w:ilvl w:val="0"/>
          <w:numId w:val="0"/>
        </w:numPr>
        <w:tabs>
          <w:tab w:val="left" w:pos="945"/>
        </w:tabs>
        <w:spacing w:before="0" w:after="0" w:line="360" w:lineRule="auto"/>
        <w:ind w:left="425" w:hanging="425"/>
        <w:rPr>
          <w:rFonts w:ascii="宋体" w:hAnsi="宋体"/>
          <w:sz w:val="24"/>
          <w:szCs w:val="24"/>
        </w:rPr>
      </w:pPr>
      <w:bookmarkStart w:id="333" w:name="_Toc50460207"/>
      <w:bookmarkStart w:id="334" w:name="_Toc55398735"/>
      <w:bookmarkStart w:id="335" w:name="_Toc56180331"/>
      <w:r>
        <w:rPr>
          <w:rFonts w:hint="eastAsia" w:ascii="宋体" w:hAnsi="宋体"/>
          <w:sz w:val="24"/>
          <w:szCs w:val="24"/>
        </w:rPr>
        <w:t>附件1：政策功能性评审优惠</w:t>
      </w:r>
      <w:bookmarkEnd w:id="333"/>
      <w:bookmarkEnd w:id="334"/>
      <w:bookmarkEnd w:id="335"/>
    </w:p>
    <w:p>
      <w:pPr>
        <w:jc w:val="center"/>
        <w:rPr>
          <w:b/>
          <w:sz w:val="30"/>
          <w:szCs w:val="30"/>
        </w:rPr>
      </w:pPr>
      <w:r>
        <w:rPr>
          <w:rFonts w:hint="eastAsia"/>
          <w:b/>
          <w:sz w:val="30"/>
          <w:szCs w:val="30"/>
        </w:rPr>
        <w:t>政策功能性评审优惠</w:t>
      </w:r>
    </w:p>
    <w:p>
      <w:pPr>
        <w:tabs>
          <w:tab w:val="left" w:pos="567"/>
        </w:tabs>
        <w:adjustRightInd w:val="0"/>
        <w:snapToGrid w:val="0"/>
        <w:rPr>
          <w:rFonts w:ascii="宋体" w:hAnsi="宋体"/>
          <w:b/>
          <w:bCs/>
          <w:szCs w:val="24"/>
        </w:rPr>
      </w:pPr>
      <w:r>
        <w:rPr>
          <w:rFonts w:hint="eastAsia"/>
          <w:b/>
          <w:bCs/>
          <w:szCs w:val="24"/>
        </w:rPr>
        <w:t>一、</w:t>
      </w:r>
      <w:r>
        <w:rPr>
          <w:rFonts w:hint="eastAsia" w:ascii="宋体" w:hAnsi="宋体"/>
          <w:b/>
          <w:bCs/>
          <w:szCs w:val="24"/>
        </w:rPr>
        <w:t>对中小企业参加政府采购活动的评审优惠</w:t>
      </w:r>
    </w:p>
    <w:p>
      <w:pPr>
        <w:ind w:left="480" w:hanging="480" w:hangingChars="200"/>
        <w:rPr>
          <w:rFonts w:ascii="宋体" w:hAnsi="宋体"/>
          <w:szCs w:val="24"/>
        </w:rPr>
      </w:pPr>
      <w:r>
        <w:rPr>
          <w:rFonts w:hint="eastAsia" w:ascii="宋体" w:hAnsi="宋体"/>
          <w:szCs w:val="24"/>
        </w:rPr>
        <w:t>1.  中小企业参加政府采购活动的评审优惠执行《政府采购促进中小企业发展管理办法》（财库〔</w:t>
      </w:r>
      <w:r>
        <w:rPr>
          <w:rFonts w:ascii="宋体" w:hAnsi="宋体"/>
          <w:szCs w:val="24"/>
        </w:rPr>
        <w:t>2020</w:t>
      </w:r>
      <w:r>
        <w:rPr>
          <w:rFonts w:hint="eastAsia" w:ascii="宋体" w:hAnsi="宋体"/>
          <w:szCs w:val="24"/>
        </w:rPr>
        <w:t>〕</w:t>
      </w:r>
      <w:r>
        <w:rPr>
          <w:rFonts w:ascii="宋体" w:hAnsi="宋体"/>
          <w:szCs w:val="24"/>
        </w:rPr>
        <w:t>46</w:t>
      </w:r>
      <w:r>
        <w:rPr>
          <w:rFonts w:hint="eastAsia" w:ascii="宋体" w:hAnsi="宋体"/>
          <w:szCs w:val="24"/>
        </w:rPr>
        <w:t>号）（以下简称《办法》）的相关规定。</w:t>
      </w:r>
    </w:p>
    <w:p>
      <w:pPr>
        <w:pStyle w:val="2"/>
        <w:wordWrap w:val="0"/>
        <w:overflowPunct w:val="0"/>
        <w:ind w:left="480" w:hanging="480" w:hangingChars="200"/>
        <w:rPr>
          <w:rFonts w:ascii="宋体" w:hAnsi="宋体"/>
          <w:szCs w:val="24"/>
        </w:rPr>
      </w:pPr>
      <w:r>
        <w:rPr>
          <w:rFonts w:hint="eastAsia" w:ascii="宋体" w:hAnsi="宋体"/>
          <w:szCs w:val="24"/>
        </w:rPr>
        <w:t>2.  享受中小企业扶持政策的供应商应当满足下列条件：在货物采购项目中，货物应当由中小企业制造，不对其中涉及的服务的承接商作出要求；在工程采购项目中，工程应当由中小企业承建，不对其中涉及的货物的制造商和服务的承接商作出要求；在服务采购项目中，服务的承接商应当为中小企业，不对其中涉及的货物的制造商作出要求。</w:t>
      </w:r>
    </w:p>
    <w:p>
      <w:pPr>
        <w:pStyle w:val="2"/>
        <w:wordWrap w:val="0"/>
        <w:overflowPunct w:val="0"/>
        <w:ind w:left="480" w:hanging="480" w:hangingChars="200"/>
        <w:rPr>
          <w:rFonts w:ascii="宋体" w:hAnsi="宋体"/>
          <w:szCs w:val="24"/>
        </w:rPr>
      </w:pPr>
      <w:r>
        <w:rPr>
          <w:rFonts w:hint="eastAsia" w:ascii="宋体" w:hAnsi="宋体"/>
          <w:szCs w:val="24"/>
        </w:rPr>
        <w:t>3.  专门面向中小企业的采购项目（或者采购包），包括通过预留采购项目、预留专门采购包、要求以联合体形式参加或者合同分包形式参加政府采购活动的项目（采购包），</w:t>
      </w:r>
      <w:r>
        <w:rPr>
          <w:rFonts w:hint="eastAsia" w:ascii="宋体" w:hAnsi="宋体"/>
          <w:b/>
          <w:szCs w:val="24"/>
        </w:rPr>
        <w:t>不再执行价格评审优惠的扶持政策</w:t>
      </w:r>
      <w:r>
        <w:rPr>
          <w:rFonts w:hint="eastAsia" w:ascii="宋体" w:hAnsi="宋体"/>
          <w:szCs w:val="24"/>
        </w:rPr>
        <w:t>。</w:t>
      </w:r>
    </w:p>
    <w:p>
      <w:pPr>
        <w:pStyle w:val="2"/>
        <w:wordWrap w:val="0"/>
        <w:overflowPunct w:val="0"/>
        <w:ind w:left="480" w:hanging="480" w:hangingChars="200"/>
        <w:rPr>
          <w:rFonts w:ascii="宋体" w:hAnsi="宋体"/>
          <w:szCs w:val="24"/>
        </w:rPr>
      </w:pPr>
      <w:r>
        <w:rPr>
          <w:rFonts w:hint="eastAsia" w:ascii="宋体" w:hAnsi="宋体"/>
          <w:szCs w:val="24"/>
        </w:rPr>
        <w:t>4.  不属于专门面向中小企业采购的项目（或者采购包），包括未预留份额专门面向中小企业采购的采购项目，以及预留份额项目中的非预留部分采购包，对小型和微型企业参加政府采购活动，满足条件的响应供应商按照下表所述评审优惠给予相应的价格扣除。价格扣除比例详见</w:t>
      </w:r>
      <w:r>
        <w:rPr>
          <w:rFonts w:hint="eastAsia" w:ascii="宋体" w:hAnsi="宋体"/>
          <w:b/>
          <w:szCs w:val="24"/>
        </w:rPr>
        <w:t>《评审办法前附表》，如未载明的，为取值范围的最低限。</w:t>
      </w:r>
    </w:p>
    <w:tbl>
      <w:tblPr>
        <w:tblStyle w:val="30"/>
        <w:tblW w:w="0" w:type="auto"/>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828"/>
        <w:gridCol w:w="1275"/>
        <w:gridCol w:w="127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jc w:val="center"/>
              <w:rPr>
                <w:rFonts w:ascii="宋体" w:hAnsi="宋体"/>
                <w:b/>
                <w:szCs w:val="21"/>
                <w:lang w:val="en-GB"/>
              </w:rPr>
            </w:pPr>
            <w:r>
              <w:rPr>
                <w:rFonts w:hint="eastAsia" w:ascii="宋体" w:hAnsi="宋体"/>
                <w:b/>
                <w:szCs w:val="21"/>
                <w:lang w:val="en-GB"/>
              </w:rPr>
              <w:t>序号</w:t>
            </w:r>
          </w:p>
        </w:tc>
        <w:tc>
          <w:tcPr>
            <w:tcW w:w="3828" w:type="dxa"/>
            <w:vAlign w:val="center"/>
          </w:tcPr>
          <w:p>
            <w:pPr>
              <w:jc w:val="center"/>
              <w:rPr>
                <w:rFonts w:ascii="宋体" w:hAnsi="宋体"/>
                <w:b/>
                <w:szCs w:val="21"/>
                <w:lang w:val="en-GB"/>
              </w:rPr>
            </w:pPr>
            <w:r>
              <w:rPr>
                <w:rFonts w:hint="eastAsia" w:ascii="宋体" w:hAnsi="宋体"/>
                <w:b/>
                <w:szCs w:val="21"/>
                <w:lang w:val="en-GB"/>
              </w:rPr>
              <w:t>情形</w:t>
            </w:r>
          </w:p>
        </w:tc>
        <w:tc>
          <w:tcPr>
            <w:tcW w:w="1275" w:type="dxa"/>
            <w:vAlign w:val="center"/>
          </w:tcPr>
          <w:p>
            <w:pPr>
              <w:jc w:val="center"/>
              <w:rPr>
                <w:rFonts w:ascii="宋体" w:hAnsi="宋体"/>
                <w:b/>
                <w:szCs w:val="21"/>
                <w:lang w:val="en-GB"/>
              </w:rPr>
            </w:pPr>
            <w:r>
              <w:rPr>
                <w:rFonts w:hint="eastAsia" w:ascii="宋体" w:hAnsi="宋体"/>
                <w:b/>
                <w:szCs w:val="21"/>
              </w:rPr>
              <w:t>优惠方式</w:t>
            </w:r>
          </w:p>
        </w:tc>
        <w:tc>
          <w:tcPr>
            <w:tcW w:w="1276" w:type="dxa"/>
            <w:vAlign w:val="center"/>
          </w:tcPr>
          <w:p>
            <w:pPr>
              <w:jc w:val="center"/>
              <w:rPr>
                <w:rFonts w:ascii="宋体" w:hAnsi="宋体"/>
                <w:b/>
                <w:szCs w:val="21"/>
                <w:lang w:val="en-GB"/>
              </w:rPr>
            </w:pPr>
            <w:r>
              <w:rPr>
                <w:rFonts w:hint="eastAsia" w:ascii="宋体" w:hAnsi="宋体"/>
                <w:b/>
                <w:szCs w:val="21"/>
                <w:lang w:val="en-GB"/>
              </w:rPr>
              <w:t>价格扣除比例取值范围</w:t>
            </w:r>
          </w:p>
        </w:tc>
        <w:tc>
          <w:tcPr>
            <w:tcW w:w="1701" w:type="dxa"/>
            <w:vAlign w:val="center"/>
          </w:tcPr>
          <w:p>
            <w:pPr>
              <w:jc w:val="center"/>
              <w:rPr>
                <w:rFonts w:ascii="宋体" w:hAnsi="宋体"/>
                <w:b/>
                <w:szCs w:val="21"/>
                <w:lang w:val="en-GB"/>
              </w:rPr>
            </w:pPr>
            <w:r>
              <w:rPr>
                <w:rFonts w:hint="eastAsia" w:ascii="宋体" w:hAnsi="宋体"/>
                <w:b/>
                <w:szCs w:val="21"/>
                <w:lang w:val="en-GB"/>
              </w:rPr>
              <w:t>计算公式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restart"/>
            <w:vAlign w:val="center"/>
          </w:tcPr>
          <w:p>
            <w:pPr>
              <w:rPr>
                <w:rFonts w:ascii="宋体" w:hAnsi="宋体"/>
                <w:szCs w:val="21"/>
                <w:lang w:val="en-GB"/>
              </w:rPr>
            </w:pPr>
            <w:r>
              <w:rPr>
                <w:rFonts w:hint="eastAsia" w:ascii="宋体" w:hAnsi="宋体"/>
                <w:szCs w:val="21"/>
                <w:lang w:val="en-GB"/>
              </w:rPr>
              <w:t>（1）</w:t>
            </w:r>
          </w:p>
        </w:tc>
        <w:tc>
          <w:tcPr>
            <w:tcW w:w="3828" w:type="dxa"/>
            <w:tcBorders>
              <w:top w:val="single" w:color="auto" w:sz="4" w:space="0"/>
              <w:left w:val="single" w:color="auto" w:sz="4" w:space="0"/>
              <w:right w:val="single" w:color="auto" w:sz="4" w:space="0"/>
            </w:tcBorders>
            <w:vAlign w:val="center"/>
          </w:tcPr>
          <w:p>
            <w:pPr>
              <w:rPr>
                <w:rFonts w:ascii="宋体" w:hAnsi="宋体"/>
                <w:szCs w:val="21"/>
                <w:lang w:val="en-GB"/>
              </w:rPr>
            </w:pPr>
            <w:r>
              <w:rPr>
                <w:rFonts w:hint="eastAsia" w:ascii="宋体" w:hAnsi="宋体"/>
                <w:b/>
                <w:szCs w:val="21"/>
              </w:rPr>
              <w:t>【货物类项目】</w:t>
            </w:r>
            <w:r>
              <w:rPr>
                <w:rFonts w:hint="eastAsia" w:ascii="宋体" w:hAnsi="宋体"/>
                <w:szCs w:val="21"/>
              </w:rPr>
              <w:t>报价供应商（包括以联合体形式或合同分包形式参加磋商）提供的</w:t>
            </w:r>
            <w:r>
              <w:rPr>
                <w:rFonts w:hint="eastAsia" w:ascii="宋体" w:hAnsi="宋体"/>
                <w:b/>
                <w:szCs w:val="21"/>
              </w:rPr>
              <w:t>所有采购标的均为小微企业制造且使用该小微企业商号或者注册商标</w:t>
            </w:r>
            <w:r>
              <w:rPr>
                <w:rFonts w:hint="eastAsia" w:ascii="宋体" w:hAnsi="宋体"/>
                <w:szCs w:val="21"/>
              </w:rPr>
              <w:t>。</w:t>
            </w:r>
          </w:p>
        </w:tc>
        <w:tc>
          <w:tcPr>
            <w:tcW w:w="1275" w:type="dxa"/>
            <w:tcBorders>
              <w:top w:val="single" w:color="auto" w:sz="4" w:space="0"/>
              <w:left w:val="single" w:color="auto" w:sz="4" w:space="0"/>
              <w:right w:val="single" w:color="auto" w:sz="4" w:space="0"/>
            </w:tcBorders>
            <w:vAlign w:val="center"/>
          </w:tcPr>
          <w:p>
            <w:pPr>
              <w:rPr>
                <w:rFonts w:ascii="宋体" w:hAnsi="宋体"/>
                <w:szCs w:val="21"/>
              </w:rPr>
            </w:pPr>
            <w:r>
              <w:rPr>
                <w:rFonts w:hint="eastAsia" w:ascii="宋体" w:hAnsi="宋体"/>
                <w:szCs w:val="21"/>
              </w:rPr>
              <w:t>对响应报价给予C1的价格扣除</w:t>
            </w:r>
          </w:p>
        </w:tc>
        <w:tc>
          <w:tcPr>
            <w:tcW w:w="1276" w:type="dxa"/>
            <w:tcBorders>
              <w:top w:val="single" w:color="auto" w:sz="4" w:space="0"/>
              <w:left w:val="single" w:color="auto" w:sz="4" w:space="0"/>
              <w:right w:val="single" w:color="auto" w:sz="4" w:space="0"/>
            </w:tcBorders>
            <w:vAlign w:val="center"/>
          </w:tcPr>
          <w:p>
            <w:pPr>
              <w:wordWrap/>
              <w:jc w:val="left"/>
              <w:rPr>
                <w:rFonts w:ascii="宋体" w:hAnsi="宋体"/>
                <w:szCs w:val="21"/>
                <w:lang w:val="en-GB"/>
              </w:rPr>
            </w:pPr>
            <w:r>
              <w:rPr>
                <w:rFonts w:hint="eastAsia" w:ascii="宋体" w:hAnsi="宋体" w:cs="宋体"/>
                <w:sz w:val="21"/>
                <w:szCs w:val="21"/>
              </w:rPr>
              <w:t>C1=10%～20%</w:t>
            </w:r>
          </w:p>
        </w:tc>
        <w:tc>
          <w:tcPr>
            <w:tcW w:w="1701" w:type="dxa"/>
            <w:vAlign w:val="center"/>
          </w:tcPr>
          <w:p>
            <w:pPr>
              <w:rPr>
                <w:rFonts w:ascii="宋体" w:hAnsi="宋体"/>
                <w:szCs w:val="21"/>
                <w:lang w:val="en-GB"/>
              </w:rPr>
            </w:pPr>
            <w:r>
              <w:rPr>
                <w:rFonts w:hint="eastAsia" w:ascii="宋体" w:hAnsi="宋体"/>
                <w:szCs w:val="21"/>
              </w:rPr>
              <w:t>评审价＝核实价×（1-C1）；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continue"/>
            <w:vAlign w:val="center"/>
          </w:tcPr>
          <w:p/>
        </w:tc>
        <w:tc>
          <w:tcPr>
            <w:tcW w:w="3828" w:type="dxa"/>
            <w:tcBorders>
              <w:top w:val="single" w:color="auto" w:sz="4" w:space="0"/>
              <w:left w:val="single" w:color="auto" w:sz="4" w:space="0"/>
              <w:right w:val="single" w:color="auto" w:sz="4" w:space="0"/>
            </w:tcBorders>
            <w:vAlign w:val="center"/>
          </w:tcPr>
          <w:p>
            <w:pPr>
              <w:rPr>
                <w:rFonts w:ascii="宋体" w:hAnsi="宋体"/>
                <w:szCs w:val="21"/>
                <w:lang w:val="en-GB"/>
              </w:rPr>
            </w:pPr>
            <w:r>
              <w:rPr>
                <w:rFonts w:hint="eastAsia" w:ascii="宋体" w:hAnsi="宋体"/>
                <w:b/>
                <w:szCs w:val="21"/>
              </w:rPr>
              <w:t>【服务类项目】</w:t>
            </w:r>
            <w:r>
              <w:rPr>
                <w:rFonts w:hint="eastAsia" w:ascii="宋体" w:hAnsi="宋体"/>
                <w:szCs w:val="21"/>
              </w:rPr>
              <w:t>报价供应商为小微企业（包括：成员全部为小微企业的联合体、接受分包合同的企业全部为小微企业）</w:t>
            </w:r>
          </w:p>
        </w:tc>
        <w:tc>
          <w:tcPr>
            <w:tcW w:w="1275" w:type="dxa"/>
            <w:tcBorders>
              <w:top w:val="single" w:color="auto" w:sz="4" w:space="0"/>
              <w:left w:val="single" w:color="auto" w:sz="4" w:space="0"/>
              <w:right w:val="single" w:color="auto" w:sz="4" w:space="0"/>
            </w:tcBorders>
            <w:vAlign w:val="center"/>
          </w:tcPr>
          <w:p>
            <w:pPr>
              <w:rPr>
                <w:rFonts w:ascii="宋体" w:hAnsi="宋体"/>
                <w:szCs w:val="21"/>
              </w:rPr>
            </w:pPr>
            <w:r>
              <w:rPr>
                <w:rFonts w:hint="eastAsia" w:ascii="宋体" w:hAnsi="宋体"/>
                <w:szCs w:val="21"/>
              </w:rPr>
              <w:t>对响应报价给予C1的价格扣除</w:t>
            </w:r>
          </w:p>
        </w:tc>
        <w:tc>
          <w:tcPr>
            <w:tcW w:w="1276" w:type="dxa"/>
            <w:tcBorders>
              <w:top w:val="single" w:color="auto" w:sz="4" w:space="0"/>
              <w:left w:val="single" w:color="auto" w:sz="4" w:space="0"/>
              <w:right w:val="single" w:color="auto" w:sz="4" w:space="0"/>
            </w:tcBorders>
            <w:vAlign w:val="center"/>
          </w:tcPr>
          <w:p>
            <w:pPr>
              <w:wordWrap/>
              <w:jc w:val="left"/>
              <w:rPr>
                <w:rFonts w:ascii="宋体" w:hAnsi="宋体"/>
                <w:szCs w:val="21"/>
                <w:lang w:val="en-GB"/>
              </w:rPr>
            </w:pPr>
            <w:r>
              <w:rPr>
                <w:rFonts w:hint="eastAsia" w:ascii="宋体" w:hAnsi="宋体" w:cs="宋体"/>
                <w:sz w:val="21"/>
                <w:szCs w:val="21"/>
              </w:rPr>
              <w:t>C1=10%～20%</w:t>
            </w:r>
          </w:p>
        </w:tc>
        <w:tc>
          <w:tcPr>
            <w:tcW w:w="1701" w:type="dxa"/>
            <w:vAlign w:val="center"/>
          </w:tcPr>
          <w:p>
            <w:pPr>
              <w:rPr>
                <w:rFonts w:ascii="宋体" w:hAnsi="宋体"/>
                <w:szCs w:val="21"/>
                <w:lang w:val="en-GB"/>
              </w:rPr>
            </w:pPr>
            <w:r>
              <w:rPr>
                <w:rFonts w:hint="eastAsia" w:ascii="宋体" w:hAnsi="宋体"/>
                <w:szCs w:val="21"/>
              </w:rPr>
              <w:t>评审价＝核实价×（1-C1）；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8" w:type="dxa"/>
            <w:vAlign w:val="center"/>
          </w:tcPr>
          <w:p>
            <w:pPr>
              <w:rPr>
                <w:rFonts w:ascii="宋体" w:hAnsi="宋体"/>
                <w:szCs w:val="21"/>
                <w:lang w:val="en-GB"/>
              </w:rPr>
            </w:pPr>
            <w:r>
              <w:rPr>
                <w:rFonts w:hint="eastAsia" w:ascii="宋体" w:hAnsi="宋体"/>
                <w:szCs w:val="21"/>
                <w:lang w:val="en-GB"/>
              </w:rPr>
              <w:t>（2）</w:t>
            </w:r>
          </w:p>
        </w:tc>
        <w:tc>
          <w:tcPr>
            <w:tcW w:w="3828" w:type="dxa"/>
            <w:tcBorders>
              <w:top w:val="single" w:color="auto" w:sz="4" w:space="0"/>
              <w:left w:val="single" w:color="auto" w:sz="4" w:space="0"/>
              <w:right w:val="single" w:color="auto" w:sz="4" w:space="0"/>
            </w:tcBorders>
            <w:vAlign w:val="center"/>
          </w:tcPr>
          <w:p>
            <w:pPr>
              <w:rPr>
                <w:rFonts w:ascii="宋体" w:hAnsi="宋体"/>
                <w:szCs w:val="21"/>
              </w:rPr>
            </w:pPr>
            <w:r>
              <w:rPr>
                <w:rFonts w:hint="eastAsia" w:ascii="宋体" w:hAnsi="宋体"/>
                <w:b/>
                <w:szCs w:val="21"/>
              </w:rPr>
              <w:t>【货物类项目、服务类项目】</w:t>
            </w:r>
            <w:r>
              <w:rPr>
                <w:rFonts w:hint="eastAsia" w:ascii="宋体" w:hAnsi="宋体"/>
                <w:szCs w:val="21"/>
              </w:rPr>
              <w:t>报价供应商为大中型企业（和其他自然人、法人或者其他组织）与小微企业组成的联合</w:t>
            </w:r>
            <w:r>
              <w:rPr>
                <w:rFonts w:hint="eastAsia" w:ascii="宋体" w:hAnsi="宋体"/>
                <w:spacing w:val="-2"/>
                <w:szCs w:val="21"/>
              </w:rPr>
              <w:t>体，且《联合协议》中约定小微企业的合同份额占到合同总金额30%或以上。</w:t>
            </w:r>
          </w:p>
        </w:tc>
        <w:tc>
          <w:tcPr>
            <w:tcW w:w="1275" w:type="dxa"/>
            <w:tcBorders>
              <w:top w:val="single" w:color="auto" w:sz="4" w:space="0"/>
              <w:left w:val="single" w:color="auto" w:sz="4" w:space="0"/>
              <w:right w:val="single" w:color="auto" w:sz="4" w:space="0"/>
            </w:tcBorders>
            <w:vAlign w:val="center"/>
          </w:tcPr>
          <w:p>
            <w:pPr>
              <w:rPr>
                <w:rFonts w:ascii="宋体" w:hAnsi="宋体"/>
                <w:szCs w:val="21"/>
              </w:rPr>
            </w:pPr>
            <w:r>
              <w:rPr>
                <w:rFonts w:hint="eastAsia" w:ascii="宋体" w:hAnsi="宋体"/>
                <w:szCs w:val="21"/>
              </w:rPr>
              <w:t>对响应报价给予C2的价格扣除</w:t>
            </w:r>
          </w:p>
        </w:tc>
        <w:tc>
          <w:tcPr>
            <w:tcW w:w="1276" w:type="dxa"/>
            <w:tcBorders>
              <w:top w:val="single" w:color="auto" w:sz="4" w:space="0"/>
              <w:left w:val="single" w:color="auto" w:sz="4" w:space="0"/>
              <w:right w:val="single" w:color="auto" w:sz="4" w:space="0"/>
            </w:tcBorders>
            <w:vAlign w:val="center"/>
          </w:tcPr>
          <w:p>
            <w:pPr>
              <w:wordWrap/>
              <w:jc w:val="left"/>
              <w:rPr>
                <w:rFonts w:ascii="宋体" w:hAnsi="宋体"/>
                <w:szCs w:val="21"/>
                <w:lang w:val="en-GB"/>
              </w:rPr>
            </w:pPr>
            <w:r>
              <w:rPr>
                <w:rFonts w:hint="eastAsia" w:ascii="宋体" w:hAnsi="宋体" w:cs="宋体"/>
                <w:sz w:val="21"/>
                <w:szCs w:val="21"/>
              </w:rPr>
              <w:t>C2=4%～6%</w:t>
            </w:r>
          </w:p>
        </w:tc>
        <w:tc>
          <w:tcPr>
            <w:tcW w:w="1701" w:type="dxa"/>
            <w:vAlign w:val="center"/>
          </w:tcPr>
          <w:p>
            <w:pPr>
              <w:rPr>
                <w:rFonts w:ascii="宋体" w:hAnsi="宋体"/>
                <w:szCs w:val="21"/>
                <w:lang w:val="en-GB"/>
              </w:rPr>
            </w:pPr>
            <w:r>
              <w:rPr>
                <w:rFonts w:hint="eastAsia" w:ascii="宋体" w:hAnsi="宋体"/>
                <w:szCs w:val="21"/>
              </w:rPr>
              <w:t>评审价＝核实价×（1-C2）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rPr>
                <w:rFonts w:ascii="宋体" w:hAnsi="宋体"/>
                <w:szCs w:val="21"/>
                <w:lang w:val="en-GB"/>
              </w:rPr>
            </w:pPr>
            <w:r>
              <w:rPr>
                <w:rFonts w:hint="eastAsia" w:ascii="宋体" w:hAnsi="宋体"/>
                <w:szCs w:val="21"/>
                <w:lang w:val="en-GB"/>
              </w:rPr>
              <w:t>（3）</w:t>
            </w:r>
          </w:p>
        </w:tc>
        <w:tc>
          <w:tcPr>
            <w:tcW w:w="3828" w:type="dxa"/>
            <w:tcBorders>
              <w:top w:val="single" w:color="auto" w:sz="4" w:space="0"/>
              <w:left w:val="single" w:color="auto" w:sz="4" w:space="0"/>
              <w:right w:val="single" w:color="auto" w:sz="4" w:space="0"/>
            </w:tcBorders>
            <w:vAlign w:val="center"/>
          </w:tcPr>
          <w:p>
            <w:pPr>
              <w:rPr>
                <w:rFonts w:ascii="宋体" w:hAnsi="宋体"/>
                <w:szCs w:val="21"/>
              </w:rPr>
            </w:pPr>
            <w:r>
              <w:rPr>
                <w:rFonts w:hint="eastAsia" w:ascii="宋体" w:hAnsi="宋体"/>
                <w:b/>
                <w:szCs w:val="21"/>
              </w:rPr>
              <w:t>【货物类项目、服务类项目】</w:t>
            </w:r>
            <w:r>
              <w:rPr>
                <w:rFonts w:hint="eastAsia" w:ascii="宋体" w:hAnsi="宋体"/>
                <w:szCs w:val="21"/>
              </w:rPr>
              <w:t>报价供应商为大中型企业（和其他自然人、法人或者其他组织）向一家或多家小微企业分包</w:t>
            </w:r>
            <w:r>
              <w:rPr>
                <w:rFonts w:hint="eastAsia" w:ascii="宋体" w:hAnsi="宋体"/>
                <w:spacing w:val="-2"/>
                <w:szCs w:val="21"/>
              </w:rPr>
              <w:t>，且《分包意向协议》中约定小微企业的合同份额占到合同总金额30%或以上。</w:t>
            </w:r>
          </w:p>
        </w:tc>
        <w:tc>
          <w:tcPr>
            <w:tcW w:w="1275" w:type="dxa"/>
            <w:tcBorders>
              <w:top w:val="single" w:color="auto" w:sz="4" w:space="0"/>
              <w:left w:val="single" w:color="auto" w:sz="4" w:space="0"/>
              <w:right w:val="single" w:color="auto" w:sz="4" w:space="0"/>
            </w:tcBorders>
            <w:vAlign w:val="center"/>
          </w:tcPr>
          <w:p>
            <w:pPr>
              <w:rPr>
                <w:rFonts w:ascii="宋体" w:hAnsi="宋体"/>
                <w:szCs w:val="21"/>
              </w:rPr>
            </w:pPr>
            <w:r>
              <w:rPr>
                <w:rFonts w:hint="eastAsia" w:ascii="宋体" w:hAnsi="宋体"/>
                <w:szCs w:val="21"/>
              </w:rPr>
              <w:t>对响应报价给予C2的价格扣除</w:t>
            </w:r>
          </w:p>
        </w:tc>
        <w:tc>
          <w:tcPr>
            <w:tcW w:w="1276" w:type="dxa"/>
            <w:tcBorders>
              <w:top w:val="single" w:color="auto" w:sz="4" w:space="0"/>
              <w:left w:val="single" w:color="auto" w:sz="4" w:space="0"/>
              <w:right w:val="single" w:color="auto" w:sz="4" w:space="0"/>
            </w:tcBorders>
            <w:vAlign w:val="center"/>
          </w:tcPr>
          <w:p>
            <w:pPr>
              <w:wordWrap/>
              <w:jc w:val="left"/>
              <w:rPr>
                <w:rFonts w:ascii="宋体" w:hAnsi="宋体"/>
                <w:szCs w:val="21"/>
                <w:lang w:val="en-GB"/>
              </w:rPr>
            </w:pPr>
            <w:r>
              <w:rPr>
                <w:rFonts w:hint="eastAsia" w:ascii="宋体" w:hAnsi="宋体" w:cs="宋体"/>
                <w:sz w:val="21"/>
                <w:szCs w:val="21"/>
              </w:rPr>
              <w:t>C2=4%～6%</w:t>
            </w:r>
          </w:p>
        </w:tc>
        <w:tc>
          <w:tcPr>
            <w:tcW w:w="1701" w:type="dxa"/>
            <w:vAlign w:val="center"/>
          </w:tcPr>
          <w:p>
            <w:pPr>
              <w:rPr>
                <w:rFonts w:ascii="宋体" w:hAnsi="宋体"/>
                <w:szCs w:val="21"/>
                <w:lang w:val="en-GB"/>
              </w:rPr>
            </w:pPr>
            <w:r>
              <w:rPr>
                <w:rFonts w:hint="eastAsia" w:ascii="宋体" w:hAnsi="宋体"/>
                <w:szCs w:val="21"/>
              </w:rPr>
              <w:t>评审价＝核实价×（1-C2）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8" w:type="dxa"/>
            <w:gridSpan w:val="5"/>
            <w:vAlign w:val="center"/>
          </w:tcPr>
          <w:p>
            <w:pPr>
              <w:tabs>
                <w:tab w:val="left" w:pos="567"/>
              </w:tabs>
              <w:rPr>
                <w:rFonts w:ascii="宋体" w:hAnsi="宋体"/>
                <w:szCs w:val="21"/>
              </w:rPr>
            </w:pPr>
            <w:r>
              <w:rPr>
                <w:rFonts w:hint="eastAsia" w:ascii="宋体" w:hAnsi="宋体"/>
                <w:szCs w:val="21"/>
              </w:rPr>
              <w:t>注：</w:t>
            </w:r>
          </w:p>
          <w:p>
            <w:pPr>
              <w:pStyle w:val="38"/>
              <w:numPr>
                <w:ilvl w:val="0"/>
                <w:numId w:val="53"/>
              </w:numPr>
              <w:tabs>
                <w:tab w:val="left" w:pos="0"/>
                <w:tab w:val="left" w:pos="567"/>
              </w:tabs>
              <w:ind w:left="480" w:hanging="480" w:hangingChars="200"/>
              <w:rPr>
                <w:rFonts w:ascii="宋体" w:hAnsi="宋体"/>
                <w:szCs w:val="21"/>
              </w:rPr>
            </w:pPr>
            <w:r>
              <w:rPr>
                <w:rFonts w:hint="eastAsia" w:ascii="宋体" w:hAnsi="宋体"/>
                <w:szCs w:val="21"/>
              </w:rPr>
              <w:t>上述第（1）条、第（2）条、第（3）三种价格扣除原则不同时使用。</w:t>
            </w:r>
          </w:p>
          <w:p>
            <w:pPr>
              <w:pStyle w:val="38"/>
              <w:numPr>
                <w:ilvl w:val="0"/>
                <w:numId w:val="53"/>
              </w:numPr>
              <w:tabs>
                <w:tab w:val="left" w:pos="567"/>
              </w:tabs>
              <w:ind w:left="480" w:hanging="480" w:hangingChars="200"/>
              <w:rPr>
                <w:rFonts w:ascii="宋体" w:hAnsi="宋体"/>
                <w:szCs w:val="21"/>
              </w:rPr>
            </w:pPr>
            <w:r>
              <w:rPr>
                <w:rFonts w:hint="eastAsia" w:ascii="宋体" w:hAnsi="宋体"/>
                <w:szCs w:val="21"/>
              </w:rPr>
              <w:t>上述第（2）条、第（3）条，组成联合体或者接受分包的小微企业与联合体内其他企业、分包企业之间存在直接控股、管理关系的，不享受价格扣除优惠政策。</w:t>
            </w:r>
          </w:p>
          <w:p>
            <w:pPr>
              <w:pStyle w:val="38"/>
              <w:numPr>
                <w:ilvl w:val="0"/>
                <w:numId w:val="53"/>
              </w:numPr>
              <w:tabs>
                <w:tab w:val="left" w:pos="567"/>
              </w:tabs>
              <w:ind w:left="480" w:hanging="480" w:hangingChars="200"/>
              <w:rPr>
                <w:rFonts w:ascii="宋体" w:hAnsi="宋体"/>
                <w:szCs w:val="21"/>
              </w:rPr>
            </w:pPr>
            <w:r>
              <w:rPr>
                <w:rFonts w:hint="eastAsia" w:ascii="宋体" w:hAnsi="宋体" w:cs="宋体"/>
                <w:szCs w:val="21"/>
                <w:shd w:val="clear" w:color="auto" w:fill="FFFFFF"/>
              </w:rPr>
              <w:t>货物类项目，大中型企业提供的所有采购标的均为小微企业制造且使用该小微企业商号或者注册商标的，可享受价格评审优惠政策。</w:t>
            </w:r>
          </w:p>
          <w:p>
            <w:pPr>
              <w:pStyle w:val="38"/>
              <w:numPr>
                <w:ilvl w:val="0"/>
                <w:numId w:val="53"/>
              </w:numPr>
              <w:tabs>
                <w:tab w:val="left" w:pos="567"/>
              </w:tabs>
              <w:ind w:left="480" w:hanging="480" w:hangingChars="200"/>
              <w:rPr>
                <w:rFonts w:ascii="宋体" w:hAnsi="宋体"/>
                <w:szCs w:val="21"/>
              </w:rPr>
            </w:pPr>
            <w:r>
              <w:rPr>
                <w:rFonts w:hint="eastAsia" w:ascii="宋体" w:hAnsi="宋体"/>
                <w:szCs w:val="21"/>
              </w:rPr>
              <w:t>响应供应商统一在一份《中小企业声明函》（格式见《响应文件格式》）中说明联合体各方（以合同分包形式参加政府采购活动时，包括分包方和接受分包方）的中小微情况，否则不享受本办法规定的政策。</w:t>
            </w:r>
          </w:p>
          <w:p>
            <w:pPr>
              <w:pStyle w:val="38"/>
              <w:numPr>
                <w:ilvl w:val="0"/>
                <w:numId w:val="53"/>
              </w:numPr>
              <w:tabs>
                <w:tab w:val="left" w:pos="567"/>
              </w:tabs>
              <w:ind w:left="480" w:hanging="480" w:hangingChars="200"/>
              <w:rPr>
                <w:rFonts w:ascii="宋体" w:hAnsi="宋体"/>
                <w:szCs w:val="21"/>
              </w:rPr>
            </w:pPr>
            <w:r>
              <w:rPr>
                <w:rFonts w:hint="eastAsia" w:ascii="宋体" w:hAnsi="宋体"/>
                <w:szCs w:val="21"/>
              </w:rPr>
              <w:t>监狱企业、残疾人福利性单位视同小型、微型企业。</w:t>
            </w:r>
            <w:r>
              <w:rPr>
                <w:rFonts w:hint="eastAsia"/>
                <w:spacing w:val="-4"/>
              </w:rPr>
              <w:t>残疾人</w:t>
            </w:r>
            <w:r>
              <w:rPr>
                <w:rFonts w:hint="eastAsia"/>
                <w:spacing w:val="-3"/>
              </w:rPr>
              <w:t>福利性单位以《残疾人福利性单位声明函》（格式见《</w:t>
            </w:r>
            <w:r>
              <w:rPr>
                <w:rFonts w:hint="eastAsia" w:ascii="宋体" w:hAnsi="宋体"/>
                <w:szCs w:val="21"/>
              </w:rPr>
              <w:t>响应</w:t>
            </w:r>
            <w:r>
              <w:rPr>
                <w:rFonts w:hint="eastAsia"/>
                <w:spacing w:val="-3"/>
              </w:rPr>
              <w:t>文件格式》）为判定标准，监狱企</w:t>
            </w:r>
            <w:r>
              <w:rPr>
                <w:spacing w:val="-43"/>
              </w:rPr>
              <w:t xml:space="preserve"> </w:t>
            </w:r>
            <w:r>
              <w:rPr>
                <w:rFonts w:hint="eastAsia"/>
                <w:spacing w:val="-3"/>
              </w:rPr>
              <w:t>业须提供由省级以上监狱管理局、戒毒管理局（含新疆生产建设兵团）出具的属于监狱</w:t>
            </w:r>
            <w:r>
              <w:rPr>
                <w:spacing w:val="-53"/>
              </w:rPr>
              <w:t xml:space="preserve"> </w:t>
            </w:r>
            <w:r>
              <w:rPr>
                <w:rFonts w:hint="eastAsia"/>
              </w:rPr>
              <w:t>企业的证明文件，否则不予认定。</w:t>
            </w:r>
          </w:p>
          <w:p>
            <w:pPr>
              <w:pStyle w:val="38"/>
              <w:numPr>
                <w:ilvl w:val="0"/>
                <w:numId w:val="53"/>
              </w:numPr>
              <w:tabs>
                <w:tab w:val="left" w:pos="567"/>
              </w:tabs>
              <w:ind w:left="480" w:hanging="480" w:hangingChars="200"/>
              <w:rPr>
                <w:rFonts w:ascii="宋体" w:hAnsi="宋体"/>
                <w:szCs w:val="21"/>
              </w:rPr>
            </w:pPr>
            <w:r>
              <w:rPr>
                <w:rFonts w:hint="eastAsia" w:ascii="宋体" w:hAnsi="宋体"/>
                <w:szCs w:val="21"/>
              </w:rPr>
              <w:t>以联合体形式参加磋商的，报价供应商还需要提供《联合协议》（格式见《响应文件格式》）。</w:t>
            </w:r>
          </w:p>
          <w:p>
            <w:pPr>
              <w:pStyle w:val="38"/>
              <w:numPr>
                <w:ilvl w:val="0"/>
                <w:numId w:val="53"/>
              </w:numPr>
              <w:tabs>
                <w:tab w:val="left" w:pos="567"/>
              </w:tabs>
              <w:ind w:left="480" w:hanging="480" w:hangingChars="200"/>
              <w:rPr>
                <w:rFonts w:ascii="宋体" w:hAnsi="宋体"/>
                <w:szCs w:val="21"/>
              </w:rPr>
            </w:pPr>
            <w:r>
              <w:rPr>
                <w:rFonts w:hint="eastAsia" w:ascii="宋体" w:hAnsi="宋体"/>
                <w:szCs w:val="21"/>
              </w:rPr>
              <w:t>以合同分包形式参加磋商的，报价供应商还需要提供《</w:t>
            </w:r>
            <w:r>
              <w:rPr>
                <w:rFonts w:hint="eastAsia" w:ascii="宋体" w:hAnsi="宋体"/>
                <w:spacing w:val="-2"/>
                <w:szCs w:val="21"/>
              </w:rPr>
              <w:t>分包意向协议</w:t>
            </w:r>
            <w:r>
              <w:rPr>
                <w:rFonts w:hint="eastAsia" w:ascii="宋体" w:hAnsi="宋体"/>
                <w:szCs w:val="21"/>
              </w:rPr>
              <w:t>》（格式见《响应文件格式》）。</w:t>
            </w:r>
          </w:p>
          <w:p>
            <w:pPr>
              <w:pStyle w:val="38"/>
              <w:numPr>
                <w:ilvl w:val="0"/>
                <w:numId w:val="53"/>
              </w:numPr>
              <w:tabs>
                <w:tab w:val="left" w:pos="567"/>
              </w:tabs>
              <w:ind w:left="480" w:hanging="480" w:hangingChars="200"/>
              <w:rPr>
                <w:rFonts w:ascii="宋体" w:hAnsi="宋体"/>
                <w:szCs w:val="21"/>
              </w:rPr>
            </w:pPr>
            <w:r>
              <w:rPr>
                <w:rFonts w:hint="eastAsia" w:ascii="宋体" w:hAnsi="宋体"/>
                <w:szCs w:val="21"/>
              </w:rPr>
              <w:t>《办法》第九条中关于联合体和分包的规定中的“小微企业”应当满足《办法》第四条的相关规定，“小微企业的合同份额”应当为小微企业制造的货物（货物类项目）【承建的工程（工程类项目）或者承接的服务（服务类项目）】的合同份额。</w:t>
            </w:r>
          </w:p>
        </w:tc>
      </w:tr>
    </w:tbl>
    <w:p>
      <w:pPr>
        <w:pStyle w:val="2"/>
        <w:kinsoku w:val="0"/>
        <w:wordWrap w:val="0"/>
        <w:overflowPunct w:val="0"/>
        <w:ind w:left="480" w:hanging="480" w:hangingChars="200"/>
        <w:rPr>
          <w:rFonts w:ascii="宋体" w:hAnsi="宋体"/>
          <w:szCs w:val="24"/>
        </w:rPr>
      </w:pPr>
    </w:p>
    <w:p>
      <w:pPr>
        <w:pStyle w:val="2"/>
        <w:kinsoku w:val="0"/>
        <w:wordWrap w:val="0"/>
        <w:overflowPunct w:val="0"/>
        <w:ind w:left="480" w:hanging="480" w:hangingChars="200"/>
        <w:rPr>
          <w:rFonts w:ascii="宋体" w:hAnsi="宋体"/>
          <w:b/>
          <w:szCs w:val="24"/>
        </w:rPr>
      </w:pPr>
      <w:r>
        <w:rPr>
          <w:rFonts w:hint="eastAsia" w:ascii="宋体" w:hAnsi="宋体"/>
          <w:szCs w:val="24"/>
        </w:rPr>
        <w:t>5. 本项目（采购包）采购标的对应的中小企业划分标准所属行业：</w:t>
      </w:r>
      <w:r>
        <w:rPr>
          <w:rFonts w:hint="eastAsia" w:ascii="宋体" w:hAnsi="宋体"/>
          <w:b/>
          <w:szCs w:val="24"/>
        </w:rPr>
        <w:t>见《磋商邀请》或《采购需求》或《供应商须知前附表》或《评审办法前附表》。</w:t>
      </w:r>
    </w:p>
    <w:p>
      <w:pPr>
        <w:numPr>
          <w:ilvl w:val="0"/>
          <w:numId w:val="54"/>
        </w:numPr>
        <w:tabs>
          <w:tab w:val="left" w:pos="567"/>
        </w:tabs>
        <w:adjustRightInd w:val="0"/>
        <w:snapToGrid w:val="0"/>
        <w:rPr>
          <w:b/>
          <w:bCs/>
          <w:szCs w:val="24"/>
          <w:shd w:val="pct10" w:color="auto" w:fill="FFFFFF"/>
        </w:rPr>
      </w:pPr>
      <w:bookmarkStart w:id="336" w:name="_Hlk25913228"/>
      <w:r>
        <w:rPr>
          <w:rFonts w:hint="eastAsia"/>
          <w:b/>
          <w:bCs/>
          <w:szCs w:val="24"/>
        </w:rPr>
        <w:t>节能产品、环境标志产品的评审优惠</w:t>
      </w:r>
      <w:r>
        <w:rPr>
          <w:rFonts w:hint="eastAsia" w:ascii="宋体" w:hAnsi="宋体"/>
          <w:b/>
          <w:szCs w:val="24"/>
        </w:rPr>
        <w:t>【货物类项目、服务类项目】</w:t>
      </w:r>
    </w:p>
    <w:p>
      <w:pPr>
        <w:numPr>
          <w:ilvl w:val="1"/>
          <w:numId w:val="55"/>
        </w:numPr>
        <w:tabs>
          <w:tab w:val="left" w:pos="567"/>
        </w:tabs>
        <w:ind w:left="480" w:hanging="480" w:hangingChars="200"/>
        <w:rPr>
          <w:rFonts w:ascii="宋体" w:hAnsi="宋体"/>
          <w:szCs w:val="24"/>
        </w:rPr>
      </w:pPr>
      <w:r>
        <w:rPr>
          <w:rFonts w:hint="eastAsia" w:ascii="宋体" w:hAnsi="宋体"/>
          <w:szCs w:val="24"/>
        </w:rPr>
        <w:t>响应供应商提供节能产品、环境标志产品的评审优惠执行《关于调整优化节能产品、环境标志产品政府采购执行机制的通知》（财库〔2019〕9号）规定。</w:t>
      </w:r>
    </w:p>
    <w:p>
      <w:pPr>
        <w:numPr>
          <w:ilvl w:val="1"/>
          <w:numId w:val="55"/>
        </w:numPr>
        <w:tabs>
          <w:tab w:val="left" w:pos="567"/>
        </w:tabs>
        <w:rPr>
          <w:rFonts w:ascii="宋体" w:hAnsi="宋体"/>
          <w:szCs w:val="24"/>
        </w:rPr>
      </w:pPr>
      <w:r>
        <w:rPr>
          <w:rFonts w:hint="eastAsia" w:ascii="宋体" w:hAnsi="宋体"/>
          <w:szCs w:val="24"/>
        </w:rPr>
        <w:t>拟采购产品属于节能产品政府采购品目清单规定必须强制采购的，实行强制采购，不进行评审优惠。</w:t>
      </w:r>
    </w:p>
    <w:p>
      <w:pPr>
        <w:numPr>
          <w:ilvl w:val="1"/>
          <w:numId w:val="55"/>
        </w:numPr>
        <w:tabs>
          <w:tab w:val="left" w:pos="567"/>
        </w:tabs>
        <w:rPr>
          <w:rFonts w:ascii="等线" w:hAnsi="等线"/>
          <w:szCs w:val="24"/>
        </w:rPr>
      </w:pPr>
      <w:r>
        <w:rPr>
          <w:rFonts w:hint="eastAsia" w:ascii="宋体" w:hAnsi="宋体"/>
          <w:szCs w:val="24"/>
        </w:rPr>
        <w:t>对报价中属于《节能产品政府采购品目清单》或《环境标志产品政府采购品目清单》范围中政府优先采购产品类别的节能产品或环境标志产品，按照以下方式给予相应的评审优惠，价格扣除比例详见</w:t>
      </w:r>
      <w:r>
        <w:rPr>
          <w:rFonts w:hint="eastAsia" w:ascii="宋体" w:hAnsi="宋体"/>
          <w:b/>
          <w:szCs w:val="24"/>
        </w:rPr>
        <w:t>《评审办法前附表》，如未载明的，为取值范围的最低限。</w:t>
      </w:r>
    </w:p>
    <w:tbl>
      <w:tblPr>
        <w:tblStyle w:val="30"/>
        <w:tblW w:w="8301"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2126"/>
        <w:gridCol w:w="1559"/>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pPr>
              <w:jc w:val="center"/>
              <w:rPr>
                <w:rFonts w:ascii="宋体" w:hAnsi="宋体"/>
                <w:b/>
                <w:szCs w:val="21"/>
                <w:lang w:val="en-GB"/>
              </w:rPr>
            </w:pPr>
            <w:r>
              <w:rPr>
                <w:rFonts w:hint="eastAsia" w:ascii="宋体" w:hAnsi="宋体"/>
                <w:b/>
                <w:szCs w:val="21"/>
                <w:lang w:val="en-GB"/>
              </w:rPr>
              <w:t>报价产品</w:t>
            </w:r>
          </w:p>
        </w:tc>
        <w:tc>
          <w:tcPr>
            <w:tcW w:w="2126" w:type="dxa"/>
            <w:vAlign w:val="center"/>
          </w:tcPr>
          <w:p>
            <w:pPr>
              <w:jc w:val="center"/>
              <w:rPr>
                <w:rFonts w:ascii="宋体" w:hAnsi="宋体"/>
                <w:b/>
                <w:szCs w:val="21"/>
                <w:lang w:val="en-GB"/>
              </w:rPr>
            </w:pPr>
            <w:r>
              <w:rPr>
                <w:rFonts w:hint="eastAsia" w:ascii="宋体" w:hAnsi="宋体"/>
                <w:b/>
                <w:szCs w:val="21"/>
              </w:rPr>
              <w:t>优惠方式</w:t>
            </w:r>
          </w:p>
        </w:tc>
        <w:tc>
          <w:tcPr>
            <w:tcW w:w="1559" w:type="dxa"/>
            <w:vAlign w:val="center"/>
          </w:tcPr>
          <w:p>
            <w:pPr>
              <w:jc w:val="center"/>
              <w:rPr>
                <w:rFonts w:ascii="宋体" w:hAnsi="宋体"/>
                <w:b/>
                <w:szCs w:val="21"/>
                <w:lang w:val="en-GB"/>
              </w:rPr>
            </w:pPr>
            <w:r>
              <w:rPr>
                <w:rFonts w:hint="eastAsia" w:ascii="宋体" w:hAnsi="宋体"/>
                <w:b/>
                <w:szCs w:val="21"/>
                <w:lang w:val="en-GB"/>
              </w:rPr>
              <w:t>价格扣除比例取值范围</w:t>
            </w:r>
          </w:p>
        </w:tc>
        <w:tc>
          <w:tcPr>
            <w:tcW w:w="3261" w:type="dxa"/>
            <w:vAlign w:val="center"/>
          </w:tcPr>
          <w:p>
            <w:pPr>
              <w:jc w:val="center"/>
              <w:rPr>
                <w:rFonts w:ascii="宋体" w:hAnsi="宋体"/>
                <w:b/>
                <w:szCs w:val="21"/>
                <w:lang w:val="en-GB"/>
              </w:rPr>
            </w:pPr>
            <w:r>
              <w:rPr>
                <w:rFonts w:hint="eastAsia" w:ascii="宋体" w:hAnsi="宋体"/>
                <w:b/>
                <w:szCs w:val="21"/>
                <w:lang w:val="en-GB"/>
              </w:rPr>
              <w:t>计算公式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pPr>
              <w:rPr>
                <w:rFonts w:ascii="宋体" w:hAnsi="宋体"/>
                <w:szCs w:val="21"/>
                <w:lang w:val="en-GB"/>
              </w:rPr>
            </w:pPr>
            <w:r>
              <w:rPr>
                <w:rFonts w:hint="eastAsia" w:ascii="宋体" w:hAnsi="宋体"/>
                <w:szCs w:val="21"/>
                <w:lang w:val="en-GB"/>
              </w:rPr>
              <w:t>节能产品</w:t>
            </w:r>
          </w:p>
        </w:tc>
        <w:tc>
          <w:tcPr>
            <w:tcW w:w="2126" w:type="dxa"/>
            <w:tcBorders>
              <w:top w:val="single" w:color="auto" w:sz="4" w:space="0"/>
              <w:left w:val="single" w:color="auto" w:sz="4" w:space="0"/>
              <w:right w:val="single" w:color="auto" w:sz="4" w:space="0"/>
            </w:tcBorders>
            <w:vAlign w:val="center"/>
          </w:tcPr>
          <w:p>
            <w:pPr>
              <w:rPr>
                <w:rFonts w:ascii="宋体" w:hAnsi="宋体"/>
                <w:szCs w:val="21"/>
              </w:rPr>
            </w:pPr>
            <w:r>
              <w:rPr>
                <w:rFonts w:hint="eastAsia" w:ascii="宋体" w:hAnsi="宋体"/>
                <w:szCs w:val="21"/>
              </w:rPr>
              <w:t>对节能产品报价给予C3的价格扣除</w:t>
            </w:r>
          </w:p>
        </w:tc>
        <w:tc>
          <w:tcPr>
            <w:tcW w:w="1559" w:type="dxa"/>
            <w:tcBorders>
              <w:top w:val="single" w:color="auto" w:sz="4" w:space="0"/>
              <w:left w:val="single" w:color="auto" w:sz="4" w:space="0"/>
              <w:right w:val="single" w:color="auto" w:sz="4" w:space="0"/>
            </w:tcBorders>
            <w:vAlign w:val="center"/>
          </w:tcPr>
          <w:p>
            <w:pPr>
              <w:rPr>
                <w:rFonts w:ascii="宋体" w:hAnsi="宋体"/>
                <w:szCs w:val="21"/>
                <w:lang w:val="en-GB"/>
              </w:rPr>
            </w:pPr>
            <w:r>
              <w:rPr>
                <w:rFonts w:hint="eastAsia" w:ascii="宋体" w:hAnsi="宋体"/>
                <w:szCs w:val="21"/>
              </w:rPr>
              <w:t>C3=1%～5%</w:t>
            </w:r>
          </w:p>
        </w:tc>
        <w:tc>
          <w:tcPr>
            <w:tcW w:w="3261" w:type="dxa"/>
          </w:tcPr>
          <w:p>
            <w:pPr>
              <w:rPr>
                <w:rFonts w:ascii="宋体" w:hAnsi="宋体"/>
                <w:szCs w:val="21"/>
              </w:rPr>
            </w:pPr>
            <w:r>
              <w:rPr>
                <w:rFonts w:hint="eastAsia" w:ascii="宋体" w:hAnsi="宋体"/>
                <w:szCs w:val="21"/>
              </w:rPr>
              <w:t>评审价＝核实价-节能产品核实价×C3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pPr>
              <w:rPr>
                <w:rFonts w:ascii="宋体" w:hAnsi="宋体"/>
                <w:b/>
                <w:szCs w:val="21"/>
                <w:lang w:val="en-GB"/>
              </w:rPr>
            </w:pPr>
            <w:r>
              <w:rPr>
                <w:rFonts w:hint="eastAsia" w:ascii="宋体" w:hAnsi="宋体"/>
                <w:szCs w:val="21"/>
              </w:rPr>
              <w:t>环境标志产品</w:t>
            </w:r>
          </w:p>
        </w:tc>
        <w:tc>
          <w:tcPr>
            <w:tcW w:w="2126" w:type="dxa"/>
            <w:tcBorders>
              <w:top w:val="single" w:color="auto" w:sz="4" w:space="0"/>
              <w:left w:val="single" w:color="auto" w:sz="4" w:space="0"/>
              <w:right w:val="single" w:color="auto" w:sz="4" w:space="0"/>
            </w:tcBorders>
            <w:vAlign w:val="center"/>
          </w:tcPr>
          <w:p>
            <w:pPr>
              <w:rPr>
                <w:rFonts w:ascii="宋体" w:hAnsi="宋体"/>
                <w:szCs w:val="21"/>
              </w:rPr>
            </w:pPr>
            <w:r>
              <w:rPr>
                <w:rFonts w:hint="eastAsia" w:ascii="宋体" w:hAnsi="宋体"/>
                <w:szCs w:val="21"/>
              </w:rPr>
              <w:t>对环境标志产品报价给予C4的价格扣除</w:t>
            </w:r>
          </w:p>
        </w:tc>
        <w:tc>
          <w:tcPr>
            <w:tcW w:w="1559" w:type="dxa"/>
            <w:tcBorders>
              <w:top w:val="single" w:color="auto" w:sz="4" w:space="0"/>
              <w:left w:val="single" w:color="auto" w:sz="4" w:space="0"/>
              <w:right w:val="single" w:color="auto" w:sz="4" w:space="0"/>
            </w:tcBorders>
            <w:vAlign w:val="center"/>
          </w:tcPr>
          <w:p>
            <w:pPr>
              <w:rPr>
                <w:rFonts w:ascii="宋体" w:hAnsi="宋体"/>
                <w:szCs w:val="21"/>
                <w:lang w:val="en-GB"/>
              </w:rPr>
            </w:pPr>
            <w:r>
              <w:rPr>
                <w:rFonts w:hint="eastAsia" w:ascii="宋体" w:hAnsi="宋体"/>
                <w:szCs w:val="21"/>
              </w:rPr>
              <w:t>C4=1%～5%</w:t>
            </w:r>
          </w:p>
        </w:tc>
        <w:tc>
          <w:tcPr>
            <w:tcW w:w="3261" w:type="dxa"/>
          </w:tcPr>
          <w:p>
            <w:pPr>
              <w:rPr>
                <w:rFonts w:ascii="宋体" w:hAnsi="宋体"/>
                <w:szCs w:val="21"/>
              </w:rPr>
            </w:pPr>
            <w:r>
              <w:rPr>
                <w:rFonts w:hint="eastAsia" w:ascii="宋体" w:hAnsi="宋体"/>
                <w:szCs w:val="21"/>
              </w:rPr>
              <w:t>评审价＝核实价-环境标志产品核实价×C4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01" w:type="dxa"/>
            <w:gridSpan w:val="4"/>
            <w:vAlign w:val="center"/>
          </w:tcPr>
          <w:p>
            <w:pPr>
              <w:tabs>
                <w:tab w:val="left" w:pos="567"/>
              </w:tabs>
              <w:rPr>
                <w:rFonts w:ascii="宋体" w:hAnsi="宋体"/>
                <w:szCs w:val="21"/>
              </w:rPr>
            </w:pPr>
            <w:r>
              <w:rPr>
                <w:rFonts w:hint="eastAsia" w:ascii="宋体" w:hAnsi="宋体"/>
                <w:szCs w:val="21"/>
              </w:rPr>
              <w:t>注：</w:t>
            </w:r>
          </w:p>
          <w:p>
            <w:pPr>
              <w:pStyle w:val="38"/>
              <w:numPr>
                <w:ilvl w:val="0"/>
                <w:numId w:val="56"/>
              </w:numPr>
              <w:tabs>
                <w:tab w:val="left" w:pos="567"/>
              </w:tabs>
              <w:ind w:left="0" w:firstLine="0" w:firstLineChars="0"/>
              <w:rPr>
                <w:rFonts w:ascii="宋体" w:hAnsi="宋体"/>
                <w:szCs w:val="21"/>
              </w:rPr>
            </w:pPr>
            <w:r>
              <w:rPr>
                <w:rFonts w:hint="eastAsia" w:ascii="宋体" w:hAnsi="宋体"/>
                <w:szCs w:val="21"/>
              </w:rPr>
              <w:t>同一种货物同时属于节能产品和环境标志产品的，仅享受一次评审优惠。</w:t>
            </w:r>
          </w:p>
          <w:p>
            <w:pPr>
              <w:pStyle w:val="38"/>
              <w:numPr>
                <w:ilvl w:val="0"/>
                <w:numId w:val="56"/>
              </w:numPr>
              <w:tabs>
                <w:tab w:val="left" w:pos="567"/>
              </w:tabs>
              <w:ind w:left="0" w:firstLine="0" w:firstLineChars="0"/>
              <w:rPr>
                <w:rFonts w:ascii="宋体" w:hAnsi="宋体"/>
                <w:szCs w:val="21"/>
              </w:rPr>
            </w:pPr>
            <w:r>
              <w:rPr>
                <w:rFonts w:hint="eastAsia" w:ascii="宋体" w:hAnsi="宋体"/>
                <w:szCs w:val="21"/>
              </w:rPr>
              <w:t>上述价格扣除的评审优惠不能与技术/服务加分评审优惠同时使用。</w:t>
            </w:r>
          </w:p>
          <w:p>
            <w:pPr>
              <w:pStyle w:val="38"/>
              <w:numPr>
                <w:ilvl w:val="0"/>
                <w:numId w:val="56"/>
              </w:numPr>
              <w:tabs>
                <w:tab w:val="left" w:pos="567"/>
              </w:tabs>
              <w:ind w:left="480" w:hanging="480" w:hangingChars="200"/>
              <w:rPr>
                <w:rFonts w:ascii="宋体" w:hAnsi="宋体"/>
                <w:szCs w:val="21"/>
              </w:rPr>
            </w:pPr>
            <w:r>
              <w:rPr>
                <w:rFonts w:hint="eastAsia" w:ascii="宋体" w:hAnsi="宋体"/>
                <w:szCs w:val="21"/>
              </w:rPr>
              <w:t>报价供应商须填写所报价节能产品或环境标志产品的情况</w:t>
            </w:r>
            <w:r>
              <w:rPr>
                <w:rFonts w:hint="eastAsia" w:ascii="宋体" w:hAnsi="宋体"/>
                <w:bCs/>
                <w:szCs w:val="21"/>
              </w:rPr>
              <w:t>（格式见《响应文件格式》）</w:t>
            </w:r>
            <w:r>
              <w:rPr>
                <w:rFonts w:hint="eastAsia" w:ascii="宋体" w:hAnsi="宋体"/>
                <w:szCs w:val="21"/>
              </w:rPr>
              <w:t>，并</w:t>
            </w:r>
            <w:r>
              <w:rPr>
                <w:rFonts w:hint="eastAsia" w:ascii="等线" w:hAnsi="等线"/>
                <w:szCs w:val="21"/>
              </w:rPr>
              <w:t>提供国家确定的认证机构出具的、处于有效期之内的节能产品或环境标志产品认证证书资料。</w:t>
            </w:r>
          </w:p>
        </w:tc>
      </w:tr>
      <w:bookmarkEnd w:id="336"/>
    </w:tbl>
    <w:p>
      <w:pPr>
        <w:tabs>
          <w:tab w:val="left" w:pos="567"/>
        </w:tabs>
        <w:ind w:left="567"/>
        <w:rPr>
          <w:rFonts w:ascii="宋体" w:hAnsi="宋体"/>
          <w:szCs w:val="24"/>
        </w:rPr>
      </w:pPr>
    </w:p>
    <w:p>
      <w:r>
        <w:br w:type="page"/>
      </w:r>
      <w:bookmarkEnd w:id="232"/>
      <w:bookmarkStart w:id="337" w:name="_Toc44687995"/>
      <w:bookmarkEnd w:id="337"/>
      <w:bookmarkStart w:id="338" w:name="_Toc44688001"/>
      <w:bookmarkEnd w:id="338"/>
      <w:bookmarkStart w:id="339" w:name="_Toc44688227"/>
      <w:bookmarkEnd w:id="339"/>
      <w:bookmarkStart w:id="340" w:name="_Toc44688221"/>
      <w:bookmarkEnd w:id="340"/>
    </w:p>
    <w:p/>
    <w:p/>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pStyle w:val="3"/>
        <w:numPr>
          <w:ilvl w:val="0"/>
          <w:numId w:val="3"/>
        </w:numPr>
        <w:spacing w:before="0" w:after="0" w:line="360" w:lineRule="auto"/>
        <w:ind w:left="0" w:firstLine="0"/>
        <w:jc w:val="center"/>
        <w:rPr>
          <w:rFonts w:ascii="宋体" w:hAnsi="宋体"/>
          <w:kern w:val="0"/>
          <w:sz w:val="36"/>
          <w:szCs w:val="36"/>
        </w:rPr>
      </w:pPr>
      <w:bookmarkStart w:id="341" w:name="_Toc22806173"/>
      <w:r>
        <w:rPr>
          <w:rFonts w:hint="eastAsia" w:ascii="宋体" w:hAnsi="宋体"/>
          <w:kern w:val="0"/>
          <w:sz w:val="36"/>
          <w:szCs w:val="36"/>
        </w:rPr>
        <w:t xml:space="preserve">  </w:t>
      </w:r>
      <w:bookmarkStart w:id="342" w:name="_Toc56180332"/>
      <w:r>
        <w:rPr>
          <w:rFonts w:hint="eastAsia" w:ascii="宋体" w:hAnsi="宋体"/>
          <w:kern w:val="0"/>
          <w:sz w:val="36"/>
          <w:szCs w:val="36"/>
        </w:rPr>
        <w:t>拟签订的合同文本</w:t>
      </w:r>
      <w:bookmarkEnd w:id="341"/>
      <w:bookmarkEnd w:id="342"/>
    </w:p>
    <w:p>
      <w:pPr>
        <w:pStyle w:val="2"/>
        <w:spacing w:line="278" w:lineRule="auto"/>
      </w:pPr>
      <w:r>
        <w:rPr>
          <w:rFonts w:hint="eastAsia" w:ascii="宋体" w:hAnsi="宋体"/>
          <w:szCs w:val="24"/>
        </w:rPr>
        <w:t>（注：合同格式为合同的参考文本，除实质性内容外，合同签订双方可根据项目的具体要求进行修订。若本项目（采购包）属于专门面向中小企业采购，则本合同为中小企业预留合同</w:t>
      </w:r>
      <w:r>
        <w:rPr>
          <w:rFonts w:hint="eastAsia" w:ascii="宋体" w:hAnsi="宋体"/>
          <w:szCs w:val="24"/>
        </w:rPr>
        <w:tab/>
      </w:r>
      <w:r>
        <w:rPr>
          <w:rFonts w:hint="eastAsia" w:ascii="宋体" w:hAnsi="宋体"/>
          <w:szCs w:val="24"/>
        </w:rPr>
        <w:t>）</w:t>
      </w:r>
      <w:r>
        <w:rPr>
          <w:rFonts w:ascii="宋体" w:hAnsi="宋体"/>
          <w:szCs w:val="24"/>
        </w:rPr>
        <w:br w:type="page"/>
      </w:r>
    </w:p>
    <w:p>
      <w:pPr>
        <w:pStyle w:val="2"/>
        <w:spacing w:line="278" w:lineRule="auto"/>
      </w:pPr>
    </w:p>
    <w:p>
      <w:pPr>
        <w:tabs>
          <w:tab w:val="left" w:pos="420"/>
          <w:tab w:val="left" w:pos="6660"/>
        </w:tabs>
        <w:spacing w:line="1600" w:lineRule="atLeast"/>
        <w:jc w:val="center"/>
        <w:rPr>
          <w:rFonts w:ascii="黑体" w:hAnsi="黑体" w:eastAsia="黑体" w:cs="黑体"/>
          <w:b/>
          <w:bCs/>
          <w:spacing w:val="92"/>
          <w:sz w:val="44"/>
          <w:szCs w:val="44"/>
        </w:rPr>
      </w:pPr>
      <w:r>
        <w:rPr>
          <w:rFonts w:hint="eastAsia" w:ascii="黑体" w:hAnsi="黑体" w:eastAsia="黑体" w:cs="黑体"/>
          <w:b/>
          <w:bCs/>
          <w:spacing w:val="92"/>
          <w:sz w:val="44"/>
          <w:szCs w:val="44"/>
        </w:rPr>
        <w:t>广州白云机场海关</w:t>
      </w:r>
    </w:p>
    <w:p>
      <w:pPr>
        <w:spacing w:before="146" w:line="218" w:lineRule="auto"/>
        <w:ind w:left="1578" w:firstLine="883" w:firstLineChars="200"/>
        <w:rPr>
          <w:rFonts w:ascii="黑体" w:hAnsi="黑体" w:eastAsia="黑体" w:cs="黑体"/>
          <w:b/>
          <w:bCs/>
          <w:sz w:val="44"/>
          <w:szCs w:val="44"/>
        </w:rPr>
      </w:pPr>
    </w:p>
    <w:p>
      <w:pPr>
        <w:pStyle w:val="2"/>
        <w:spacing w:line="245" w:lineRule="auto"/>
        <w:rPr>
          <w:rFonts w:ascii="黑体" w:hAnsi="黑体" w:eastAsia="黑体" w:cs="黑体"/>
          <w:b/>
          <w:bCs/>
        </w:rPr>
      </w:pPr>
    </w:p>
    <w:p>
      <w:pPr>
        <w:pStyle w:val="2"/>
        <w:spacing w:line="245" w:lineRule="auto"/>
        <w:rPr>
          <w:rFonts w:ascii="黑体" w:hAnsi="黑体" w:eastAsia="黑体" w:cs="黑体"/>
          <w:b/>
          <w:bCs/>
        </w:rPr>
      </w:pPr>
    </w:p>
    <w:p>
      <w:pPr>
        <w:pStyle w:val="2"/>
        <w:spacing w:line="245" w:lineRule="auto"/>
        <w:rPr>
          <w:rFonts w:ascii="黑体" w:hAnsi="黑体" w:eastAsia="黑体" w:cs="黑体"/>
          <w:b/>
          <w:bCs/>
        </w:rPr>
      </w:pPr>
    </w:p>
    <w:p>
      <w:pPr>
        <w:pStyle w:val="2"/>
        <w:spacing w:line="245" w:lineRule="auto"/>
        <w:rPr>
          <w:rFonts w:ascii="黑体" w:hAnsi="黑体" w:eastAsia="黑体" w:cs="黑体"/>
          <w:b/>
          <w:bCs/>
        </w:rPr>
      </w:pPr>
    </w:p>
    <w:p>
      <w:pPr>
        <w:pStyle w:val="2"/>
        <w:spacing w:line="245" w:lineRule="auto"/>
        <w:rPr>
          <w:rFonts w:ascii="黑体" w:hAnsi="黑体" w:eastAsia="黑体" w:cs="黑体"/>
          <w:b/>
          <w:bCs/>
        </w:rPr>
      </w:pPr>
    </w:p>
    <w:p>
      <w:pPr>
        <w:pStyle w:val="2"/>
        <w:spacing w:line="245" w:lineRule="auto"/>
        <w:rPr>
          <w:rFonts w:ascii="黑体" w:hAnsi="黑体" w:eastAsia="黑体" w:cs="黑体"/>
          <w:b/>
          <w:bCs/>
        </w:rPr>
      </w:pPr>
    </w:p>
    <w:p>
      <w:pPr>
        <w:jc w:val="center"/>
        <w:rPr>
          <w:rFonts w:ascii="黑体" w:hAnsi="黑体" w:eastAsia="黑体" w:cs="黑体"/>
          <w:b/>
          <w:bCs/>
          <w:sz w:val="44"/>
          <w:szCs w:val="44"/>
        </w:rPr>
      </w:pPr>
      <w:r>
        <w:rPr>
          <w:rFonts w:hint="eastAsia" w:ascii="黑体" w:hAnsi="黑体" w:eastAsia="黑体" w:cs="黑体"/>
          <w:b/>
          <w:bCs/>
          <w:sz w:val="44"/>
          <w:szCs w:val="44"/>
        </w:rPr>
        <w:t>服</w:t>
      </w:r>
    </w:p>
    <w:p>
      <w:pPr>
        <w:jc w:val="center"/>
        <w:rPr>
          <w:rFonts w:ascii="黑体" w:hAnsi="黑体" w:eastAsia="黑体" w:cs="黑体"/>
          <w:b/>
          <w:bCs/>
          <w:sz w:val="44"/>
          <w:szCs w:val="44"/>
        </w:rPr>
      </w:pPr>
      <w:r>
        <w:rPr>
          <w:rFonts w:hint="eastAsia" w:ascii="黑体" w:hAnsi="黑体" w:eastAsia="黑体" w:cs="黑体"/>
          <w:b/>
          <w:bCs/>
          <w:sz w:val="44"/>
          <w:szCs w:val="44"/>
        </w:rPr>
        <w:t>务</w:t>
      </w:r>
    </w:p>
    <w:p>
      <w:pPr>
        <w:jc w:val="center"/>
        <w:rPr>
          <w:rFonts w:ascii="黑体" w:hAnsi="黑体" w:eastAsia="黑体" w:cs="黑体"/>
          <w:b/>
          <w:bCs/>
          <w:sz w:val="44"/>
          <w:szCs w:val="44"/>
        </w:rPr>
      </w:pPr>
      <w:r>
        <w:rPr>
          <w:rFonts w:hint="eastAsia" w:ascii="黑体" w:hAnsi="黑体" w:eastAsia="黑体" w:cs="黑体"/>
          <w:b/>
          <w:bCs/>
          <w:sz w:val="44"/>
          <w:szCs w:val="44"/>
        </w:rPr>
        <w:t>采</w:t>
      </w:r>
    </w:p>
    <w:p>
      <w:pPr>
        <w:jc w:val="center"/>
        <w:rPr>
          <w:rFonts w:ascii="黑体" w:hAnsi="黑体" w:eastAsia="黑体" w:cs="黑体"/>
          <w:b/>
          <w:bCs/>
          <w:sz w:val="44"/>
          <w:szCs w:val="44"/>
        </w:rPr>
      </w:pPr>
      <w:r>
        <w:rPr>
          <w:rFonts w:hint="eastAsia" w:ascii="黑体" w:hAnsi="黑体" w:eastAsia="黑体" w:cs="黑体"/>
          <w:b/>
          <w:bCs/>
          <w:sz w:val="44"/>
          <w:szCs w:val="44"/>
        </w:rPr>
        <w:t>购</w:t>
      </w:r>
    </w:p>
    <w:p>
      <w:pPr>
        <w:jc w:val="center"/>
        <w:rPr>
          <w:rFonts w:ascii="黑体" w:hAnsi="黑体" w:eastAsia="黑体" w:cs="黑体"/>
          <w:b/>
          <w:bCs/>
          <w:sz w:val="44"/>
          <w:szCs w:val="44"/>
        </w:rPr>
      </w:pPr>
      <w:r>
        <w:rPr>
          <w:rFonts w:hint="eastAsia" w:ascii="黑体" w:hAnsi="黑体" w:eastAsia="黑体" w:cs="黑体"/>
          <w:b/>
          <w:bCs/>
          <w:sz w:val="44"/>
          <w:szCs w:val="44"/>
        </w:rPr>
        <w:t>合</w:t>
      </w:r>
    </w:p>
    <w:p>
      <w:pPr>
        <w:jc w:val="center"/>
        <w:rPr>
          <w:rFonts w:ascii="黑体" w:hAnsi="黑体" w:eastAsia="黑体" w:cs="黑体"/>
          <w:b/>
          <w:bCs/>
          <w:sz w:val="44"/>
          <w:szCs w:val="44"/>
        </w:rPr>
      </w:pPr>
      <w:r>
        <w:rPr>
          <w:rFonts w:hint="eastAsia" w:ascii="黑体" w:hAnsi="黑体" w:eastAsia="黑体" w:cs="黑体"/>
          <w:b/>
          <w:bCs/>
          <w:sz w:val="44"/>
          <w:szCs w:val="44"/>
        </w:rPr>
        <w:t>同</w:t>
      </w:r>
    </w:p>
    <w:p>
      <w:pPr>
        <w:jc w:val="center"/>
        <w:rPr>
          <w:rFonts w:ascii="黑体" w:hAnsi="黑体" w:eastAsia="黑体" w:cs="黑体"/>
          <w:b/>
          <w:bCs/>
          <w:sz w:val="44"/>
          <w:szCs w:val="44"/>
        </w:rPr>
      </w:pPr>
      <w:r>
        <w:rPr>
          <w:rFonts w:hint="eastAsia" w:ascii="黑体" w:hAnsi="黑体" w:eastAsia="黑体" w:cs="黑体"/>
          <w:b/>
          <w:bCs/>
          <w:sz w:val="44"/>
          <w:szCs w:val="44"/>
        </w:rPr>
        <w:t>书</w:t>
      </w:r>
    </w:p>
    <w:p>
      <w:pPr>
        <w:pStyle w:val="2"/>
        <w:spacing w:line="245" w:lineRule="auto"/>
        <w:rPr>
          <w:rFonts w:ascii="黑体" w:hAnsi="黑体" w:eastAsia="黑体" w:cs="黑体"/>
        </w:rPr>
      </w:pPr>
    </w:p>
    <w:p>
      <w:pPr>
        <w:pStyle w:val="2"/>
        <w:spacing w:line="247" w:lineRule="auto"/>
        <w:rPr>
          <w:rFonts w:ascii="黑体" w:hAnsi="黑体" w:eastAsia="黑体" w:cs="黑体"/>
        </w:rPr>
      </w:pPr>
    </w:p>
    <w:p>
      <w:pPr>
        <w:widowControl/>
        <w:tabs>
          <w:tab w:val="left" w:pos="6360"/>
        </w:tabs>
        <w:kinsoku w:val="0"/>
        <w:wordWrap/>
        <w:autoSpaceDE w:val="0"/>
        <w:autoSpaceDN w:val="0"/>
        <w:adjustRightInd w:val="0"/>
        <w:snapToGrid w:val="0"/>
        <w:spacing w:before="91" w:line="370" w:lineRule="auto"/>
        <w:ind w:right="1962"/>
        <w:textAlignment w:val="baseline"/>
        <w:rPr>
          <w:rFonts w:ascii="黑体" w:hAnsi="黑体" w:eastAsia="黑体" w:cs="黑体"/>
          <w:b/>
          <w:bCs/>
          <w:sz w:val="28"/>
          <w:szCs w:val="28"/>
        </w:rPr>
      </w:pPr>
      <w:r>
        <w:rPr>
          <w:rFonts w:hint="eastAsia" w:ascii="黑体" w:hAnsi="黑体" w:eastAsia="黑体" w:cs="黑体"/>
          <w:b/>
          <w:bCs/>
          <w:spacing w:val="-7"/>
          <w:sz w:val="28"/>
          <w:szCs w:val="28"/>
        </w:rPr>
        <w:t>采购编号：</w:t>
      </w:r>
      <w:r>
        <w:rPr>
          <w:rFonts w:hint="eastAsia" w:ascii="黑体" w:hAnsi="黑体" w:eastAsia="黑体" w:cs="黑体"/>
          <w:b/>
          <w:bCs/>
          <w:sz w:val="28"/>
          <w:szCs w:val="28"/>
          <w:u w:val="single"/>
        </w:rPr>
        <w:t xml:space="preserve">               </w:t>
      </w:r>
      <w:r>
        <w:rPr>
          <w:rFonts w:hint="eastAsia" w:ascii="黑体" w:hAnsi="黑体" w:eastAsia="黑体" w:cs="黑体"/>
          <w:b/>
          <w:bCs/>
          <w:sz w:val="28"/>
          <w:szCs w:val="28"/>
        </w:rPr>
        <w:t xml:space="preserve">   </w:t>
      </w:r>
    </w:p>
    <w:p>
      <w:pPr>
        <w:widowControl/>
        <w:tabs>
          <w:tab w:val="left" w:pos="6360"/>
        </w:tabs>
        <w:kinsoku w:val="0"/>
        <w:wordWrap/>
        <w:autoSpaceDE w:val="0"/>
        <w:autoSpaceDN w:val="0"/>
        <w:adjustRightInd w:val="0"/>
        <w:snapToGrid w:val="0"/>
        <w:spacing w:before="91" w:line="370" w:lineRule="auto"/>
        <w:ind w:right="1962"/>
        <w:textAlignment w:val="baseline"/>
        <w:rPr>
          <w:rFonts w:ascii="黑体" w:hAnsi="黑体" w:eastAsia="黑体" w:cs="黑体"/>
          <w:b/>
          <w:bCs/>
          <w:sz w:val="28"/>
          <w:szCs w:val="28"/>
        </w:rPr>
      </w:pPr>
      <w:r>
        <w:rPr>
          <w:rFonts w:hint="eastAsia" w:ascii="黑体" w:hAnsi="黑体" w:eastAsia="黑体" w:cs="黑体"/>
          <w:b/>
          <w:bCs/>
          <w:spacing w:val="-7"/>
          <w:sz w:val="28"/>
          <w:szCs w:val="28"/>
        </w:rPr>
        <w:t>合同编号：</w:t>
      </w:r>
      <w:r>
        <w:rPr>
          <w:rFonts w:hint="eastAsia" w:ascii="黑体" w:hAnsi="黑体" w:eastAsia="黑体" w:cs="黑体"/>
          <w:b/>
          <w:bCs/>
          <w:spacing w:val="73"/>
          <w:sz w:val="28"/>
          <w:szCs w:val="28"/>
          <w:u w:val="single"/>
        </w:rPr>
        <w:t xml:space="preserve"> </w:t>
      </w:r>
      <w:r>
        <w:rPr>
          <w:rFonts w:hint="eastAsia" w:ascii="黑体" w:hAnsi="黑体" w:eastAsia="黑体" w:cs="黑体"/>
          <w:b/>
          <w:bCs/>
          <w:sz w:val="28"/>
          <w:szCs w:val="28"/>
          <w:u w:val="single"/>
        </w:rPr>
        <w:t xml:space="preserve">             </w:t>
      </w:r>
      <w:r>
        <w:rPr>
          <w:rFonts w:hint="eastAsia" w:ascii="黑体" w:hAnsi="黑体" w:eastAsia="黑体" w:cs="黑体"/>
          <w:b/>
          <w:bCs/>
          <w:sz w:val="28"/>
          <w:szCs w:val="28"/>
        </w:rPr>
        <w:t xml:space="preserve"> </w:t>
      </w:r>
    </w:p>
    <w:p>
      <w:pPr>
        <w:widowControl/>
        <w:tabs>
          <w:tab w:val="left" w:pos="6360"/>
        </w:tabs>
        <w:kinsoku w:val="0"/>
        <w:wordWrap/>
        <w:autoSpaceDE w:val="0"/>
        <w:autoSpaceDN w:val="0"/>
        <w:adjustRightInd w:val="0"/>
        <w:snapToGrid w:val="0"/>
        <w:spacing w:before="91" w:line="370" w:lineRule="auto"/>
        <w:ind w:right="1962"/>
        <w:textAlignment w:val="baseline"/>
        <w:rPr>
          <w:rFonts w:ascii="黑体" w:hAnsi="黑体" w:eastAsia="黑体" w:cs="黑体"/>
          <w:b/>
          <w:bCs/>
          <w:sz w:val="28"/>
          <w:szCs w:val="28"/>
        </w:rPr>
      </w:pPr>
      <w:r>
        <w:rPr>
          <w:rFonts w:hint="eastAsia" w:ascii="黑体" w:hAnsi="黑体" w:eastAsia="黑体" w:cs="黑体"/>
          <w:b/>
          <w:bCs/>
          <w:spacing w:val="-7"/>
          <w:sz w:val="28"/>
          <w:szCs w:val="28"/>
        </w:rPr>
        <w:t>采购项目：</w:t>
      </w:r>
      <w:r>
        <w:rPr>
          <w:rFonts w:hint="eastAsia" w:ascii="黑体" w:hAnsi="黑体" w:eastAsia="黑体" w:cs="黑体"/>
          <w:b/>
          <w:bCs/>
          <w:sz w:val="28"/>
          <w:szCs w:val="28"/>
          <w:u w:val="single"/>
        </w:rPr>
        <w:t>2026-2027年广州白云机场海关南1、2号楼物业管理服务</w:t>
      </w:r>
    </w:p>
    <w:p>
      <w:pPr>
        <w:widowControl/>
        <w:kinsoku w:val="0"/>
        <w:wordWrap/>
        <w:autoSpaceDE w:val="0"/>
        <w:autoSpaceDN w:val="0"/>
        <w:adjustRightInd w:val="0"/>
        <w:snapToGrid w:val="0"/>
        <w:spacing w:line="370" w:lineRule="auto"/>
        <w:jc w:val="center"/>
        <w:textAlignment w:val="baseline"/>
        <w:rPr>
          <w:rFonts w:ascii="黑体" w:hAnsi="黑体" w:eastAsia="黑体" w:cs="黑体"/>
          <w:sz w:val="32"/>
          <w:szCs w:val="32"/>
        </w:rPr>
        <w:sectPr>
          <w:type w:val="continuous"/>
          <w:pgSz w:w="11920" w:h="16840"/>
          <w:pgMar w:top="1304" w:right="1191" w:bottom="1304" w:left="1191" w:header="0" w:footer="1060" w:gutter="0"/>
          <w:cols w:space="720" w:num="1"/>
          <w:docGrid w:linePitch="326" w:charSpace="0"/>
        </w:sectPr>
      </w:pPr>
    </w:p>
    <w:p>
      <w:pPr>
        <w:widowControl/>
        <w:kinsoku w:val="0"/>
        <w:wordWrap/>
        <w:autoSpaceDE w:val="0"/>
        <w:autoSpaceDN w:val="0"/>
        <w:adjustRightInd w:val="0"/>
        <w:snapToGrid w:val="0"/>
        <w:spacing w:line="560" w:lineRule="exact"/>
        <w:textAlignment w:val="baseline"/>
        <w:rPr>
          <w:rFonts w:ascii="仿宋" w:hAnsi="仿宋" w:eastAsia="仿宋" w:cs="仿宋"/>
          <w:kern w:val="15"/>
          <w:sz w:val="32"/>
          <w:szCs w:val="32"/>
        </w:rPr>
      </w:pPr>
      <w:r>
        <w:rPr>
          <w:rFonts w:hint="eastAsia" w:ascii="仿宋" w:hAnsi="仿宋" w:eastAsia="仿宋" w:cs="仿宋"/>
          <w:b/>
          <w:bCs/>
          <w:kern w:val="15"/>
          <w:sz w:val="32"/>
          <w:szCs w:val="32"/>
        </w:rPr>
        <w:t xml:space="preserve">甲方(采购方):  </w:t>
      </w:r>
      <w:r>
        <w:rPr>
          <w:rFonts w:hint="eastAsia" w:ascii="仿宋" w:hAnsi="仿宋" w:eastAsia="仿宋" w:cs="仿宋"/>
          <w:kern w:val="15"/>
          <w:sz w:val="32"/>
          <w:szCs w:val="32"/>
        </w:rPr>
        <w:t>中华人民共和国广州白云机场海关</w:t>
      </w:r>
    </w:p>
    <w:p>
      <w:pPr>
        <w:widowControl/>
        <w:kinsoku w:val="0"/>
        <w:wordWrap/>
        <w:autoSpaceDE w:val="0"/>
        <w:autoSpaceDN w:val="0"/>
        <w:adjustRightInd w:val="0"/>
        <w:snapToGrid w:val="0"/>
        <w:spacing w:line="560" w:lineRule="exact"/>
        <w:textAlignment w:val="baseline"/>
        <w:rPr>
          <w:rFonts w:ascii="仿宋" w:hAnsi="仿宋" w:eastAsia="仿宋" w:cs="仿宋"/>
          <w:kern w:val="15"/>
          <w:sz w:val="32"/>
          <w:szCs w:val="32"/>
        </w:rPr>
      </w:pPr>
      <w:r>
        <w:rPr>
          <w:rFonts w:hint="eastAsia" w:ascii="仿宋" w:hAnsi="仿宋" w:eastAsia="仿宋" w:cs="仿宋"/>
          <w:kern w:val="15"/>
          <w:sz w:val="32"/>
          <w:szCs w:val="32"/>
        </w:rPr>
        <w:t>联系人：</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 xml:space="preserve">  电话： </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 xml:space="preserve"> 邮箱：</w:t>
      </w:r>
      <w:r>
        <w:rPr>
          <w:rFonts w:hint="eastAsia" w:ascii="仿宋" w:hAnsi="仿宋" w:eastAsia="仿宋" w:cs="仿宋"/>
          <w:kern w:val="15"/>
          <w:sz w:val="32"/>
          <w:szCs w:val="32"/>
          <w:u w:val="single"/>
        </w:rPr>
        <w:t xml:space="preserve">                   </w:t>
      </w:r>
    </w:p>
    <w:p>
      <w:pPr>
        <w:widowControl/>
        <w:kinsoku w:val="0"/>
        <w:wordWrap/>
        <w:autoSpaceDE w:val="0"/>
        <w:autoSpaceDN w:val="0"/>
        <w:adjustRightInd w:val="0"/>
        <w:snapToGrid w:val="0"/>
        <w:spacing w:line="560" w:lineRule="exact"/>
        <w:textAlignment w:val="baseline"/>
        <w:rPr>
          <w:rFonts w:ascii="仿宋" w:hAnsi="仿宋" w:eastAsia="仿宋" w:cs="仿宋"/>
          <w:kern w:val="15"/>
          <w:sz w:val="32"/>
          <w:szCs w:val="32"/>
        </w:rPr>
      </w:pPr>
      <w:r>
        <w:rPr>
          <w:rFonts w:hint="eastAsia" w:ascii="仿宋" w:hAnsi="仿宋" w:eastAsia="仿宋" w:cs="仿宋"/>
          <w:kern w:val="15"/>
          <w:sz w:val="32"/>
          <w:szCs w:val="32"/>
        </w:rPr>
        <w:t>地址：广州市白云区人和镇广州白云国际机场空港四路横一路</w:t>
      </w:r>
    </w:p>
    <w:p>
      <w:pPr>
        <w:widowControl/>
        <w:kinsoku w:val="0"/>
        <w:wordWrap/>
        <w:autoSpaceDE w:val="0"/>
        <w:autoSpaceDN w:val="0"/>
        <w:adjustRightInd w:val="0"/>
        <w:snapToGrid w:val="0"/>
        <w:spacing w:line="560" w:lineRule="exact"/>
        <w:textAlignment w:val="baseline"/>
        <w:rPr>
          <w:rFonts w:ascii="仿宋" w:hAnsi="仿宋" w:eastAsia="仿宋" w:cs="仿宋"/>
          <w:kern w:val="15"/>
          <w:sz w:val="32"/>
          <w:szCs w:val="32"/>
        </w:rPr>
      </w:pPr>
      <w:r>
        <w:rPr>
          <w:rFonts w:hint="eastAsia" w:ascii="仿宋" w:hAnsi="仿宋" w:eastAsia="仿宋" w:cs="仿宋"/>
          <w:b/>
          <w:bCs/>
          <w:kern w:val="15"/>
          <w:sz w:val="32"/>
          <w:szCs w:val="32"/>
        </w:rPr>
        <w:t>乙方(供应方):</w:t>
      </w:r>
      <w:r>
        <w:rPr>
          <w:rFonts w:hint="eastAsia" w:ascii="仿宋" w:hAnsi="仿宋" w:eastAsia="仿宋" w:cs="仿宋"/>
          <w:kern w:val="15"/>
          <w:sz w:val="32"/>
          <w:szCs w:val="32"/>
        </w:rPr>
        <w:t xml:space="preserve"> </w:t>
      </w:r>
      <w:r>
        <w:rPr>
          <w:rFonts w:hint="eastAsia" w:ascii="仿宋" w:hAnsi="仿宋" w:eastAsia="仿宋" w:cs="仿宋"/>
          <w:kern w:val="15"/>
          <w:sz w:val="32"/>
          <w:szCs w:val="32"/>
          <w:u w:val="single"/>
        </w:rPr>
        <w:t xml:space="preserve">                                                    </w:t>
      </w:r>
    </w:p>
    <w:p>
      <w:pPr>
        <w:widowControl/>
        <w:kinsoku w:val="0"/>
        <w:wordWrap/>
        <w:autoSpaceDE w:val="0"/>
        <w:autoSpaceDN w:val="0"/>
        <w:adjustRightInd w:val="0"/>
        <w:snapToGrid w:val="0"/>
        <w:spacing w:line="560" w:lineRule="exact"/>
        <w:textAlignment w:val="baseline"/>
        <w:rPr>
          <w:rFonts w:ascii="仿宋" w:hAnsi="仿宋" w:eastAsia="仿宋" w:cs="仿宋"/>
          <w:kern w:val="15"/>
          <w:sz w:val="32"/>
          <w:szCs w:val="32"/>
        </w:rPr>
      </w:pPr>
      <w:r>
        <w:rPr>
          <w:rFonts w:hint="eastAsia" w:ascii="仿宋" w:hAnsi="仿宋" w:eastAsia="仿宋" w:cs="仿宋"/>
          <w:kern w:val="15"/>
          <w:sz w:val="32"/>
          <w:szCs w:val="32"/>
        </w:rPr>
        <w:t>联系人：</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电话：</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邮箱 ：</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 xml:space="preserve">  </w:t>
      </w:r>
    </w:p>
    <w:p>
      <w:pPr>
        <w:widowControl/>
        <w:kinsoku w:val="0"/>
        <w:wordWrap/>
        <w:autoSpaceDE w:val="0"/>
        <w:autoSpaceDN w:val="0"/>
        <w:adjustRightInd w:val="0"/>
        <w:snapToGrid w:val="0"/>
        <w:spacing w:line="560" w:lineRule="exact"/>
        <w:textAlignment w:val="baseline"/>
        <w:rPr>
          <w:rFonts w:ascii="仿宋" w:hAnsi="仿宋" w:eastAsia="仿宋" w:cs="仿宋"/>
          <w:kern w:val="15"/>
          <w:sz w:val="32"/>
          <w:szCs w:val="32"/>
        </w:rPr>
      </w:pPr>
      <w:r>
        <w:rPr>
          <w:rFonts w:hint="eastAsia" w:ascii="仿宋" w:hAnsi="仿宋" w:eastAsia="仿宋" w:cs="仿宋"/>
          <w:kern w:val="15"/>
          <w:sz w:val="32"/>
          <w:szCs w:val="32"/>
        </w:rPr>
        <w:t>地址 ：</w:t>
      </w:r>
      <w:r>
        <w:rPr>
          <w:rFonts w:hint="eastAsia" w:ascii="仿宋" w:hAnsi="仿宋" w:eastAsia="仿宋" w:cs="仿宋"/>
          <w:kern w:val="15"/>
          <w:sz w:val="32"/>
          <w:szCs w:val="32"/>
          <w:u w:val="single"/>
        </w:rPr>
        <w:t xml:space="preserve">                                                                </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甲、乙双方根据《中华人民共和国民法典》、《中华人民共和国政府采购法》、</w:t>
      </w:r>
      <w:r>
        <w:rPr>
          <w:rFonts w:hint="eastAsia" w:ascii="仿宋" w:hAnsi="仿宋" w:eastAsia="仿宋" w:cs="仿宋"/>
          <w:kern w:val="15"/>
          <w:sz w:val="32"/>
          <w:szCs w:val="32"/>
          <w:u w:val="single"/>
        </w:rPr>
        <w:t xml:space="preserve"> / </w:t>
      </w:r>
      <w:r>
        <w:rPr>
          <w:rFonts w:hint="eastAsia" w:ascii="仿宋" w:hAnsi="仿宋" w:eastAsia="仿宋" w:cs="仿宋"/>
          <w:kern w:val="15"/>
          <w:sz w:val="32"/>
          <w:szCs w:val="32"/>
        </w:rPr>
        <w:t>等相关法律法规的规定，在平等、自愿的基础上，经充分协商，一致同意签订本合同如下 ：</w:t>
      </w:r>
    </w:p>
    <w:p>
      <w:pPr>
        <w:widowControl/>
        <w:kinsoku w:val="0"/>
        <w:wordWrap/>
        <w:autoSpaceDE w:val="0"/>
        <w:autoSpaceDN w:val="0"/>
        <w:adjustRightInd w:val="0"/>
        <w:snapToGrid w:val="0"/>
        <w:spacing w:line="560" w:lineRule="exact"/>
        <w:ind w:firstLine="643" w:firstLineChars="200"/>
        <w:textAlignment w:val="baseline"/>
        <w:rPr>
          <w:rFonts w:ascii="仿宋" w:hAnsi="仿宋" w:eastAsia="仿宋" w:cs="仿宋"/>
          <w:kern w:val="15"/>
          <w:sz w:val="32"/>
          <w:szCs w:val="32"/>
        </w:rPr>
      </w:pPr>
      <w:r>
        <w:rPr>
          <w:rFonts w:hint="eastAsia" w:ascii="仿宋" w:hAnsi="仿宋" w:eastAsia="仿宋" w:cs="仿宋"/>
          <w:b/>
          <w:bCs/>
          <w:kern w:val="15"/>
          <w:sz w:val="32"/>
          <w:szCs w:val="32"/>
        </w:rPr>
        <w:t>一、采购标的</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乙方完全理解甲方服务采购的内容并确保其拥有相关资质完成相关服务。乙方承诺其提供的资质证明文件真实、有效、合法。乙方同意接受甲方委托，提供</w:t>
      </w:r>
      <w:r>
        <w:rPr>
          <w:rFonts w:hint="eastAsia" w:ascii="仿宋" w:hAnsi="仿宋" w:eastAsia="仿宋" w:cs="仿宋"/>
          <w:kern w:val="15"/>
          <w:sz w:val="32"/>
          <w:szCs w:val="32"/>
          <w:u w:val="single"/>
        </w:rPr>
        <w:t>2026-2027年广州白云机场海关南1、2号楼物业管理服务</w:t>
      </w:r>
      <w:r>
        <w:rPr>
          <w:rFonts w:hint="eastAsia" w:ascii="仿宋" w:hAnsi="仿宋" w:eastAsia="仿宋" w:cs="仿宋"/>
          <w:kern w:val="15"/>
          <w:sz w:val="32"/>
          <w:szCs w:val="32"/>
        </w:rPr>
        <w:t>。</w:t>
      </w:r>
    </w:p>
    <w:p>
      <w:pPr>
        <w:widowControl/>
        <w:kinsoku w:val="0"/>
        <w:wordWrap/>
        <w:autoSpaceDE w:val="0"/>
        <w:autoSpaceDN w:val="0"/>
        <w:adjustRightInd w:val="0"/>
        <w:snapToGrid w:val="0"/>
        <w:spacing w:line="560" w:lineRule="exact"/>
        <w:ind w:firstLine="643" w:firstLineChars="200"/>
        <w:textAlignment w:val="baseline"/>
        <w:rPr>
          <w:rFonts w:ascii="仿宋" w:hAnsi="仿宋" w:eastAsia="仿宋" w:cs="仿宋"/>
          <w:kern w:val="15"/>
          <w:sz w:val="32"/>
          <w:szCs w:val="32"/>
        </w:rPr>
      </w:pPr>
      <w:r>
        <w:rPr>
          <w:rFonts w:hint="eastAsia" w:ascii="仿宋" w:hAnsi="仿宋" w:eastAsia="仿宋" w:cs="仿宋"/>
          <w:b/>
          <w:bCs/>
          <w:kern w:val="15"/>
          <w:sz w:val="32"/>
          <w:szCs w:val="32"/>
        </w:rPr>
        <w:t>二、服务内容、标准及收费</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（一）服务内容</w:t>
      </w:r>
      <w:r>
        <w:rPr>
          <w:rFonts w:hint="eastAsia" w:ascii="仿宋" w:hAnsi="仿宋" w:eastAsia="仿宋" w:cs="仿宋"/>
          <w:kern w:val="15"/>
          <w:sz w:val="32"/>
          <w:szCs w:val="32"/>
          <w:u w:val="single"/>
        </w:rPr>
        <w:t>详见附件一采购需求</w:t>
      </w:r>
      <w:r>
        <w:rPr>
          <w:rFonts w:hint="eastAsia" w:ascii="仿宋" w:hAnsi="仿宋" w:eastAsia="仿宋" w:cs="仿宋"/>
          <w:kern w:val="15"/>
          <w:sz w:val="32"/>
          <w:szCs w:val="32"/>
        </w:rPr>
        <w:t>。【</w:t>
      </w:r>
      <w:r>
        <w:rPr>
          <w:rFonts w:ascii="Arial" w:hAnsi="Arial" w:eastAsia="仿宋" w:cs="Arial"/>
          <w:kern w:val="15"/>
          <w:sz w:val="32"/>
          <w:szCs w:val="32"/>
        </w:rPr>
        <w:t>√</w:t>
      </w:r>
      <w:r>
        <w:rPr>
          <w:rFonts w:hint="eastAsia" w:ascii="仿宋" w:hAnsi="仿宋" w:eastAsia="仿宋" w:cs="仿宋"/>
          <w:kern w:val="15"/>
          <w:sz w:val="32"/>
          <w:szCs w:val="32"/>
        </w:rPr>
        <w:t xml:space="preserve">】详见附件一。 </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（二）服务标准</w:t>
      </w:r>
      <w:r>
        <w:rPr>
          <w:rFonts w:hint="eastAsia" w:ascii="仿宋" w:hAnsi="仿宋" w:eastAsia="仿宋" w:cs="仿宋"/>
          <w:kern w:val="15"/>
          <w:sz w:val="32"/>
          <w:szCs w:val="32"/>
          <w:u w:val="single"/>
        </w:rPr>
        <w:t>详见附件一采购需求</w:t>
      </w:r>
      <w:r>
        <w:rPr>
          <w:rFonts w:hint="eastAsia" w:ascii="仿宋" w:hAnsi="仿宋" w:eastAsia="仿宋" w:cs="仿宋"/>
          <w:kern w:val="15"/>
          <w:sz w:val="32"/>
          <w:szCs w:val="32"/>
        </w:rPr>
        <w:t>。【</w:t>
      </w:r>
      <w:r>
        <w:rPr>
          <w:rFonts w:ascii="Arial" w:hAnsi="Arial" w:eastAsia="仿宋" w:cs="Arial"/>
          <w:kern w:val="15"/>
          <w:sz w:val="32"/>
          <w:szCs w:val="32"/>
        </w:rPr>
        <w:t>√</w:t>
      </w:r>
      <w:r>
        <w:rPr>
          <w:rFonts w:hint="eastAsia" w:ascii="仿宋" w:hAnsi="仿宋" w:eastAsia="仿宋" w:cs="仿宋"/>
          <w:kern w:val="15"/>
          <w:sz w:val="32"/>
          <w:szCs w:val="32"/>
        </w:rPr>
        <w:t>】详见附件一。</w:t>
      </w:r>
    </w:p>
    <w:p>
      <w:pPr>
        <w:widowControl/>
        <w:spacing w:line="560" w:lineRule="exact"/>
        <w:ind w:firstLine="640" w:firstLineChars="200"/>
        <w:jc w:val="left"/>
        <w:outlineLvl w:val="0"/>
        <w:rPr>
          <w:rFonts w:ascii="仿宋" w:hAnsi="仿宋" w:eastAsia="仿宋" w:cs="仿宋"/>
          <w:kern w:val="15"/>
          <w:sz w:val="32"/>
          <w:szCs w:val="32"/>
        </w:rPr>
      </w:pPr>
      <w:r>
        <w:rPr>
          <w:rFonts w:hint="eastAsia" w:ascii="仿宋" w:hAnsi="仿宋" w:eastAsia="仿宋" w:cs="仿宋"/>
          <w:kern w:val="15"/>
          <w:sz w:val="32"/>
          <w:szCs w:val="32"/>
        </w:rPr>
        <w:t>（三）服务收费</w:t>
      </w:r>
      <w:r>
        <w:rPr>
          <w:rFonts w:hint="eastAsia" w:ascii="仿宋" w:hAnsi="仿宋" w:eastAsia="仿宋" w:cs="仿宋"/>
          <w:sz w:val="32"/>
          <w:szCs w:val="28"/>
          <w:u w:val="single"/>
        </w:rPr>
        <w:t>合同金额为最高结算金额,届时将根据乙方实际服务费据实结算合同实际款项。详见附件二服务收费。</w:t>
      </w:r>
      <w:r>
        <w:rPr>
          <w:rFonts w:hint="eastAsia" w:ascii="仿宋" w:hAnsi="仿宋" w:eastAsia="仿宋" w:cs="仿宋"/>
          <w:kern w:val="15"/>
          <w:sz w:val="32"/>
          <w:szCs w:val="32"/>
        </w:rPr>
        <w:t>【</w:t>
      </w:r>
      <w:r>
        <w:rPr>
          <w:rFonts w:ascii="Arial" w:hAnsi="Arial" w:eastAsia="仿宋" w:cs="Arial"/>
          <w:kern w:val="15"/>
          <w:sz w:val="32"/>
          <w:szCs w:val="32"/>
        </w:rPr>
        <w:t>√</w:t>
      </w:r>
      <w:r>
        <w:rPr>
          <w:rFonts w:hint="eastAsia" w:ascii="仿宋" w:hAnsi="仿宋" w:eastAsia="仿宋" w:cs="仿宋"/>
          <w:kern w:val="15"/>
          <w:sz w:val="32"/>
          <w:szCs w:val="32"/>
        </w:rPr>
        <w:t>】详见附件二。</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（四）其他补充</w:t>
      </w:r>
      <w:r>
        <w:rPr>
          <w:rFonts w:hint="eastAsia" w:ascii="仿宋" w:hAnsi="仿宋" w:eastAsia="仿宋" w:cs="仿宋"/>
          <w:kern w:val="15"/>
          <w:sz w:val="32"/>
          <w:szCs w:val="32"/>
          <w:u w:val="single"/>
        </w:rPr>
        <w:t xml:space="preserve">                                       。</w:t>
      </w:r>
    </w:p>
    <w:p>
      <w:pPr>
        <w:widowControl/>
        <w:kinsoku w:val="0"/>
        <w:wordWrap/>
        <w:autoSpaceDE w:val="0"/>
        <w:autoSpaceDN w:val="0"/>
        <w:adjustRightInd w:val="0"/>
        <w:snapToGrid w:val="0"/>
        <w:spacing w:line="560" w:lineRule="exact"/>
        <w:ind w:firstLine="643" w:firstLineChars="200"/>
        <w:textAlignment w:val="baseline"/>
        <w:rPr>
          <w:rFonts w:ascii="仿宋" w:hAnsi="仿宋" w:eastAsia="仿宋" w:cs="仿宋"/>
          <w:kern w:val="15"/>
          <w:sz w:val="32"/>
          <w:szCs w:val="32"/>
        </w:rPr>
      </w:pPr>
      <w:r>
        <w:rPr>
          <w:rFonts w:hint="eastAsia" w:ascii="仿宋" w:hAnsi="仿宋" w:eastAsia="仿宋" w:cs="仿宋"/>
          <w:b/>
          <w:bCs/>
          <w:kern w:val="15"/>
          <w:sz w:val="32"/>
          <w:szCs w:val="32"/>
        </w:rPr>
        <w:t>三、合同期限</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本合同期限</w:t>
      </w:r>
      <w:r>
        <w:rPr>
          <w:rFonts w:hint="eastAsia" w:ascii="仿宋" w:hAnsi="仿宋" w:eastAsia="仿宋" w:cs="仿宋"/>
          <w:kern w:val="15"/>
          <w:sz w:val="32"/>
          <w:szCs w:val="32"/>
          <w:u w:val="single"/>
        </w:rPr>
        <w:t>壹年</w:t>
      </w:r>
      <w:r>
        <w:rPr>
          <w:rFonts w:hint="eastAsia" w:ascii="仿宋" w:hAnsi="仿宋" w:eastAsia="仿宋" w:cs="仿宋"/>
          <w:kern w:val="15"/>
          <w:sz w:val="32"/>
          <w:szCs w:val="32"/>
        </w:rPr>
        <w:t>,自</w:t>
      </w:r>
      <w:r>
        <w:rPr>
          <w:rFonts w:hint="eastAsia" w:ascii="仿宋" w:hAnsi="仿宋" w:eastAsia="仿宋" w:cs="仿宋"/>
          <w:kern w:val="15"/>
          <w:sz w:val="32"/>
          <w:szCs w:val="32"/>
          <w:u w:val="single"/>
        </w:rPr>
        <w:t>2026</w:t>
      </w:r>
      <w:r>
        <w:rPr>
          <w:rFonts w:hint="eastAsia" w:ascii="仿宋" w:hAnsi="仿宋" w:eastAsia="仿宋" w:cs="仿宋"/>
          <w:kern w:val="15"/>
          <w:sz w:val="32"/>
          <w:szCs w:val="32"/>
        </w:rPr>
        <w:t>年</w:t>
      </w:r>
      <w:r>
        <w:rPr>
          <w:rFonts w:hint="eastAsia" w:ascii="仿宋" w:hAnsi="仿宋" w:eastAsia="仿宋" w:cs="仿宋"/>
          <w:kern w:val="15"/>
          <w:sz w:val="32"/>
          <w:szCs w:val="32"/>
          <w:u w:val="single"/>
        </w:rPr>
        <w:t>3</w:t>
      </w:r>
      <w:r>
        <w:rPr>
          <w:rFonts w:hint="eastAsia" w:ascii="仿宋" w:hAnsi="仿宋" w:eastAsia="仿宋" w:cs="仿宋"/>
          <w:kern w:val="15"/>
          <w:sz w:val="32"/>
          <w:szCs w:val="32"/>
        </w:rPr>
        <w:t>月</w:t>
      </w:r>
      <w:r>
        <w:rPr>
          <w:rFonts w:hint="eastAsia" w:ascii="仿宋" w:hAnsi="仿宋" w:eastAsia="仿宋" w:cs="仿宋"/>
          <w:kern w:val="15"/>
          <w:sz w:val="32"/>
          <w:szCs w:val="32"/>
          <w:u w:val="single"/>
        </w:rPr>
        <w:t>1</w:t>
      </w:r>
      <w:r>
        <w:rPr>
          <w:rFonts w:hint="eastAsia" w:ascii="仿宋" w:hAnsi="仿宋" w:eastAsia="仿宋" w:cs="仿宋"/>
          <w:kern w:val="15"/>
          <w:sz w:val="32"/>
          <w:szCs w:val="32"/>
        </w:rPr>
        <w:t>日至</w:t>
      </w:r>
      <w:r>
        <w:rPr>
          <w:rFonts w:hint="eastAsia" w:ascii="仿宋" w:hAnsi="仿宋" w:eastAsia="仿宋" w:cs="仿宋"/>
          <w:kern w:val="15"/>
          <w:sz w:val="32"/>
          <w:szCs w:val="32"/>
          <w:u w:val="single"/>
        </w:rPr>
        <w:t>2027</w:t>
      </w:r>
      <w:r>
        <w:rPr>
          <w:rFonts w:hint="eastAsia" w:ascii="仿宋" w:hAnsi="仿宋" w:eastAsia="仿宋" w:cs="仿宋"/>
          <w:kern w:val="15"/>
          <w:sz w:val="32"/>
          <w:szCs w:val="32"/>
        </w:rPr>
        <w:t>年</w:t>
      </w:r>
      <w:r>
        <w:rPr>
          <w:rFonts w:hint="eastAsia" w:ascii="仿宋" w:hAnsi="仿宋" w:eastAsia="仿宋" w:cs="仿宋"/>
          <w:kern w:val="15"/>
          <w:sz w:val="32"/>
          <w:szCs w:val="32"/>
          <w:u w:val="single"/>
        </w:rPr>
        <w:t>2</w:t>
      </w:r>
      <w:r>
        <w:rPr>
          <w:rFonts w:hint="eastAsia" w:ascii="仿宋" w:hAnsi="仿宋" w:eastAsia="仿宋" w:cs="仿宋"/>
          <w:kern w:val="15"/>
          <w:sz w:val="32"/>
          <w:szCs w:val="32"/>
        </w:rPr>
        <w:t>月</w:t>
      </w:r>
      <w:r>
        <w:rPr>
          <w:rFonts w:hint="eastAsia" w:ascii="仿宋" w:hAnsi="仿宋" w:eastAsia="仿宋" w:cs="仿宋"/>
          <w:kern w:val="15"/>
          <w:sz w:val="32"/>
          <w:szCs w:val="32"/>
          <w:u w:val="single"/>
        </w:rPr>
        <w:t>28</w:t>
      </w:r>
      <w:r>
        <w:rPr>
          <w:rFonts w:hint="eastAsia" w:ascii="仿宋" w:hAnsi="仿宋" w:eastAsia="仿宋" w:cs="仿宋"/>
          <w:kern w:val="15"/>
          <w:sz w:val="32"/>
          <w:szCs w:val="32"/>
        </w:rPr>
        <w:t>日止。</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【/】质保期为</w:t>
      </w:r>
      <w:r>
        <w:rPr>
          <w:rFonts w:hint="eastAsia" w:ascii="仿宋" w:hAnsi="仿宋" w:eastAsia="仿宋" w:cs="仿宋"/>
          <w:kern w:val="15"/>
          <w:sz w:val="32"/>
          <w:szCs w:val="32"/>
          <w:u w:val="single"/>
        </w:rPr>
        <w:t>/</w:t>
      </w:r>
      <w:r>
        <w:rPr>
          <w:rFonts w:hint="eastAsia" w:ascii="仿宋" w:hAnsi="仿宋" w:eastAsia="仿宋" w:cs="仿宋"/>
          <w:kern w:val="15"/>
          <w:sz w:val="32"/>
          <w:szCs w:val="32"/>
        </w:rPr>
        <w:t>,自</w:t>
      </w:r>
      <w:r>
        <w:rPr>
          <w:rFonts w:hint="eastAsia" w:ascii="仿宋" w:hAnsi="仿宋" w:eastAsia="仿宋" w:cs="仿宋"/>
          <w:kern w:val="15"/>
          <w:sz w:val="32"/>
          <w:szCs w:val="32"/>
          <w:u w:val="single"/>
        </w:rPr>
        <w:t>/</w:t>
      </w:r>
      <w:r>
        <w:rPr>
          <w:rFonts w:hint="eastAsia" w:ascii="仿宋" w:hAnsi="仿宋" w:eastAsia="仿宋" w:cs="仿宋"/>
          <w:kern w:val="15"/>
          <w:sz w:val="32"/>
          <w:szCs w:val="32"/>
        </w:rPr>
        <w:t>之日起算。</w:t>
      </w:r>
    </w:p>
    <w:p>
      <w:pPr>
        <w:widowControl/>
        <w:numPr>
          <w:ilvl w:val="0"/>
          <w:numId w:val="57"/>
        </w:numPr>
        <w:kinsoku w:val="0"/>
        <w:wordWrap/>
        <w:autoSpaceDE w:val="0"/>
        <w:autoSpaceDN w:val="0"/>
        <w:adjustRightInd w:val="0"/>
        <w:snapToGrid w:val="0"/>
        <w:spacing w:line="560" w:lineRule="exact"/>
        <w:ind w:left="0" w:firstLine="643" w:firstLineChars="200"/>
        <w:textAlignment w:val="baseline"/>
        <w:rPr>
          <w:rFonts w:ascii="仿宋" w:hAnsi="仿宋" w:eastAsia="仿宋" w:cs="仿宋"/>
          <w:b/>
          <w:bCs/>
          <w:kern w:val="15"/>
          <w:sz w:val="32"/>
          <w:szCs w:val="32"/>
        </w:rPr>
      </w:pPr>
      <w:r>
        <w:rPr>
          <w:rFonts w:hint="eastAsia" w:ascii="仿宋" w:hAnsi="仿宋" w:eastAsia="仿宋" w:cs="仿宋"/>
          <w:b/>
          <w:bCs/>
          <w:kern w:val="15"/>
          <w:sz w:val="32"/>
          <w:szCs w:val="32"/>
        </w:rPr>
        <w:t>合同价格及支付方式</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（一）本合同含税总金额为(大写):人民币</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 xml:space="preserve">元（¥          </w:t>
      </w:r>
      <w:r>
        <w:rPr>
          <w:rFonts w:hint="eastAsia" w:ascii="仿宋" w:hAnsi="仿宋" w:eastAsia="仿宋" w:cs="仿宋"/>
          <w:kern w:val="15"/>
          <w:sz w:val="32"/>
          <w:szCs w:val="32"/>
          <w:u w:val="single"/>
        </w:rPr>
        <w:tab/>
      </w:r>
      <w:r>
        <w:rPr>
          <w:rFonts w:hint="eastAsia" w:ascii="仿宋" w:hAnsi="仿宋" w:eastAsia="仿宋" w:cs="仿宋"/>
          <w:kern w:val="15"/>
          <w:sz w:val="32"/>
          <w:szCs w:val="32"/>
          <w:u w:val="single"/>
        </w:rPr>
        <w:tab/>
      </w:r>
      <w:r>
        <w:rPr>
          <w:rFonts w:hint="eastAsia" w:ascii="仿宋" w:hAnsi="仿宋" w:eastAsia="仿宋" w:cs="仿宋"/>
          <w:kern w:val="15"/>
          <w:sz w:val="32"/>
          <w:szCs w:val="32"/>
        </w:rPr>
        <w:t>元）。</w:t>
      </w:r>
      <w:r>
        <w:rPr>
          <w:rFonts w:hint="eastAsia" w:ascii="仿宋" w:hAnsi="仿宋" w:eastAsia="仿宋" w:cs="仿宋"/>
          <w:kern w:val="15"/>
          <w:sz w:val="32"/>
          <w:szCs w:val="32"/>
          <w:u w:val="single"/>
        </w:rPr>
        <w:t>合同金额包括日常管理所发生的费用结算，包含本服务项目所有内容[包括完成采购需求全部内容所需的一切含税费用：即包括但不限于各种人工费用（人工费用包含人员工资、社保、公积金等）、保安用警具、人员制服、零配件费等物料费用、管理费用、不可预见费用、税费、利润、人员培训、消防演习、治安演习等项目所涉及的一切日常费用及乙方应承担的其他各项费用、除甲方免费提供给本项目管理人员使用的基本办公设备外的其他办公设备和办公费用。］</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（二）甲乙双方同意选择以下第</w:t>
      </w:r>
      <w:r>
        <w:rPr>
          <w:rFonts w:hint="eastAsia" w:ascii="仿宋" w:hAnsi="仿宋" w:eastAsia="仿宋" w:cs="仿宋"/>
          <w:kern w:val="15"/>
          <w:sz w:val="32"/>
          <w:szCs w:val="32"/>
          <w:u w:val="single"/>
        </w:rPr>
        <w:t>4</w:t>
      </w:r>
      <w:r>
        <w:rPr>
          <w:rFonts w:hint="eastAsia" w:ascii="仿宋" w:hAnsi="仿宋" w:eastAsia="仿宋" w:cs="仿宋"/>
          <w:kern w:val="15"/>
          <w:sz w:val="32"/>
          <w:szCs w:val="32"/>
        </w:rPr>
        <w:t>款约定方式结算：</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1. 提前预付：</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【/】乙方向甲方交付履约保证金后，甲方向乙方预付全部服务费。</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【/】本合同签订之日起</w:t>
      </w:r>
      <w:r>
        <w:rPr>
          <w:rFonts w:hint="eastAsia" w:ascii="仿宋" w:hAnsi="仿宋" w:eastAsia="仿宋" w:cs="仿宋"/>
          <w:kern w:val="15"/>
          <w:sz w:val="32"/>
          <w:szCs w:val="32"/>
          <w:u w:val="single"/>
        </w:rPr>
        <w:t>/</w:t>
      </w:r>
      <w:r>
        <w:rPr>
          <w:rFonts w:hint="eastAsia" w:ascii="仿宋" w:hAnsi="仿宋" w:eastAsia="仿宋" w:cs="仿宋"/>
          <w:kern w:val="15"/>
          <w:sz w:val="32"/>
          <w:szCs w:val="32"/>
        </w:rPr>
        <w:t>个工作日内甲方向乙方预付全部服务费。</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2. 完成付款：乙方履行全部服务完毕且经甲方确认并验收合格后向甲方提交完整支付材料，甲方对乙方提供的支付材料审核确认无误之日起</w:t>
      </w:r>
      <w:r>
        <w:rPr>
          <w:rFonts w:hint="eastAsia" w:ascii="仿宋" w:hAnsi="仿宋" w:eastAsia="仿宋" w:cs="仿宋"/>
          <w:kern w:val="15"/>
          <w:sz w:val="32"/>
          <w:szCs w:val="32"/>
          <w:u w:val="single"/>
        </w:rPr>
        <w:t>/</w:t>
      </w:r>
      <w:r>
        <w:rPr>
          <w:rFonts w:hint="eastAsia" w:ascii="仿宋" w:hAnsi="仿宋" w:eastAsia="仿宋" w:cs="仿宋"/>
          <w:kern w:val="15"/>
          <w:sz w:val="32"/>
          <w:szCs w:val="32"/>
        </w:rPr>
        <w:t>个工作日内支付全部服务费。</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3. 分期付款：</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（1）首付款：</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【/】本合同签订之日起</w:t>
      </w:r>
      <w:r>
        <w:rPr>
          <w:rFonts w:hint="eastAsia" w:ascii="仿宋" w:hAnsi="仿宋" w:eastAsia="仿宋" w:cs="仿宋"/>
          <w:kern w:val="15"/>
          <w:sz w:val="32"/>
          <w:szCs w:val="32"/>
          <w:u w:val="single"/>
        </w:rPr>
        <w:t>/</w:t>
      </w:r>
      <w:r>
        <w:rPr>
          <w:rFonts w:hint="eastAsia" w:ascii="仿宋" w:hAnsi="仿宋" w:eastAsia="仿宋" w:cs="仿宋"/>
          <w:kern w:val="15"/>
          <w:sz w:val="32"/>
          <w:szCs w:val="32"/>
        </w:rPr>
        <w:t>个工作日内甲方向乙方支付合同总价款的</w:t>
      </w:r>
      <w:r>
        <w:rPr>
          <w:rFonts w:hint="eastAsia" w:ascii="仿宋" w:hAnsi="仿宋" w:eastAsia="仿宋" w:cs="仿宋"/>
          <w:kern w:val="15"/>
          <w:sz w:val="32"/>
          <w:szCs w:val="32"/>
          <w:u w:val="single"/>
        </w:rPr>
        <w:t>/</w:t>
      </w:r>
      <w:r>
        <w:rPr>
          <w:rFonts w:hint="eastAsia" w:ascii="仿宋" w:hAnsi="仿宋" w:eastAsia="仿宋" w:cs="仿宋"/>
          <w:kern w:val="15"/>
          <w:sz w:val="32"/>
          <w:szCs w:val="32"/>
        </w:rPr>
        <w:t xml:space="preserve">% ,即人民币 </w:t>
      </w:r>
      <w:r>
        <w:rPr>
          <w:rFonts w:hint="eastAsia" w:ascii="仿宋" w:hAnsi="仿宋" w:eastAsia="仿宋" w:cs="仿宋"/>
          <w:kern w:val="15"/>
          <w:sz w:val="32"/>
          <w:szCs w:val="32"/>
          <w:u w:val="single"/>
        </w:rPr>
        <w:t>/</w:t>
      </w:r>
      <w:r>
        <w:rPr>
          <w:rFonts w:hint="eastAsia" w:ascii="仿宋" w:hAnsi="仿宋" w:eastAsia="仿宋" w:cs="仿宋"/>
          <w:kern w:val="15"/>
          <w:sz w:val="32"/>
          <w:szCs w:val="32"/>
        </w:rPr>
        <w:t xml:space="preserve">元（¥ </w:t>
      </w:r>
      <w:r>
        <w:rPr>
          <w:rFonts w:hint="eastAsia" w:ascii="仿宋" w:hAnsi="仿宋" w:eastAsia="仿宋" w:cs="仿宋"/>
          <w:kern w:val="15"/>
          <w:sz w:val="32"/>
          <w:szCs w:val="32"/>
          <w:u w:val="single"/>
        </w:rPr>
        <w:t>/</w:t>
      </w:r>
      <w:r>
        <w:rPr>
          <w:rFonts w:hint="eastAsia" w:ascii="仿宋" w:hAnsi="仿宋" w:eastAsia="仿宋" w:cs="仿宋"/>
          <w:kern w:val="15"/>
          <w:sz w:val="32"/>
          <w:szCs w:val="32"/>
        </w:rPr>
        <w:t>元)。</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【/】甲方收到乙方支付的履约保证金(如有)之日起</w:t>
      </w:r>
      <w:r>
        <w:rPr>
          <w:rFonts w:hint="eastAsia" w:ascii="仿宋" w:hAnsi="仿宋" w:eastAsia="仿宋" w:cs="仿宋"/>
          <w:kern w:val="15"/>
          <w:sz w:val="32"/>
          <w:szCs w:val="32"/>
          <w:u w:val="single"/>
        </w:rPr>
        <w:t>/</w:t>
      </w:r>
      <w:r>
        <w:rPr>
          <w:rFonts w:hint="eastAsia" w:ascii="仿宋" w:hAnsi="仿宋" w:eastAsia="仿宋" w:cs="仿宋"/>
          <w:kern w:val="15"/>
          <w:sz w:val="32"/>
          <w:szCs w:val="32"/>
        </w:rPr>
        <w:t>个工作日内向乙方支付合同总价款的</w:t>
      </w:r>
      <w:r>
        <w:rPr>
          <w:rFonts w:hint="eastAsia" w:ascii="仿宋" w:hAnsi="仿宋" w:eastAsia="仿宋" w:cs="仿宋"/>
          <w:kern w:val="15"/>
          <w:sz w:val="32"/>
          <w:szCs w:val="32"/>
          <w:u w:val="single"/>
        </w:rPr>
        <w:t>/</w:t>
      </w:r>
      <w:r>
        <w:rPr>
          <w:rFonts w:hint="eastAsia" w:ascii="仿宋" w:hAnsi="仿宋" w:eastAsia="仿宋" w:cs="仿宋"/>
          <w:kern w:val="15"/>
          <w:sz w:val="32"/>
          <w:szCs w:val="32"/>
        </w:rPr>
        <w:t>% ,即人民币元（¥</w:t>
      </w:r>
      <w:r>
        <w:rPr>
          <w:rFonts w:hint="eastAsia" w:ascii="仿宋" w:hAnsi="仿宋" w:eastAsia="仿宋" w:cs="仿宋"/>
          <w:kern w:val="15"/>
          <w:sz w:val="32"/>
          <w:szCs w:val="32"/>
          <w:u w:val="single"/>
        </w:rPr>
        <w:t>/</w:t>
      </w:r>
      <w:r>
        <w:rPr>
          <w:rFonts w:hint="eastAsia" w:ascii="仿宋" w:hAnsi="仿宋" w:eastAsia="仿宋" w:cs="仿宋"/>
          <w:kern w:val="15"/>
          <w:sz w:val="32"/>
          <w:szCs w:val="32"/>
        </w:rPr>
        <w:t>元) 。</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（2）尾款：</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乙方履行全部服务完毕，甲方确认并验收合格后</w:t>
      </w:r>
      <w:r>
        <w:rPr>
          <w:rFonts w:hint="eastAsia" w:ascii="仿宋" w:hAnsi="仿宋" w:eastAsia="仿宋" w:cs="仿宋"/>
          <w:kern w:val="15"/>
          <w:sz w:val="32"/>
          <w:szCs w:val="32"/>
          <w:u w:val="single"/>
        </w:rPr>
        <w:t>/</w:t>
      </w:r>
      <w:r>
        <w:rPr>
          <w:rFonts w:hint="eastAsia" w:ascii="仿宋" w:hAnsi="仿宋" w:eastAsia="仿宋" w:cs="仿宋"/>
          <w:kern w:val="15"/>
          <w:sz w:val="32"/>
          <w:szCs w:val="32"/>
        </w:rPr>
        <w:t>个工作日内支付合同总价款的</w:t>
      </w:r>
      <w:r>
        <w:rPr>
          <w:rFonts w:hint="eastAsia" w:ascii="仿宋" w:hAnsi="仿宋" w:eastAsia="仿宋" w:cs="仿宋"/>
          <w:kern w:val="15"/>
          <w:sz w:val="32"/>
          <w:szCs w:val="32"/>
          <w:u w:val="single"/>
        </w:rPr>
        <w:t>/</w:t>
      </w:r>
      <w:r>
        <w:rPr>
          <w:rFonts w:hint="eastAsia" w:ascii="仿宋" w:hAnsi="仿宋" w:eastAsia="仿宋" w:cs="仿宋"/>
          <w:kern w:val="15"/>
          <w:sz w:val="32"/>
          <w:szCs w:val="32"/>
        </w:rPr>
        <w:t>% , 即人民币</w:t>
      </w:r>
      <w:r>
        <w:rPr>
          <w:rFonts w:hint="eastAsia" w:ascii="仿宋" w:hAnsi="仿宋" w:eastAsia="仿宋" w:cs="仿宋"/>
          <w:kern w:val="15"/>
          <w:sz w:val="32"/>
          <w:szCs w:val="32"/>
          <w:u w:val="single"/>
        </w:rPr>
        <w:t>/</w:t>
      </w:r>
      <w:r>
        <w:rPr>
          <w:rFonts w:hint="eastAsia" w:ascii="仿宋" w:hAnsi="仿宋" w:eastAsia="仿宋" w:cs="仿宋"/>
          <w:kern w:val="15"/>
          <w:sz w:val="32"/>
          <w:szCs w:val="32"/>
        </w:rPr>
        <w:t>元 (¥</w:t>
      </w:r>
      <w:r>
        <w:rPr>
          <w:rFonts w:hint="eastAsia" w:ascii="仿宋" w:hAnsi="仿宋" w:eastAsia="仿宋" w:cs="仿宋"/>
          <w:kern w:val="15"/>
          <w:sz w:val="32"/>
          <w:szCs w:val="32"/>
          <w:u w:val="single"/>
        </w:rPr>
        <w:t>/</w:t>
      </w:r>
      <w:r>
        <w:rPr>
          <w:rFonts w:hint="eastAsia" w:ascii="仿宋" w:hAnsi="仿宋" w:eastAsia="仿宋" w:cs="仿宋"/>
          <w:kern w:val="15"/>
          <w:sz w:val="32"/>
          <w:szCs w:val="32"/>
        </w:rPr>
        <w:t>元)。</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u w:val="single"/>
        </w:rPr>
      </w:pPr>
      <w:r>
        <w:rPr>
          <w:rFonts w:hint="eastAsia" w:ascii="仿宋" w:hAnsi="仿宋" w:eastAsia="仿宋" w:cs="仿宋"/>
          <w:kern w:val="15"/>
          <w:sz w:val="32"/>
          <w:szCs w:val="32"/>
        </w:rPr>
        <w:t>4.双方当事人约定的其他方式：</w:t>
      </w:r>
      <w:r>
        <w:rPr>
          <w:rFonts w:hint="eastAsia" w:ascii="仿宋" w:hAnsi="仿宋" w:eastAsia="仿宋" w:cs="仿宋"/>
          <w:kern w:val="15"/>
          <w:sz w:val="32"/>
          <w:szCs w:val="32"/>
          <w:u w:val="single"/>
        </w:rPr>
        <w:t>每月服务费基数为合同总金额的十二分之一，不论长短月。实际支付物业管理费金额由甲方视每月考评情况进行支付（详见附件二）。每月5日前，乙方根据上个月服务及考核情况，向甲方出具合规有效的等额发票；甲方收到乙方付款结算申请、等额正规发票及甲方指定所需其他材料</w:t>
      </w:r>
      <w:r>
        <w:rPr>
          <w:rFonts w:hint="eastAsia" w:ascii="仿宋" w:hAnsi="仿宋" w:eastAsia="仿宋" w:cs="仿宋"/>
          <w:kern w:val="15"/>
          <w:sz w:val="32"/>
          <w:szCs w:val="32"/>
          <w:u w:val="single"/>
          <w:lang w:eastAsia="zh-CN"/>
        </w:rPr>
        <w:t>并经甲方审核确认</w:t>
      </w:r>
      <w:r>
        <w:rPr>
          <w:rFonts w:hint="eastAsia" w:ascii="仿宋" w:hAnsi="仿宋" w:eastAsia="仿宋" w:cs="仿宋"/>
          <w:kern w:val="15"/>
          <w:sz w:val="32"/>
          <w:szCs w:val="32"/>
          <w:u w:val="single"/>
        </w:rPr>
        <w:t>后在10个工作日内办理支付手续。如服务不足一个月的，按当月实际发生服务天数结算。</w:t>
      </w:r>
    </w:p>
    <w:p>
      <w:pPr>
        <w:pStyle w:val="2"/>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（三）乙方收款账户资料：</w:t>
      </w:r>
    </w:p>
    <w:p>
      <w:pPr>
        <w:pStyle w:val="2"/>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u w:val="single"/>
        </w:rPr>
      </w:pPr>
      <w:r>
        <w:rPr>
          <w:rFonts w:hint="eastAsia" w:ascii="仿宋" w:hAnsi="仿宋" w:eastAsia="仿宋" w:cs="仿宋"/>
          <w:kern w:val="15"/>
          <w:sz w:val="32"/>
          <w:szCs w:val="32"/>
        </w:rPr>
        <w:t>开户行：</w:t>
      </w:r>
      <w:r>
        <w:rPr>
          <w:rFonts w:hint="eastAsia" w:ascii="仿宋" w:hAnsi="仿宋" w:eastAsia="仿宋" w:cs="仿宋"/>
          <w:kern w:val="15"/>
          <w:sz w:val="32"/>
          <w:szCs w:val="32"/>
          <w:u w:val="single"/>
        </w:rPr>
        <w:t xml:space="preserve">                   </w:t>
      </w:r>
    </w:p>
    <w:p>
      <w:pPr>
        <w:pStyle w:val="2"/>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户名：</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 xml:space="preserve">  </w:t>
      </w:r>
    </w:p>
    <w:p>
      <w:pPr>
        <w:pStyle w:val="2"/>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账号：</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 xml:space="preserve"> 。</w:t>
      </w:r>
    </w:p>
    <w:p>
      <w:pPr>
        <w:pStyle w:val="2"/>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乙方账户信息如有变更，须至少提前</w:t>
      </w:r>
      <w:r>
        <w:rPr>
          <w:rFonts w:hint="eastAsia" w:ascii="仿宋" w:hAnsi="仿宋" w:eastAsia="仿宋" w:cs="仿宋"/>
          <w:kern w:val="15"/>
          <w:sz w:val="32"/>
          <w:szCs w:val="32"/>
          <w:u w:val="single"/>
        </w:rPr>
        <w:t>5</w:t>
      </w:r>
      <w:r>
        <w:rPr>
          <w:rFonts w:hint="eastAsia" w:ascii="仿宋" w:hAnsi="仿宋" w:eastAsia="仿宋" w:cs="仿宋"/>
          <w:kern w:val="15"/>
          <w:sz w:val="32"/>
          <w:szCs w:val="32"/>
        </w:rPr>
        <w:t xml:space="preserve">个工作日书面通知甲方，否则由此造成的付款延误或错误等损失由乙方自行承担。     </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四）付款前乙方应向甲方提供付款申请、等额正规发票以及甲方指定所需其他材料(包括但不限于《请款函》、服务清单等)。如乙方怠于或者拒绝提供资料或者办理手续的，则因此产生的付款迟延的责任全部由乙方承担。</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五）乙方知悉本合同使用经费由政府拨款，如因政策影响、拨款未能及时到位等非因甲方原因导致甲方付款延迟，不视为甲方违约，乙方不得以此为由而主张甲方迟延付款违约责任以及不履行本合同规定的义务。</w:t>
      </w:r>
    </w:p>
    <w:p>
      <w:pPr>
        <w:pStyle w:val="2"/>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snapToGrid w:val="0"/>
          <w:kern w:val="15"/>
          <w:sz w:val="32"/>
          <w:szCs w:val="32"/>
          <w:u w:val="single"/>
        </w:rPr>
      </w:pPr>
      <w:r>
        <w:rPr>
          <w:rFonts w:hint="eastAsia" w:ascii="仿宋" w:hAnsi="仿宋" w:eastAsia="仿宋" w:cs="仿宋"/>
          <w:kern w:val="15"/>
          <w:sz w:val="32"/>
          <w:szCs w:val="32"/>
          <w:u w:val="single"/>
        </w:rPr>
        <w:t>（六）</w:t>
      </w:r>
      <w:r>
        <w:rPr>
          <w:rFonts w:hint="eastAsia" w:ascii="仿宋" w:hAnsi="仿宋" w:eastAsia="仿宋" w:cs="仿宋"/>
          <w:snapToGrid w:val="0"/>
          <w:kern w:val="15"/>
          <w:sz w:val="32"/>
          <w:szCs w:val="32"/>
          <w:u w:val="single"/>
        </w:rPr>
        <w:t>因中华人民共和国广州白云机场海关使用财政资金付款，需执行财政国库集中支付制度及单位内部资金支付管理审批等有关规定。广州白云机场海关综合技术服务中心为中华人民共和国广州白云机场海关下属机构，为项目实施单位。其中，中华人民共和国广州白云机场海关为实际甲方，中华人民共和国广州白云机场海关和广州白云机场海关综合技术服务中心共同承担本项目费用付款的义务。</w:t>
      </w:r>
    </w:p>
    <w:p>
      <w:pPr>
        <w:widowControl/>
        <w:kinsoku w:val="0"/>
        <w:wordWrap/>
        <w:autoSpaceDE w:val="0"/>
        <w:autoSpaceDN w:val="0"/>
        <w:adjustRightInd w:val="0"/>
        <w:snapToGrid w:val="0"/>
        <w:spacing w:line="560" w:lineRule="exact"/>
        <w:ind w:firstLine="643" w:firstLineChars="200"/>
        <w:textAlignment w:val="baseline"/>
        <w:rPr>
          <w:rFonts w:ascii="仿宋" w:hAnsi="仿宋" w:eastAsia="仿宋" w:cs="仿宋"/>
          <w:kern w:val="15"/>
          <w:sz w:val="32"/>
          <w:szCs w:val="32"/>
        </w:rPr>
      </w:pPr>
      <w:r>
        <w:rPr>
          <w:rFonts w:hint="eastAsia" w:ascii="仿宋" w:hAnsi="仿宋" w:eastAsia="仿宋" w:cs="仿宋"/>
          <w:b/>
          <w:bCs/>
          <w:kern w:val="15"/>
          <w:sz w:val="32"/>
          <w:szCs w:val="32"/>
        </w:rPr>
        <w:t>五、履约代表</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甲方指定联系人：</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 xml:space="preserve"> ,联系方式：</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 xml:space="preserve"> 。乙方指定联系人： </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 xml:space="preserve"> ,联系方式：</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。任何一方更换自身履约代表前，应先将更换后的人员姓名、联系方式提前</w:t>
      </w:r>
      <w:r>
        <w:rPr>
          <w:rFonts w:hint="eastAsia" w:ascii="仿宋" w:hAnsi="仿宋" w:eastAsia="仿宋" w:cs="仿宋"/>
          <w:kern w:val="15"/>
          <w:sz w:val="32"/>
          <w:szCs w:val="32"/>
          <w:u w:val="single"/>
        </w:rPr>
        <w:t>5</w:t>
      </w:r>
      <w:r>
        <w:rPr>
          <w:rFonts w:hint="eastAsia" w:ascii="仿宋" w:hAnsi="仿宋" w:eastAsia="仿宋" w:cs="仿宋"/>
          <w:kern w:val="15"/>
          <w:sz w:val="32"/>
          <w:szCs w:val="32"/>
        </w:rPr>
        <w:t>个工作日书面通知对方，以保证合同履行交接顺利。未经事先书面通知，视为该方的履行代表未发生改变，原履行代表在其授权范围内从事的本合同履行事宜及签署、提供的相关文件仍视为合法、有权、有效。若因未及时通知导致合同履行出现问题，责任方应承担相应的法律责任。</w:t>
      </w:r>
    </w:p>
    <w:p>
      <w:pPr>
        <w:widowControl/>
        <w:kinsoku w:val="0"/>
        <w:wordWrap/>
        <w:autoSpaceDE w:val="0"/>
        <w:autoSpaceDN w:val="0"/>
        <w:adjustRightInd w:val="0"/>
        <w:snapToGrid w:val="0"/>
        <w:spacing w:line="560" w:lineRule="exact"/>
        <w:ind w:firstLine="643" w:firstLineChars="200"/>
        <w:textAlignment w:val="baseline"/>
        <w:rPr>
          <w:rFonts w:ascii="仿宋" w:hAnsi="仿宋" w:eastAsia="仿宋" w:cs="仿宋"/>
          <w:kern w:val="15"/>
          <w:sz w:val="32"/>
          <w:szCs w:val="32"/>
        </w:rPr>
      </w:pPr>
      <w:r>
        <w:rPr>
          <w:rFonts w:hint="eastAsia" w:ascii="仿宋" w:hAnsi="仿宋" w:eastAsia="仿宋" w:cs="仿宋"/>
          <w:b/>
          <w:bCs/>
          <w:kern w:val="15"/>
          <w:sz w:val="32"/>
          <w:szCs w:val="32"/>
        </w:rPr>
        <w:t>六</w:t>
      </w:r>
      <w:r>
        <w:rPr>
          <w:rFonts w:hint="eastAsia" w:ascii="仿宋" w:hAnsi="仿宋" w:eastAsia="仿宋" w:cs="仿宋"/>
          <w:kern w:val="15"/>
          <w:sz w:val="32"/>
          <w:szCs w:val="32"/>
        </w:rPr>
        <w:t xml:space="preserve"> </w:t>
      </w:r>
      <w:r>
        <w:rPr>
          <w:rFonts w:hint="eastAsia" w:ascii="仿宋" w:hAnsi="仿宋" w:eastAsia="仿宋" w:cs="仿宋"/>
          <w:b/>
          <w:bCs/>
          <w:kern w:val="15"/>
          <w:sz w:val="32"/>
          <w:szCs w:val="32"/>
        </w:rPr>
        <w:t>、双方权利和义务</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(一)甲方有权要求乙方完成指定的服务项目。</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(二)甲方有权随时检查乙方服务质量，督促及要求乙方整改不合格服务。</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(三)甲方有权在乙方</w:t>
      </w:r>
      <w:r>
        <w:rPr>
          <w:rFonts w:hint="eastAsia" w:ascii="仿宋" w:hAnsi="仿宋" w:eastAsia="仿宋" w:cs="仿宋"/>
          <w:kern w:val="15"/>
          <w:sz w:val="32"/>
          <w:szCs w:val="32"/>
          <w:u w:val="single"/>
        </w:rPr>
        <w:t>3</w:t>
      </w:r>
      <w:r>
        <w:rPr>
          <w:rFonts w:hint="eastAsia" w:ascii="仿宋" w:hAnsi="仿宋" w:eastAsia="仿宋" w:cs="仿宋"/>
          <w:kern w:val="15"/>
          <w:sz w:val="32"/>
          <w:szCs w:val="32"/>
        </w:rPr>
        <w:t>次违约时单方解除合同，解除合同的通知送达乙方即生效。甲方有权要求乙方退还已收款项、赔偿甲方因此遭受的全部损失（包括但不限于律师费、担保费、保全费、诉讼费等等），并支付合同总价10%的违约金。</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(四)甲方为乙方履行服务义务提供必要的协助。</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(五)甲方按约定支付乙方合同价款。</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(六)乙方具有独立法人资格，自主经营，独立核算，并持续具有完成甲方需求服务的相关资质。双方之间不存在任何隶属、投资、雇佣和承包关系。</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(七)乙方不具有代表甲方行使权力或对外做出承诺的权限，甲方对乙方与乙方员工的劳动关系、行为及造成的任何后果不承担任何责任。</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八)乙方应按时足额向其员工支付工资报酬，并按有关规定为其购买全部保险及承担其因完成本合同所发生的一切工伤、人身损害和财产损害的赔偿及法律责任，甲方对此不承担任何责任，如因此给甲方造成损失的</w:t>
      </w:r>
      <w:r>
        <w:rPr>
          <w:rFonts w:hint="eastAsia" w:ascii="仿宋" w:hAnsi="仿宋" w:eastAsia="仿宋" w:cs="仿宋"/>
          <w:b w:val="0"/>
          <w:bCs w:val="0"/>
          <w:caps w:val="0"/>
          <w:color w:val="auto"/>
          <w:kern w:val="15"/>
          <w:sz w:val="32"/>
          <w:szCs w:val="32"/>
          <w:vertAlign w:val="baseline"/>
          <w:lang w:val="en-US" w:eastAsia="zh-CN" w:bidi="ar"/>
        </w:rPr>
        <w:t>（包括但不限于第三方索赔款、罚款、财产损失、律师费、担保费、保全费、诉讼费等等）</w:t>
      </w:r>
      <w:r>
        <w:rPr>
          <w:rFonts w:hint="eastAsia" w:ascii="仿宋" w:hAnsi="仿宋" w:eastAsia="仿宋" w:cs="仿宋"/>
          <w:kern w:val="15"/>
          <w:sz w:val="32"/>
          <w:szCs w:val="32"/>
        </w:rPr>
        <w:t>，甲方有权向乙方追偿。</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(九)乙方严格按服务内容、标准及承诺及时、全面履行服务义务，接受甲方相关人员的调配和检查。</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(十)乙方确保提供服务过程中，严格遵守相关法律法规，采取严格的安全防护和防火措施等。</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十一）乙方保证其提供的服务及成果（包括过程资料、最终成果、报告等）不侵犯任何第三方的知识产权，如因侵害第三人知识产权造成的所有法律后果由乙方承担。乙方因履行本合同所产生的工作成果（无论是否具有知识产权）的所有权及知识产权均归甲方所有（双方另有书面约定的除外）。乙方应签署必要的文件以确保甲方获得上述权利。</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u w:val="single"/>
        </w:rPr>
      </w:pPr>
      <w:r>
        <w:rPr>
          <w:rFonts w:hint="eastAsia" w:ascii="仿宋" w:hAnsi="仿宋" w:eastAsia="仿宋" w:cs="仿宋"/>
          <w:kern w:val="15"/>
          <w:sz w:val="32"/>
          <w:szCs w:val="32"/>
          <w:u w:val="single"/>
        </w:rPr>
        <w:t>（十二）关键办公区域的清洁卫生乙方应安排专人跟进并保证质量，其他楼层的保洁人员亦应相应固定。铝质天花清洁和维护，可外包由专业清洁公司负责（外包费用由乙方负责，甲方不再另外支付）。清洁养护用品选用须经甲方同意，符合环保要求，并有专人负责监督清洁养护过程的安全操作及验收工作。一切有关清洁所需工具、材料及损耗品（如：厕纸、擦手纸、洗手液、扫把等），由乙方负责提供，费用包括在合同总金额中。</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u w:val="single"/>
        </w:rPr>
      </w:pPr>
      <w:r>
        <w:rPr>
          <w:rFonts w:hint="eastAsia" w:ascii="仿宋" w:hAnsi="仿宋" w:eastAsia="仿宋" w:cs="仿宋"/>
          <w:kern w:val="15"/>
          <w:sz w:val="32"/>
          <w:szCs w:val="32"/>
          <w:u w:val="single"/>
        </w:rPr>
        <w:t>（十三）乙方需负责物业服务区域内垃圾的收集，定期清理垃圾箱，做到垃圾日产日清。按照省市及街道的相关规定和要求，积极配合街道与城管部门做好垃圾分类工作。一切有关清洁所需工具、材料及损耗品，由乙方负责提供，费用包括在合同总金额中。</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u w:val="single"/>
        </w:rPr>
      </w:pPr>
      <w:r>
        <w:rPr>
          <w:rFonts w:hint="eastAsia" w:ascii="仿宋" w:hAnsi="仿宋" w:eastAsia="仿宋" w:cs="仿宋"/>
          <w:kern w:val="15"/>
          <w:sz w:val="32"/>
          <w:szCs w:val="32"/>
          <w:u w:val="single"/>
        </w:rPr>
        <w:t>（十四）会务场地布置的人员工资、加班费用已包含在物业管理费用中，此费用已经包括在合同总金额中。</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u w:val="single"/>
        </w:rPr>
      </w:pPr>
      <w:r>
        <w:rPr>
          <w:rFonts w:hint="eastAsia" w:ascii="仿宋" w:hAnsi="仿宋" w:eastAsia="仿宋" w:cs="仿宋"/>
          <w:kern w:val="15"/>
          <w:sz w:val="32"/>
          <w:szCs w:val="32"/>
          <w:u w:val="single"/>
        </w:rPr>
        <w:t>（十五）办公楼日常清洁、保洁、养护周期与标准要求表格中作业次数为最低清洁次数，甲方可视实际情况要求乙方在正常工作时间内增加清洁次数，由此产生的费用由乙方承担。表格详见附件一采购需求。</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u w:val="single"/>
        </w:rPr>
      </w:pPr>
      <w:r>
        <w:rPr>
          <w:rFonts w:hint="eastAsia" w:ascii="仿宋" w:hAnsi="仿宋" w:eastAsia="仿宋" w:cs="仿宋"/>
          <w:kern w:val="15"/>
          <w:sz w:val="32"/>
          <w:szCs w:val="32"/>
          <w:u w:val="single"/>
        </w:rPr>
        <w:t>（十六）日常卫生间用品如厕纸、擦手纸、洗手液等己包含在物业管理费用中，甲方不再另行支付其它费用。</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u w:val="single"/>
        </w:rPr>
      </w:pPr>
      <w:r>
        <w:rPr>
          <w:rFonts w:hint="eastAsia" w:ascii="仿宋" w:hAnsi="仿宋" w:eastAsia="仿宋" w:cs="仿宋"/>
          <w:kern w:val="15"/>
          <w:sz w:val="32"/>
          <w:szCs w:val="32"/>
          <w:u w:val="single"/>
        </w:rPr>
        <w:t>（十七）各办公区日常设备维护工具、保洁工具等消耗品由乙方负责。</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u w:val="single"/>
        </w:rPr>
      </w:pPr>
      <w:r>
        <w:rPr>
          <w:rFonts w:hint="eastAsia" w:ascii="仿宋" w:hAnsi="仿宋" w:eastAsia="仿宋" w:cs="仿宋"/>
          <w:kern w:val="15"/>
          <w:sz w:val="32"/>
          <w:szCs w:val="32"/>
          <w:u w:val="single"/>
        </w:rPr>
        <w:t>（十八）根据现行法律法规的有关规定对乙方或其雇员征收的与本合同有关的一切费用均应由乙方负担。</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七、履约担保</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kern w:val="15"/>
          <w:sz w:val="32"/>
          <w:szCs w:val="32"/>
        </w:rPr>
        <w:t>（一）乙方以银行转账、支票、汇票、本票或银行出具的保函等非现金形式按合同价的</w:t>
      </w:r>
      <w:r>
        <w:rPr>
          <w:rFonts w:hint="eastAsia" w:ascii="仿宋" w:hAnsi="仿宋" w:eastAsia="仿宋" w:cs="仿宋"/>
          <w:kern w:val="15"/>
          <w:sz w:val="32"/>
          <w:szCs w:val="32"/>
          <w:u w:val="single"/>
        </w:rPr>
        <w:t>3</w:t>
      </w:r>
      <w:r>
        <w:rPr>
          <w:rFonts w:hint="eastAsia" w:ascii="仿宋" w:hAnsi="仿宋" w:eastAsia="仿宋" w:cs="仿宋"/>
          <w:kern w:val="15"/>
          <w:sz w:val="32"/>
          <w:szCs w:val="32"/>
        </w:rPr>
        <w:t>% ( 即</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元)交纳履约保证金。</w:t>
      </w:r>
      <w:r>
        <w:rPr>
          <w:rFonts w:hint="eastAsia" w:ascii="仿宋" w:hAnsi="仿宋" w:eastAsia="仿宋" w:cs="仿宋"/>
          <w:sz w:val="32"/>
          <w:szCs w:val="32"/>
        </w:rPr>
        <w:t>乙方确保该等非现金形式保证金的合法性、真实性。</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（二）提供履约担保的时间：合同签订后</w:t>
      </w:r>
      <w:r>
        <w:rPr>
          <w:rFonts w:hint="eastAsia" w:ascii="仿宋" w:hAnsi="仿宋" w:eastAsia="仿宋" w:cs="仿宋"/>
          <w:kern w:val="15"/>
          <w:sz w:val="32"/>
          <w:szCs w:val="32"/>
          <w:u w:val="single"/>
        </w:rPr>
        <w:t>10</w:t>
      </w:r>
      <w:r>
        <w:rPr>
          <w:rFonts w:hint="eastAsia" w:ascii="仿宋" w:hAnsi="仿宋" w:eastAsia="仿宋" w:cs="仿宋"/>
          <w:kern w:val="15"/>
          <w:sz w:val="32"/>
          <w:szCs w:val="32"/>
        </w:rPr>
        <w:t>个工作日内。</w:t>
      </w:r>
    </w:p>
    <w:p>
      <w:pPr>
        <w:pStyle w:val="2"/>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snapToGrid w:val="0"/>
          <w:kern w:val="15"/>
          <w:sz w:val="32"/>
          <w:szCs w:val="32"/>
        </w:rPr>
      </w:pPr>
      <w:r>
        <w:rPr>
          <w:rFonts w:hint="eastAsia" w:ascii="仿宋" w:hAnsi="仿宋" w:eastAsia="仿宋" w:cs="仿宋"/>
          <w:snapToGrid w:val="0"/>
          <w:kern w:val="15"/>
          <w:sz w:val="32"/>
          <w:szCs w:val="32"/>
        </w:rPr>
        <w:t>（三）乙方履行完成合同约定权利义务事项在合同期满之日起30日内，乙方向甲方书面提出申请无息退还履约保证金，甲方在收到申请后于15个工作日内退还。如乙方未按合同条款履行合同义务，甲方有权扣除或没收履约保证金。</w:t>
      </w:r>
    </w:p>
    <w:p>
      <w:pPr>
        <w:widowControl/>
        <w:kinsoku w:val="0"/>
        <w:wordWrap/>
        <w:autoSpaceDE w:val="0"/>
        <w:autoSpaceDN w:val="0"/>
        <w:adjustRightInd w:val="0"/>
        <w:snapToGrid w:val="0"/>
        <w:spacing w:line="560" w:lineRule="exact"/>
        <w:ind w:firstLine="643" w:firstLineChars="200"/>
        <w:textAlignment w:val="baseline"/>
        <w:rPr>
          <w:rFonts w:ascii="仿宋" w:hAnsi="仿宋" w:eastAsia="仿宋" w:cs="仿宋"/>
          <w:kern w:val="15"/>
          <w:sz w:val="32"/>
          <w:szCs w:val="32"/>
        </w:rPr>
      </w:pPr>
      <w:r>
        <w:rPr>
          <w:rFonts w:hint="eastAsia" w:ascii="仿宋" w:hAnsi="仿宋" w:eastAsia="仿宋" w:cs="仿宋"/>
          <w:b/>
          <w:bCs/>
          <w:kern w:val="15"/>
          <w:sz w:val="32"/>
          <w:szCs w:val="32"/>
        </w:rPr>
        <w:t>八、违约责任</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(一)如乙方未按合同约定时间提供服务，每逾期1日，乙方应向甲方支付合同总价款万分之五的违约金，甲方有权在应付合同款中相应扣除；逾期累计超过</w:t>
      </w:r>
      <w:r>
        <w:rPr>
          <w:rFonts w:hint="eastAsia" w:ascii="仿宋" w:hAnsi="仿宋" w:eastAsia="仿宋" w:cs="仿宋"/>
          <w:kern w:val="15"/>
          <w:sz w:val="32"/>
          <w:szCs w:val="32"/>
          <w:u w:val="single"/>
        </w:rPr>
        <w:t>15</w:t>
      </w:r>
      <w:r>
        <w:rPr>
          <w:rFonts w:hint="eastAsia" w:ascii="仿宋" w:hAnsi="仿宋" w:eastAsia="仿宋" w:cs="仿宋"/>
          <w:kern w:val="15"/>
          <w:sz w:val="32"/>
          <w:szCs w:val="32"/>
        </w:rPr>
        <w:t>日，甲方有权解除本合同，乙方除应返还甲方已支付款项外，还应支付甲方合同总价款10%的违约金</w:t>
      </w:r>
      <w:r>
        <w:rPr>
          <w:rFonts w:hint="eastAsia" w:ascii="仿宋" w:hAnsi="仿宋" w:eastAsia="仿宋" w:cs="仿宋"/>
          <w:sz w:val="31"/>
          <w:szCs w:val="31"/>
        </w:rPr>
        <w:t>，并承担甲方因此遭受的全部损失。</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二)如乙方提供服务质量不合格或不符合甲方要求（以较高标准为准），乙方应在收到甲方异议通知后5个工作日内完成更换重做或补救。乙方收到通知5个工作日内未完成更换重做或补救的，或者更换重做或补救仍不合格的，甲方有权选择解除本合同，乙方应向甲方返还全部已付款项。</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三)如甲方因乙方提供服务而遭受其他任何第三人提出权利主张(含知识产权)和索赔的，乙方应在接到甲方通知后立即负责协调解决并承担相关费用和索赔。如乙方在接到甲方通知后15日内仍未妥善解决，甲方有权解除合同，乙方除应返还甲方已支付款项外，还应支付甲方合同总价款10%的违约金和第三方主张的索赔。</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(四</w:t>
      </w:r>
      <w:bookmarkStart w:id="343" w:name="OLE_LINK45"/>
      <w:bookmarkStart w:id="344" w:name="OLE_LINK44"/>
      <w:r>
        <w:rPr>
          <w:rFonts w:hint="eastAsia" w:ascii="仿宋" w:hAnsi="仿宋" w:eastAsia="仿宋" w:cs="仿宋"/>
          <w:kern w:val="15"/>
          <w:sz w:val="32"/>
          <w:szCs w:val="32"/>
        </w:rPr>
        <w:t>))甲方逾期付款的，每逾期1日，按照当期逾期付款额的万分之一向乙方支付违约金，此项违约金不得超过当期逾期金额的10%。</w:t>
      </w:r>
      <w:bookmarkEnd w:id="343"/>
      <w:bookmarkEnd w:id="344"/>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(五)针对任何一方的其他违约行为，违约方应在守约方通知后</w:t>
      </w:r>
      <w:r>
        <w:rPr>
          <w:rFonts w:hint="eastAsia" w:ascii="仿宋" w:hAnsi="仿宋" w:eastAsia="仿宋" w:cs="仿宋"/>
          <w:kern w:val="15"/>
          <w:sz w:val="32"/>
          <w:szCs w:val="32"/>
          <w:u w:val="single"/>
        </w:rPr>
        <w:t xml:space="preserve">   3</w:t>
      </w:r>
      <w:r>
        <w:rPr>
          <w:rFonts w:hint="eastAsia" w:ascii="仿宋" w:hAnsi="仿宋" w:eastAsia="仿宋" w:cs="仿宋"/>
          <w:kern w:val="15"/>
          <w:sz w:val="32"/>
          <w:szCs w:val="32"/>
        </w:rPr>
        <w:t>日内立即纠正，并赔偿导致守约方所遭受的经济损失。</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(六)本条违约责任的损失赔偿包括但不限于法律规定损失、因违约给守约方造成的直接损失、间接损失、律师费、公证费、担保费、保全费以及诉讼费等。</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(七)本合同规定的违约金上限为合同总金额的30%。按合同规定乙方应向甲方偿付的违约金、赔偿金和各种经济损失等款项，甲方有权自行从应付合同总价款中扣除充抵。</w:t>
      </w:r>
      <w:r>
        <w:rPr>
          <w:rFonts w:hint="eastAsia" w:ascii="仿宋" w:hAnsi="仿宋" w:eastAsia="仿宋" w:cs="仿宋"/>
          <w:sz w:val="32"/>
          <w:szCs w:val="32"/>
        </w:rPr>
        <w:t>若违约金不足以弥补甲方损失的，乙方应继续予以赔偿。</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八)乙方通过不正当手段谋取中标、成交的，中标、成交结果不成立，本合同自然终止，甲方无需再支付剩余合同款项。乙方除应返还甲方已支付款项，还应赔偿因此给甲方造成的损失，包括但不限于直接损失、调查费、诉讼费、律师费等。</w:t>
      </w:r>
    </w:p>
    <w:p>
      <w:pPr>
        <w:pStyle w:val="2"/>
        <w:widowControl/>
        <w:tabs>
          <w:tab w:val="center" w:pos="4395"/>
        </w:tabs>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 xml:space="preserve">(九) </w:t>
      </w:r>
      <w:r>
        <w:rPr>
          <w:rFonts w:hint="eastAsia" w:ascii="仿宋" w:hAnsi="仿宋" w:eastAsia="仿宋" w:cs="仿宋"/>
          <w:kern w:val="15"/>
          <w:sz w:val="32"/>
          <w:szCs w:val="32"/>
          <w:u w:val="single"/>
        </w:rPr>
        <w:t xml:space="preserve">                   </w:t>
      </w:r>
    </w:p>
    <w:p>
      <w:pPr>
        <w:widowControl/>
        <w:kinsoku w:val="0"/>
        <w:wordWrap/>
        <w:autoSpaceDE w:val="0"/>
        <w:autoSpaceDN w:val="0"/>
        <w:adjustRightInd w:val="0"/>
        <w:snapToGrid w:val="0"/>
        <w:spacing w:line="560" w:lineRule="exact"/>
        <w:ind w:firstLine="643" w:firstLineChars="200"/>
        <w:textAlignment w:val="baseline"/>
        <w:rPr>
          <w:rFonts w:ascii="仿宋" w:hAnsi="仿宋" w:eastAsia="仿宋" w:cs="仿宋"/>
          <w:kern w:val="15"/>
          <w:sz w:val="32"/>
          <w:szCs w:val="32"/>
        </w:rPr>
      </w:pPr>
      <w:r>
        <w:rPr>
          <w:rFonts w:hint="eastAsia" w:ascii="仿宋" w:hAnsi="仿宋" w:eastAsia="仿宋" w:cs="仿宋"/>
          <w:b/>
          <w:bCs/>
          <w:kern w:val="15"/>
          <w:sz w:val="32"/>
          <w:szCs w:val="32"/>
        </w:rPr>
        <w:t>九、合同修改</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任何对合同的变更、修改和补充，应通过书面文件进行约定。该书面文件在甲乙双方签字或盖章后生效，并作为附件成为本合同不可分割的组成部分，并具有同等法律效力。因单方面变更合同，使另一方遭受损失的，应由责任方负责赔偿。</w:t>
      </w:r>
    </w:p>
    <w:p>
      <w:pPr>
        <w:widowControl/>
        <w:kinsoku w:val="0"/>
        <w:wordWrap/>
        <w:autoSpaceDE w:val="0"/>
        <w:autoSpaceDN w:val="0"/>
        <w:adjustRightInd w:val="0"/>
        <w:snapToGrid w:val="0"/>
        <w:spacing w:line="560" w:lineRule="exact"/>
        <w:ind w:firstLine="643" w:firstLineChars="200"/>
        <w:textAlignment w:val="baseline"/>
        <w:rPr>
          <w:rFonts w:ascii="仿宋" w:hAnsi="仿宋" w:eastAsia="仿宋" w:cs="仿宋"/>
          <w:kern w:val="15"/>
          <w:sz w:val="32"/>
          <w:szCs w:val="32"/>
        </w:rPr>
      </w:pPr>
      <w:r>
        <w:rPr>
          <w:rFonts w:hint="eastAsia" w:ascii="仿宋" w:hAnsi="仿宋" w:eastAsia="仿宋" w:cs="仿宋"/>
          <w:b/>
          <w:bCs/>
          <w:kern w:val="15"/>
          <w:sz w:val="32"/>
          <w:szCs w:val="32"/>
        </w:rPr>
        <w:t>十、争议解决</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凡因执行本合同所发生的或与合同有关的一切争议，双方应首先友好协商解决，协商不成的，任何一方均可诉诸甲方所在地人民法院。</w:t>
      </w:r>
    </w:p>
    <w:p>
      <w:pPr>
        <w:widowControl/>
        <w:kinsoku w:val="0"/>
        <w:wordWrap/>
        <w:autoSpaceDE w:val="0"/>
        <w:autoSpaceDN w:val="0"/>
        <w:adjustRightInd w:val="0"/>
        <w:snapToGrid w:val="0"/>
        <w:spacing w:line="560" w:lineRule="exact"/>
        <w:ind w:firstLine="643" w:firstLineChars="200"/>
        <w:textAlignment w:val="baseline"/>
        <w:rPr>
          <w:rFonts w:ascii="仿宋" w:hAnsi="仿宋" w:eastAsia="仿宋" w:cs="仿宋"/>
          <w:kern w:val="15"/>
          <w:sz w:val="32"/>
          <w:szCs w:val="32"/>
        </w:rPr>
      </w:pPr>
      <w:r>
        <w:rPr>
          <w:rFonts w:hint="eastAsia" w:ascii="仿宋" w:hAnsi="仿宋" w:eastAsia="仿宋" w:cs="仿宋"/>
          <w:b/>
          <w:bCs/>
          <w:kern w:val="15"/>
          <w:sz w:val="32"/>
          <w:szCs w:val="32"/>
        </w:rPr>
        <w:t>十一、不可抗力</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任何一方均不会因此而承担违约责任。</w:t>
      </w:r>
    </w:p>
    <w:p>
      <w:pPr>
        <w:widowControl/>
        <w:kinsoku w:val="0"/>
        <w:wordWrap/>
        <w:autoSpaceDE w:val="0"/>
        <w:autoSpaceDN w:val="0"/>
        <w:adjustRightInd w:val="0"/>
        <w:snapToGrid w:val="0"/>
        <w:spacing w:line="560" w:lineRule="exact"/>
        <w:ind w:firstLine="643" w:firstLineChars="200"/>
        <w:textAlignment w:val="baseline"/>
        <w:rPr>
          <w:rFonts w:ascii="仿宋" w:hAnsi="仿宋" w:eastAsia="仿宋" w:cs="仿宋"/>
          <w:kern w:val="15"/>
          <w:sz w:val="32"/>
          <w:szCs w:val="32"/>
        </w:rPr>
      </w:pPr>
      <w:r>
        <w:rPr>
          <w:rFonts w:hint="eastAsia" w:ascii="仿宋" w:hAnsi="仿宋" w:eastAsia="仿宋" w:cs="仿宋"/>
          <w:b/>
          <w:bCs/>
          <w:kern w:val="15"/>
          <w:sz w:val="32"/>
          <w:szCs w:val="32"/>
        </w:rPr>
        <w:t>十二、其他</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(一)乙方声明并承诺如下：</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1. 对在本项目采购、合同订立、合同有效期内知悉的甲方的所有工作秘密和其他秘密，负有永久保密义务。</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2. 乙方所提供的服务应符合相应的国家标准、行业标准及合同约定标准(以较高者为准),符合国家有关知识产权、信息安全、环保法律法规的规定。该保密义务不因合同终止或解除而失效。</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3、乙方及其员工不得以任何形式向甲方工作人员及其关联人员行贿或输送不正当利益。一经发现，甲方有权单方面终止合同，且不用承担任何责任。</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4. 乙方若违反上述声明和承诺事项应支付合同总金额的10%作为违约金，并对甲方承担全部责任并赔偿甲方因此遭受的全部损失。</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二)本合同所载明的地址、联系方式均是法定通知地址和联系方式，如发生变化均应在变更之日起两日内书面告知对方，否则应承担相应的法律责任。合同送达条款为独立条款，不受合同整体效力及其他条款效力的影响。</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(三)乙方不得将本项目服务责任部分或全部转让给任何第三方，不得转包、分包任何服务事宜，乙方因客观需要组织第三方共同完成本项目服务的，应事先征得甲方书面同意。</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(四)本合同未尽事宜由双方另行协商，所签补充协议与本合同具有同等法律效力，约定不一致的，以补充协议约定为准。</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(五)本合同附件为本合同的重要组成部分，构成本合同不可分割的一个整体。</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(六)本合同经双方</w:t>
      </w:r>
      <w:r>
        <w:rPr>
          <w:rFonts w:hint="eastAsia" w:ascii="仿宋" w:hAnsi="仿宋" w:eastAsia="仿宋" w:cs="仿宋"/>
          <w:b w:val="0"/>
          <w:bCs w:val="0"/>
          <w:caps w:val="0"/>
          <w:color w:val="auto"/>
          <w:kern w:val="15"/>
          <w:sz w:val="32"/>
          <w:szCs w:val="32"/>
          <w:vertAlign w:val="baseline"/>
          <w:lang w:val="en-US" w:eastAsia="zh-CN" w:bidi="ar"/>
        </w:rPr>
        <w:t>负责人或授权</w:t>
      </w:r>
      <w:bookmarkStart w:id="527" w:name="_GoBack"/>
      <w:bookmarkEnd w:id="527"/>
      <w:r>
        <w:rPr>
          <w:rFonts w:hint="eastAsia" w:ascii="仿宋" w:hAnsi="仿宋" w:eastAsia="仿宋" w:cs="仿宋"/>
          <w:kern w:val="15"/>
          <w:sz w:val="32"/>
          <w:szCs w:val="32"/>
        </w:rPr>
        <w:t>代表签字或盖章后生效。</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 xml:space="preserve">(七)其他补充： </w:t>
      </w:r>
      <w:r>
        <w:rPr>
          <w:rFonts w:hint="eastAsia" w:ascii="仿宋" w:hAnsi="仿宋" w:eastAsia="仿宋" w:cs="仿宋"/>
          <w:kern w:val="15"/>
          <w:sz w:val="32"/>
          <w:szCs w:val="32"/>
          <w:u w:val="single"/>
        </w:rPr>
        <w:t xml:space="preserve">               </w:t>
      </w:r>
    </w:p>
    <w:p>
      <w:pPr>
        <w:widowControl/>
        <w:kinsoku w:val="0"/>
        <w:wordWrap/>
        <w:autoSpaceDE w:val="0"/>
        <w:autoSpaceDN w:val="0"/>
        <w:adjustRightInd w:val="0"/>
        <w:snapToGrid w:val="0"/>
        <w:spacing w:line="560" w:lineRule="exact"/>
        <w:ind w:firstLine="640" w:firstLineChars="200"/>
        <w:textAlignment w:val="baseline"/>
        <w:rPr>
          <w:rFonts w:ascii="仿宋" w:hAnsi="仿宋" w:eastAsia="仿宋" w:cs="仿宋"/>
          <w:kern w:val="15"/>
          <w:sz w:val="32"/>
          <w:szCs w:val="32"/>
        </w:rPr>
      </w:pPr>
      <w:r>
        <w:rPr>
          <w:rFonts w:hint="eastAsia" w:ascii="仿宋" w:hAnsi="仿宋" w:eastAsia="仿宋" w:cs="仿宋"/>
          <w:kern w:val="15"/>
          <w:sz w:val="32"/>
          <w:szCs w:val="32"/>
        </w:rPr>
        <w:t>(八)本合同一式</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份，甲方持</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份，乙方持</w:t>
      </w:r>
      <w:r>
        <w:rPr>
          <w:rFonts w:hint="eastAsia" w:ascii="仿宋" w:hAnsi="仿宋" w:eastAsia="仿宋" w:cs="仿宋"/>
          <w:kern w:val="15"/>
          <w:sz w:val="32"/>
          <w:szCs w:val="32"/>
          <w:u w:val="single"/>
        </w:rPr>
        <w:t xml:space="preserve">   </w:t>
      </w:r>
      <w:r>
        <w:rPr>
          <w:rFonts w:hint="eastAsia" w:ascii="仿宋" w:hAnsi="仿宋" w:eastAsia="仿宋" w:cs="仿宋"/>
          <w:kern w:val="15"/>
          <w:sz w:val="32"/>
          <w:szCs w:val="32"/>
        </w:rPr>
        <w:t>份，具有同等法律效力。</w:t>
      </w:r>
    </w:p>
    <w:p>
      <w:pPr>
        <w:widowControl/>
        <w:kinsoku w:val="0"/>
        <w:wordWrap/>
        <w:autoSpaceDE w:val="0"/>
        <w:autoSpaceDN w:val="0"/>
        <w:adjustRightInd w:val="0"/>
        <w:snapToGrid w:val="0"/>
        <w:spacing w:line="560" w:lineRule="exact"/>
        <w:textAlignment w:val="baseline"/>
        <w:rPr>
          <w:rFonts w:ascii="仿宋" w:hAnsi="仿宋" w:eastAsia="仿宋" w:cs="仿宋"/>
          <w:kern w:val="15"/>
          <w:sz w:val="32"/>
          <w:szCs w:val="32"/>
        </w:rPr>
      </w:pPr>
      <w:r>
        <w:rPr>
          <w:rFonts w:hint="eastAsia" w:ascii="仿宋" w:hAnsi="仿宋" w:eastAsia="仿宋" w:cs="仿宋"/>
          <w:kern w:val="15"/>
          <w:sz w:val="32"/>
          <w:szCs w:val="32"/>
        </w:rPr>
        <w:t>甲方：</w:t>
      </w:r>
      <w:r>
        <w:rPr>
          <w:rFonts w:hint="eastAsia" w:ascii="仿宋" w:hAnsi="仿宋" w:eastAsia="仿宋" w:cs="仿宋"/>
          <w:kern w:val="15"/>
          <w:sz w:val="21"/>
          <w:szCs w:val="21"/>
        </w:rPr>
        <w:t>中华人民共和国广州白云机场海关</w:t>
      </w:r>
      <w:r>
        <w:rPr>
          <w:rFonts w:hint="eastAsia" w:ascii="仿宋" w:hAnsi="仿宋" w:eastAsia="仿宋" w:cs="仿宋"/>
          <w:kern w:val="15"/>
          <w:sz w:val="32"/>
          <w:szCs w:val="32"/>
        </w:rPr>
        <w:t xml:space="preserve">   乙方：</w:t>
      </w:r>
    </w:p>
    <w:p>
      <w:pPr>
        <w:widowControl/>
        <w:kinsoku w:val="0"/>
        <w:wordWrap/>
        <w:autoSpaceDE w:val="0"/>
        <w:autoSpaceDN w:val="0"/>
        <w:adjustRightInd w:val="0"/>
        <w:snapToGrid w:val="0"/>
        <w:spacing w:line="560" w:lineRule="exact"/>
        <w:textAlignment w:val="baseline"/>
        <w:rPr>
          <w:rFonts w:ascii="仿宋" w:hAnsi="仿宋" w:eastAsia="仿宋" w:cs="仿宋"/>
        </w:rPr>
      </w:pPr>
      <w:r>
        <w:rPr>
          <w:rFonts w:hint="eastAsia" w:ascii="仿宋" w:hAnsi="仿宋" w:eastAsia="仿宋" w:cs="仿宋"/>
          <w:kern w:val="15"/>
          <w:sz w:val="32"/>
          <w:szCs w:val="32"/>
        </w:rPr>
        <w:t>负责人/授权代表：            负责人/授权代表：</w:t>
      </w:r>
    </w:p>
    <w:p>
      <w:pPr>
        <w:widowControl/>
        <w:kinsoku w:val="0"/>
        <w:wordWrap/>
        <w:autoSpaceDE w:val="0"/>
        <w:autoSpaceDN w:val="0"/>
        <w:adjustRightInd w:val="0"/>
        <w:snapToGrid w:val="0"/>
        <w:spacing w:line="560" w:lineRule="exact"/>
        <w:textAlignment w:val="baseline"/>
        <w:rPr>
          <w:rFonts w:ascii="仿宋" w:hAnsi="仿宋" w:eastAsia="仿宋" w:cs="仿宋"/>
        </w:rPr>
      </w:pPr>
      <w:r>
        <w:rPr>
          <w:rFonts w:hint="eastAsia" w:ascii="仿宋" w:hAnsi="仿宋" w:eastAsia="仿宋" w:cs="仿宋"/>
          <w:kern w:val="15"/>
          <w:sz w:val="32"/>
          <w:szCs w:val="32"/>
        </w:rPr>
        <w:t>日期：   年   月   日        日期：   年   月   日</w:t>
      </w:r>
    </w:p>
    <w:p>
      <w:pPr>
        <w:rPr>
          <w:rFonts w:ascii="仿宋" w:hAnsi="仿宋" w:eastAsia="仿宋" w:cs="仿宋"/>
        </w:rPr>
      </w:pPr>
    </w:p>
    <w:p>
      <w:pPr>
        <w:rPr>
          <w:rFonts w:ascii="仿宋" w:hAnsi="仿宋" w:eastAsia="仿宋" w:cs="仿宋"/>
        </w:rPr>
        <w:sectPr>
          <w:footerReference r:id="rId7" w:type="default"/>
          <w:pgSz w:w="11920" w:h="16840"/>
          <w:pgMar w:top="1304" w:right="1191" w:bottom="1304" w:left="1191" w:header="0" w:footer="1060" w:gutter="0"/>
          <w:cols w:space="720" w:num="1"/>
          <w:docGrid w:linePitch="326" w:charSpace="0"/>
        </w:sectPr>
      </w:pPr>
    </w:p>
    <w:p>
      <w:pPr>
        <w:widowControl/>
        <w:kinsoku w:val="0"/>
        <w:wordWrap/>
        <w:autoSpaceDE w:val="0"/>
        <w:autoSpaceDN w:val="0"/>
        <w:adjustRightInd w:val="0"/>
        <w:snapToGrid w:val="0"/>
        <w:spacing w:line="560" w:lineRule="exact"/>
        <w:textAlignment w:val="baseline"/>
        <w:rPr>
          <w:rFonts w:ascii="仿宋" w:hAnsi="仿宋" w:eastAsia="仿宋" w:cs="仿宋"/>
          <w:kern w:val="15"/>
          <w:sz w:val="32"/>
          <w:szCs w:val="32"/>
        </w:rPr>
      </w:pPr>
      <w:r>
        <w:rPr>
          <w:rFonts w:hint="eastAsia" w:ascii="仿宋" w:hAnsi="仿宋" w:eastAsia="仿宋" w:cs="仿宋"/>
          <w:kern w:val="15"/>
          <w:sz w:val="32"/>
          <w:szCs w:val="32"/>
        </w:rPr>
        <w:t>附件一、采购需求</w:t>
      </w:r>
    </w:p>
    <w:p>
      <w:pPr>
        <w:pStyle w:val="2"/>
      </w:pPr>
      <w:r>
        <w:rPr>
          <w:rFonts w:hint="eastAsia" w:ascii="仿宋" w:hAnsi="仿宋" w:eastAsia="仿宋" w:cs="仿宋"/>
          <w:kern w:val="15"/>
          <w:sz w:val="32"/>
          <w:szCs w:val="32"/>
        </w:rPr>
        <w:t>附件二、</w:t>
      </w:r>
      <w:r>
        <w:rPr>
          <w:rFonts w:hint="eastAsia" w:ascii="仿宋" w:hAnsi="仿宋" w:eastAsia="仿宋" w:cs="仿宋"/>
          <w:sz w:val="32"/>
          <w:szCs w:val="28"/>
        </w:rPr>
        <w:t>服务收费</w:t>
      </w:r>
    </w:p>
    <w:p>
      <w:pPr>
        <w:rPr>
          <w:rFonts w:ascii="仿宋" w:hAnsi="仿宋" w:eastAsia="仿宋" w:cs="仿宋"/>
        </w:rPr>
      </w:pPr>
    </w:p>
    <w:p>
      <w:pPr>
        <w:numPr>
          <w:ilvl w:val="0"/>
          <w:numId w:val="58"/>
        </w:numPr>
        <w:kinsoku w:val="0"/>
        <w:wordWrap/>
        <w:autoSpaceDE w:val="0"/>
        <w:autoSpaceDN w:val="0"/>
        <w:adjustRightInd w:val="0"/>
        <w:snapToGrid w:val="0"/>
        <w:ind w:left="0" w:firstLine="480" w:firstLineChars="200"/>
        <w:jc w:val="left"/>
        <w:textAlignment w:val="baseline"/>
        <w:rPr>
          <w:rFonts w:ascii="仿宋" w:hAnsi="仿宋" w:eastAsia="仿宋" w:cs="仿宋"/>
          <w:bCs/>
          <w:szCs w:val="21"/>
        </w:rPr>
      </w:pPr>
      <w:r>
        <w:rPr>
          <w:rFonts w:hint="eastAsia" w:ascii="仿宋" w:hAnsi="仿宋" w:eastAsia="仿宋" w:cs="仿宋"/>
          <w:bCs/>
          <w:szCs w:val="21"/>
        </w:rPr>
        <w:t>每月服务费基数为合同总金额的十二分之一，不论长短月。</w:t>
      </w:r>
    </w:p>
    <w:p>
      <w:pPr>
        <w:numPr>
          <w:ilvl w:val="0"/>
          <w:numId w:val="58"/>
        </w:numPr>
        <w:kinsoku w:val="0"/>
        <w:wordWrap/>
        <w:autoSpaceDE w:val="0"/>
        <w:autoSpaceDN w:val="0"/>
        <w:adjustRightInd w:val="0"/>
        <w:snapToGrid w:val="0"/>
        <w:ind w:left="0" w:firstLine="480" w:firstLineChars="200"/>
        <w:jc w:val="left"/>
        <w:textAlignment w:val="baseline"/>
        <w:rPr>
          <w:rFonts w:ascii="仿宋" w:hAnsi="仿宋" w:eastAsia="仿宋" w:cs="仿宋"/>
          <w:bCs/>
          <w:szCs w:val="21"/>
        </w:rPr>
      </w:pPr>
      <w:r>
        <w:rPr>
          <w:rFonts w:hint="eastAsia" w:ascii="仿宋" w:hAnsi="仿宋" w:eastAsia="仿宋" w:cs="仿宋"/>
          <w:bCs/>
          <w:szCs w:val="21"/>
        </w:rPr>
        <w:t>甲方每月实际支付的物业管理费为：每月服务费基数</w:t>
      </w:r>
      <w:r>
        <w:rPr>
          <w:rFonts w:ascii="Arial" w:hAnsi="Arial" w:eastAsia="仿宋" w:cs="Arial"/>
          <w:bCs/>
          <w:szCs w:val="21"/>
        </w:rPr>
        <w:t>×</w:t>
      </w:r>
      <w:r>
        <w:rPr>
          <w:rFonts w:hint="eastAsia" w:ascii="仿宋" w:hAnsi="仿宋" w:eastAsia="仿宋" w:cs="仿宋"/>
          <w:bCs/>
          <w:szCs w:val="21"/>
        </w:rPr>
        <w:t>当月的月度考核总评支付百分比。</w:t>
      </w:r>
    </w:p>
    <w:p>
      <w:pPr>
        <w:ind w:firstLine="480" w:firstLineChars="200"/>
        <w:rPr>
          <w:rFonts w:ascii="仿宋" w:hAnsi="仿宋" w:eastAsia="仿宋" w:cs="仿宋"/>
        </w:rPr>
      </w:pPr>
      <w:r>
        <w:rPr>
          <w:rFonts w:hint="eastAsia" w:ascii="仿宋" w:hAnsi="仿宋" w:eastAsia="仿宋" w:cs="仿宋"/>
          <w:bCs/>
          <w:szCs w:val="21"/>
        </w:rPr>
        <w:t>3、</w:t>
      </w:r>
      <w:r>
        <w:rPr>
          <w:rFonts w:hint="eastAsia" w:ascii="仿宋" w:hAnsi="仿宋" w:eastAsia="仿宋" w:cs="仿宋"/>
        </w:rPr>
        <w:t>采购人每月实际支付的物业管理费与当月的月度考核总评挂钩：</w:t>
      </w:r>
    </w:p>
    <w:p>
      <w:pPr>
        <w:ind w:firstLine="480" w:firstLineChars="200"/>
        <w:rPr>
          <w:rFonts w:ascii="仿宋" w:hAnsi="仿宋" w:eastAsia="仿宋" w:cs="仿宋"/>
        </w:rPr>
      </w:pPr>
      <w:r>
        <w:rPr>
          <w:rFonts w:hint="eastAsia" w:ascii="仿宋" w:hAnsi="仿宋" w:eastAsia="仿宋" w:cs="仿宋"/>
        </w:rPr>
        <w:t>（1）总分为100分，当月总评&gt;90分的，当月物业管理费按每月服务费基数100%支付；</w:t>
      </w:r>
    </w:p>
    <w:p>
      <w:pPr>
        <w:ind w:firstLine="480" w:firstLineChars="200"/>
        <w:rPr>
          <w:rFonts w:ascii="仿宋" w:hAnsi="仿宋" w:eastAsia="仿宋" w:cs="仿宋"/>
        </w:rPr>
      </w:pPr>
      <w:r>
        <w:rPr>
          <w:rFonts w:hint="eastAsia" w:ascii="仿宋" w:hAnsi="仿宋" w:eastAsia="仿宋" w:cs="仿宋"/>
        </w:rPr>
        <w:t>（2）90分≥当月总评&gt;80分的，当月物业管理费按每月服务费基数90%支付；</w:t>
      </w:r>
    </w:p>
    <w:p>
      <w:pPr>
        <w:ind w:firstLine="480" w:firstLineChars="200"/>
        <w:rPr>
          <w:rFonts w:ascii="仿宋" w:hAnsi="仿宋" w:eastAsia="仿宋" w:cs="仿宋"/>
        </w:rPr>
      </w:pPr>
      <w:r>
        <w:rPr>
          <w:rFonts w:hint="eastAsia" w:ascii="仿宋" w:hAnsi="仿宋" w:eastAsia="仿宋" w:cs="仿宋"/>
        </w:rPr>
        <w:t>（3）80分≥当月总评&gt;70分的，当月物业管理费按每月服务费基数80%支付；</w:t>
      </w:r>
    </w:p>
    <w:p>
      <w:pPr>
        <w:ind w:firstLine="480" w:firstLineChars="200"/>
        <w:rPr>
          <w:rFonts w:ascii="仿宋" w:hAnsi="仿宋" w:eastAsia="仿宋" w:cs="仿宋"/>
        </w:rPr>
      </w:pPr>
      <w:r>
        <w:rPr>
          <w:rFonts w:hint="eastAsia" w:ascii="仿宋" w:hAnsi="仿宋" w:eastAsia="仿宋" w:cs="仿宋"/>
        </w:rPr>
        <w:t>（4）月度考核≤70分的，当月物业管理费按每月服务费基数70%支付，同时甲方发出《违约整改通知书》，一个年度内出现3次服务质量考核低于70分的，甲方有权终止合同。</w:t>
      </w:r>
    </w:p>
    <w:p>
      <w:pPr>
        <w:ind w:firstLine="480" w:firstLineChars="200"/>
        <w:rPr>
          <w:rFonts w:ascii="仿宋" w:hAnsi="仿宋" w:eastAsia="仿宋" w:cs="仿宋"/>
        </w:rPr>
      </w:pPr>
      <w:r>
        <w:rPr>
          <w:rFonts w:hint="eastAsia" w:ascii="仿宋" w:hAnsi="仿宋" w:eastAsia="仿宋" w:cs="仿宋"/>
        </w:rPr>
        <w:t>（5）当月物业管理费在100%的基准上扣除的差额部分，甲方有权用于奖励乙方优秀员工。</w:t>
      </w:r>
    </w:p>
    <w:p>
      <w:pPr>
        <w:adjustRightInd w:val="0"/>
        <w:snapToGrid w:val="0"/>
        <w:spacing w:before="312" w:beforeLines="100"/>
        <w:jc w:val="center"/>
        <w:rPr>
          <w:rFonts w:ascii="宋体" w:hAnsi="宋体"/>
          <w:b/>
        </w:rPr>
      </w:pPr>
      <w:r>
        <w:rPr>
          <w:rFonts w:ascii="宋体" w:hAnsi="宋体"/>
          <w:b/>
        </w:rPr>
        <w:t>月度</w:t>
      </w:r>
      <w:r>
        <w:rPr>
          <w:rFonts w:hint="eastAsia" w:ascii="宋体" w:hAnsi="宋体"/>
          <w:b/>
        </w:rPr>
        <w:t>考评表</w:t>
      </w:r>
    </w:p>
    <w:tbl>
      <w:tblPr>
        <w:tblStyle w:val="30"/>
        <w:tblW w:w="48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7"/>
        <w:gridCol w:w="518"/>
        <w:gridCol w:w="520"/>
        <w:gridCol w:w="520"/>
        <w:gridCol w:w="520"/>
        <w:gridCol w:w="518"/>
        <w:gridCol w:w="522"/>
        <w:gridCol w:w="522"/>
        <w:gridCol w:w="522"/>
        <w:gridCol w:w="518"/>
        <w:gridCol w:w="522"/>
        <w:gridCol w:w="522"/>
        <w:gridCol w:w="522"/>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61" w:type="pct"/>
            <w:vAlign w:val="center"/>
          </w:tcPr>
          <w:p>
            <w:pPr>
              <w:rPr>
                <w:rFonts w:ascii="Calibri" w:hAnsi="Calibri" w:cs="宋体"/>
                <w:sz w:val="20"/>
              </w:rPr>
            </w:pPr>
            <w:r>
              <w:rPr>
                <w:rFonts w:ascii="Calibri" w:hAnsi="Calibri" w:cs="宋体"/>
                <w:sz w:val="20"/>
              </w:rPr>
              <w:t>扣分项目</w:t>
            </w:r>
          </w:p>
        </w:tc>
        <w:tc>
          <w:tcPr>
            <w:tcW w:w="283" w:type="pct"/>
            <w:vAlign w:val="center"/>
          </w:tcPr>
          <w:p>
            <w:pPr>
              <w:rPr>
                <w:rFonts w:ascii="Calibri" w:hAnsi="Calibri" w:cs="宋体"/>
                <w:sz w:val="20"/>
              </w:rPr>
            </w:pPr>
            <w:r>
              <w:rPr>
                <w:rFonts w:hint="eastAsia" w:ascii="Calibri" w:hAnsi="Calibri" w:cs="宋体"/>
                <w:sz w:val="20"/>
              </w:rPr>
              <w:t>1</w:t>
            </w:r>
          </w:p>
        </w:tc>
        <w:tc>
          <w:tcPr>
            <w:tcW w:w="284" w:type="pct"/>
            <w:vAlign w:val="center"/>
          </w:tcPr>
          <w:p>
            <w:pPr>
              <w:rPr>
                <w:rFonts w:ascii="Calibri" w:hAnsi="Calibri" w:cs="宋体"/>
                <w:sz w:val="20"/>
              </w:rPr>
            </w:pPr>
            <w:r>
              <w:rPr>
                <w:rFonts w:hint="eastAsia" w:ascii="Calibri" w:hAnsi="Calibri" w:cs="宋体"/>
                <w:sz w:val="20"/>
              </w:rPr>
              <w:t>2</w:t>
            </w:r>
          </w:p>
        </w:tc>
        <w:tc>
          <w:tcPr>
            <w:tcW w:w="284" w:type="pct"/>
            <w:vAlign w:val="center"/>
          </w:tcPr>
          <w:p>
            <w:pPr>
              <w:rPr>
                <w:rFonts w:ascii="Calibri" w:hAnsi="Calibri" w:cs="宋体"/>
                <w:sz w:val="20"/>
              </w:rPr>
            </w:pPr>
            <w:r>
              <w:rPr>
                <w:rFonts w:hint="eastAsia" w:ascii="Calibri" w:hAnsi="Calibri" w:cs="宋体"/>
                <w:sz w:val="20"/>
              </w:rPr>
              <w:t>3</w:t>
            </w:r>
          </w:p>
        </w:tc>
        <w:tc>
          <w:tcPr>
            <w:tcW w:w="284" w:type="pct"/>
            <w:vAlign w:val="center"/>
          </w:tcPr>
          <w:p>
            <w:pPr>
              <w:rPr>
                <w:rFonts w:ascii="Calibri" w:hAnsi="Calibri" w:cs="宋体"/>
                <w:sz w:val="20"/>
              </w:rPr>
            </w:pPr>
            <w:r>
              <w:rPr>
                <w:rFonts w:hint="eastAsia" w:ascii="Calibri" w:hAnsi="Calibri" w:cs="宋体"/>
                <w:sz w:val="20"/>
              </w:rPr>
              <w:t>4</w:t>
            </w:r>
          </w:p>
        </w:tc>
        <w:tc>
          <w:tcPr>
            <w:tcW w:w="283" w:type="pct"/>
            <w:vAlign w:val="center"/>
          </w:tcPr>
          <w:p>
            <w:pPr>
              <w:rPr>
                <w:rFonts w:ascii="Calibri" w:hAnsi="Calibri" w:cs="宋体"/>
                <w:sz w:val="20"/>
              </w:rPr>
            </w:pPr>
            <w:r>
              <w:rPr>
                <w:rFonts w:hint="eastAsia" w:ascii="Calibri" w:hAnsi="Calibri" w:cs="宋体"/>
                <w:sz w:val="20"/>
              </w:rPr>
              <w:t>5</w:t>
            </w:r>
          </w:p>
        </w:tc>
        <w:tc>
          <w:tcPr>
            <w:tcW w:w="285" w:type="pct"/>
            <w:vAlign w:val="center"/>
          </w:tcPr>
          <w:p>
            <w:pPr>
              <w:rPr>
                <w:rFonts w:ascii="Calibri" w:hAnsi="Calibri" w:cs="宋体"/>
                <w:sz w:val="20"/>
              </w:rPr>
            </w:pPr>
            <w:r>
              <w:rPr>
                <w:rFonts w:hint="eastAsia" w:ascii="Calibri" w:hAnsi="Calibri" w:cs="宋体"/>
                <w:sz w:val="20"/>
              </w:rPr>
              <w:t>6</w:t>
            </w:r>
          </w:p>
        </w:tc>
        <w:tc>
          <w:tcPr>
            <w:tcW w:w="285" w:type="pct"/>
            <w:vAlign w:val="center"/>
          </w:tcPr>
          <w:p>
            <w:pPr>
              <w:rPr>
                <w:rFonts w:ascii="Calibri" w:hAnsi="Calibri" w:cs="宋体"/>
                <w:sz w:val="20"/>
              </w:rPr>
            </w:pPr>
            <w:r>
              <w:rPr>
                <w:rFonts w:hint="eastAsia" w:ascii="Calibri" w:hAnsi="Calibri" w:cs="宋体"/>
                <w:sz w:val="20"/>
              </w:rPr>
              <w:t>7</w:t>
            </w:r>
          </w:p>
        </w:tc>
        <w:tc>
          <w:tcPr>
            <w:tcW w:w="285" w:type="pct"/>
            <w:vAlign w:val="center"/>
          </w:tcPr>
          <w:p>
            <w:pPr>
              <w:rPr>
                <w:rFonts w:ascii="Calibri" w:hAnsi="Calibri" w:cs="宋体"/>
                <w:sz w:val="20"/>
              </w:rPr>
            </w:pPr>
            <w:r>
              <w:rPr>
                <w:rFonts w:hint="eastAsia" w:ascii="Calibri" w:hAnsi="Calibri" w:cs="宋体"/>
                <w:sz w:val="20"/>
              </w:rPr>
              <w:t>8</w:t>
            </w:r>
          </w:p>
        </w:tc>
        <w:tc>
          <w:tcPr>
            <w:tcW w:w="283" w:type="pct"/>
            <w:vAlign w:val="center"/>
          </w:tcPr>
          <w:p>
            <w:pPr>
              <w:rPr>
                <w:rFonts w:ascii="Calibri" w:hAnsi="Calibri" w:cs="宋体"/>
                <w:sz w:val="20"/>
              </w:rPr>
            </w:pPr>
            <w:r>
              <w:rPr>
                <w:rFonts w:hint="eastAsia" w:ascii="Calibri" w:hAnsi="Calibri" w:cs="宋体"/>
                <w:sz w:val="20"/>
              </w:rPr>
              <w:t>9</w:t>
            </w:r>
          </w:p>
        </w:tc>
        <w:tc>
          <w:tcPr>
            <w:tcW w:w="285" w:type="pct"/>
            <w:vAlign w:val="center"/>
          </w:tcPr>
          <w:p>
            <w:pPr>
              <w:rPr>
                <w:rFonts w:ascii="Calibri" w:hAnsi="Calibri" w:cs="宋体"/>
                <w:sz w:val="20"/>
              </w:rPr>
            </w:pPr>
            <w:r>
              <w:rPr>
                <w:rFonts w:hint="eastAsia" w:ascii="Calibri" w:hAnsi="Calibri" w:cs="宋体"/>
                <w:sz w:val="20"/>
              </w:rPr>
              <w:t>1</w:t>
            </w:r>
            <w:r>
              <w:rPr>
                <w:rFonts w:ascii="Calibri" w:hAnsi="Calibri" w:cs="宋体"/>
                <w:sz w:val="20"/>
              </w:rPr>
              <w:t>0</w:t>
            </w:r>
          </w:p>
        </w:tc>
        <w:tc>
          <w:tcPr>
            <w:tcW w:w="285" w:type="pct"/>
            <w:vAlign w:val="center"/>
          </w:tcPr>
          <w:p>
            <w:pPr>
              <w:rPr>
                <w:rFonts w:ascii="Calibri" w:hAnsi="Calibri" w:cs="宋体"/>
                <w:sz w:val="20"/>
              </w:rPr>
            </w:pPr>
            <w:r>
              <w:rPr>
                <w:rFonts w:hint="eastAsia" w:ascii="Calibri" w:hAnsi="Calibri" w:cs="宋体"/>
                <w:sz w:val="20"/>
              </w:rPr>
              <w:t>1</w:t>
            </w:r>
            <w:r>
              <w:rPr>
                <w:rFonts w:ascii="Calibri" w:hAnsi="Calibri" w:cs="宋体"/>
                <w:sz w:val="20"/>
              </w:rPr>
              <w:t>1</w:t>
            </w:r>
          </w:p>
        </w:tc>
        <w:tc>
          <w:tcPr>
            <w:tcW w:w="285" w:type="pct"/>
            <w:vAlign w:val="center"/>
          </w:tcPr>
          <w:p>
            <w:pPr>
              <w:rPr>
                <w:rFonts w:ascii="Calibri" w:hAnsi="Calibri" w:cs="宋体"/>
                <w:sz w:val="20"/>
              </w:rPr>
            </w:pPr>
            <w:r>
              <w:rPr>
                <w:rFonts w:hint="eastAsia" w:ascii="Calibri" w:hAnsi="Calibri" w:cs="宋体"/>
                <w:sz w:val="20"/>
              </w:rPr>
              <w:t>1</w:t>
            </w:r>
            <w:r>
              <w:rPr>
                <w:rFonts w:ascii="Calibri" w:hAnsi="Calibri" w:cs="宋体"/>
                <w:sz w:val="20"/>
              </w:rPr>
              <w:t>2</w:t>
            </w:r>
          </w:p>
        </w:tc>
        <w:tc>
          <w:tcPr>
            <w:tcW w:w="727" w:type="pct"/>
            <w:vAlign w:val="center"/>
          </w:tcPr>
          <w:p>
            <w:pPr>
              <w:rPr>
                <w:rFonts w:ascii="Calibri" w:hAnsi="Calibri" w:cs="宋体"/>
                <w:sz w:val="20"/>
              </w:rPr>
            </w:pPr>
            <w:r>
              <w:rPr>
                <w:rFonts w:hint="eastAsia" w:ascii="Calibri" w:hAnsi="Calibri" w:cs="宋体"/>
                <w:sz w:val="20"/>
              </w:rPr>
              <w:t>总扣分数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61" w:type="pct"/>
            <w:vAlign w:val="center"/>
          </w:tcPr>
          <w:p>
            <w:pPr>
              <w:rPr>
                <w:rFonts w:ascii="Calibri" w:hAnsi="Calibri" w:cs="宋体"/>
                <w:sz w:val="20"/>
              </w:rPr>
            </w:pPr>
            <w:r>
              <w:rPr>
                <w:rFonts w:ascii="Calibri" w:hAnsi="Calibri" w:cs="宋体"/>
                <w:sz w:val="20"/>
              </w:rPr>
              <w:t>扣分数</w:t>
            </w:r>
          </w:p>
        </w:tc>
        <w:tc>
          <w:tcPr>
            <w:tcW w:w="283"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4"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4"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4"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3"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3"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285" w:type="pct"/>
            <w:tcBorders>
              <w:top w:val="single" w:color="auto" w:sz="4" w:space="0"/>
              <w:left w:val="single" w:color="auto" w:sz="4" w:space="0"/>
              <w:right w:val="single" w:color="auto" w:sz="4" w:space="0"/>
            </w:tcBorders>
            <w:vAlign w:val="center"/>
          </w:tcPr>
          <w:p>
            <w:pPr>
              <w:rPr>
                <w:rFonts w:ascii="Calibri" w:hAnsi="Calibri" w:cs="宋体"/>
                <w:sz w:val="20"/>
              </w:rPr>
            </w:pPr>
          </w:p>
        </w:tc>
        <w:tc>
          <w:tcPr>
            <w:tcW w:w="727" w:type="pct"/>
            <w:vAlign w:val="center"/>
          </w:tcPr>
          <w:p>
            <w:pPr>
              <w:rPr>
                <w:rFonts w:ascii="Calibri" w:hAnsi="Calibri"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861" w:type="pct"/>
            <w:vAlign w:val="center"/>
          </w:tcPr>
          <w:p>
            <w:pPr>
              <w:rPr>
                <w:rFonts w:ascii="Calibri" w:hAnsi="Calibri" w:cs="宋体"/>
                <w:sz w:val="20"/>
              </w:rPr>
            </w:pPr>
            <w:r>
              <w:rPr>
                <w:rFonts w:ascii="Calibri" w:hAnsi="Calibri" w:cs="宋体"/>
                <w:sz w:val="20"/>
              </w:rPr>
              <w:t>得分（</w:t>
            </w:r>
            <w:r>
              <w:rPr>
                <w:rFonts w:hint="eastAsia" w:ascii="Calibri" w:hAnsi="Calibri" w:cs="宋体"/>
                <w:sz w:val="20"/>
              </w:rPr>
              <w:t>1</w:t>
            </w:r>
            <w:r>
              <w:rPr>
                <w:rFonts w:ascii="Calibri" w:hAnsi="Calibri" w:cs="宋体"/>
                <w:sz w:val="20"/>
              </w:rPr>
              <w:t>00-总扣分数）</w:t>
            </w:r>
          </w:p>
        </w:tc>
        <w:tc>
          <w:tcPr>
            <w:tcW w:w="4139" w:type="pct"/>
            <w:gridSpan w:val="13"/>
            <w:vAlign w:val="center"/>
          </w:tcPr>
          <w:p>
            <w:pPr>
              <w:ind w:firstLine="1200" w:firstLineChars="600"/>
              <w:rPr>
                <w:rFonts w:ascii="Calibri" w:hAnsi="Calibri" w:cs="宋体"/>
                <w:sz w:val="20"/>
              </w:rPr>
            </w:pPr>
            <w:r>
              <w:rPr>
                <w:rFonts w:ascii="Calibri" w:hAnsi="Calibri" w:cs="宋体"/>
                <w:sz w:val="20"/>
              </w:rPr>
              <w:t>：</w:t>
            </w:r>
          </w:p>
          <w:p>
            <w:pPr>
              <w:ind w:firstLine="400" w:firstLineChars="200"/>
              <w:rPr>
                <w:rFonts w:ascii="Calibri" w:hAnsi="Calibri" w:cs="宋体"/>
                <w:sz w:val="20"/>
              </w:rPr>
            </w:pPr>
            <w:r>
              <w:rPr>
                <w:rFonts w:ascii="Calibri" w:hAnsi="Calibri" w:cs="宋体"/>
                <w:sz w:val="20"/>
              </w:rPr>
              <w:t>你单位</w:t>
            </w:r>
            <w:r>
              <w:rPr>
                <w:rFonts w:hint="eastAsia" w:ascii="Calibri" w:hAnsi="Calibri" w:cs="宋体"/>
                <w:sz w:val="20"/>
              </w:rPr>
              <w:t xml:space="preserve"> </w:t>
            </w:r>
            <w:r>
              <w:rPr>
                <w:rFonts w:ascii="Calibri" w:hAnsi="Calibri" w:cs="宋体"/>
                <w:sz w:val="20"/>
              </w:rPr>
              <w:t xml:space="preserve">  年</w:t>
            </w:r>
            <w:r>
              <w:rPr>
                <w:rFonts w:hint="eastAsia" w:ascii="Calibri" w:hAnsi="Calibri" w:cs="宋体"/>
                <w:sz w:val="20"/>
              </w:rPr>
              <w:t xml:space="preserve"> </w:t>
            </w:r>
            <w:r>
              <w:rPr>
                <w:rFonts w:ascii="Calibri" w:hAnsi="Calibri" w:cs="宋体"/>
                <w:sz w:val="20"/>
              </w:rPr>
              <w:t xml:space="preserve">  月的项目得分为</w:t>
            </w:r>
            <w:r>
              <w:rPr>
                <w:rFonts w:hint="eastAsia" w:ascii="Calibri" w:hAnsi="Calibri" w:cs="宋体"/>
                <w:sz w:val="20"/>
              </w:rPr>
              <w:t xml:space="preserve"> </w:t>
            </w:r>
            <w:r>
              <w:rPr>
                <w:rFonts w:ascii="Calibri" w:hAnsi="Calibri" w:cs="宋体"/>
                <w:sz w:val="20"/>
              </w:rPr>
              <w:t xml:space="preserve">  分，特此通知。</w:t>
            </w:r>
          </w:p>
          <w:p>
            <w:pPr>
              <w:ind w:firstLine="560" w:firstLineChars="200"/>
              <w:rPr>
                <w:rFonts w:ascii="宋体" w:hAnsi="宋体" w:cs="宋体"/>
                <w:b/>
                <w:bCs/>
                <w:kern w:val="44"/>
                <w:sz w:val="28"/>
                <w:szCs w:val="44"/>
              </w:rPr>
            </w:pPr>
          </w:p>
          <w:p>
            <w:pPr>
              <w:ind w:firstLine="400" w:firstLineChars="200"/>
              <w:outlineLvl w:val="0"/>
              <w:rPr>
                <w:rFonts w:ascii="Calibri" w:hAnsi="Calibri" w:cs="宋体"/>
                <w:sz w:val="20"/>
              </w:rPr>
            </w:pPr>
            <w:r>
              <w:rPr>
                <w:rFonts w:hint="eastAsia" w:ascii="Calibri" w:hAnsi="Calibri" w:cs="宋体"/>
                <w:sz w:val="20"/>
              </w:rPr>
              <w:t>被通知单位负责人或委托人签收：</w:t>
            </w:r>
          </w:p>
          <w:p>
            <w:pPr>
              <w:rPr>
                <w:rFonts w:ascii="Calibri" w:hAnsi="Calibri" w:cs="宋体"/>
                <w:sz w:val="20"/>
              </w:rPr>
            </w:pPr>
            <w:r>
              <w:rPr>
                <w:rFonts w:ascii="Calibri" w:hAnsi="Calibri" w:cs="宋体"/>
                <w:sz w:val="20"/>
              </w:rPr>
              <w:t xml:space="preserve">                               </w:t>
            </w:r>
          </w:p>
          <w:p>
            <w:pPr>
              <w:outlineLvl w:val="0"/>
              <w:rPr>
                <w:rFonts w:ascii="宋体" w:hAnsi="宋体" w:cs="宋体"/>
                <w:b/>
                <w:bCs/>
                <w:kern w:val="44"/>
                <w:sz w:val="28"/>
                <w:szCs w:val="44"/>
              </w:rPr>
            </w:pPr>
            <w:r>
              <w:rPr>
                <w:rFonts w:hint="eastAsia" w:ascii="宋体" w:hAnsi="宋体" w:cs="宋体"/>
                <w:b/>
                <w:bCs/>
                <w:kern w:val="44"/>
                <w:sz w:val="28"/>
                <w:szCs w:val="44"/>
              </w:rPr>
              <w:t xml:space="preserve"> </w:t>
            </w:r>
            <w:r>
              <w:rPr>
                <w:rFonts w:ascii="宋体" w:hAnsi="宋体" w:cs="宋体"/>
                <w:b/>
                <w:bCs/>
                <w:kern w:val="44"/>
                <w:sz w:val="28"/>
                <w:szCs w:val="44"/>
              </w:rPr>
              <w:t xml:space="preserve">                        </w:t>
            </w:r>
            <w:r>
              <w:rPr>
                <w:rFonts w:ascii="Calibri" w:hAnsi="Calibri" w:cs="宋体"/>
                <w:sz w:val="20"/>
              </w:rPr>
              <w:t xml:space="preserve"> </w:t>
            </w:r>
            <w:r>
              <w:rPr>
                <w:rFonts w:hint="eastAsia" w:ascii="Calibri" w:hAnsi="Calibri" w:cs="宋体"/>
                <w:sz w:val="20"/>
              </w:rPr>
              <w:t xml:space="preserve">年 </w:t>
            </w:r>
            <w:r>
              <w:rPr>
                <w:rFonts w:ascii="Calibri" w:hAnsi="Calibri" w:cs="宋体"/>
                <w:sz w:val="20"/>
              </w:rPr>
              <w:t xml:space="preserve">   </w:t>
            </w:r>
            <w:r>
              <w:rPr>
                <w:rFonts w:hint="eastAsia" w:ascii="Calibri" w:hAnsi="Calibri" w:cs="宋体"/>
                <w:sz w:val="20"/>
              </w:rPr>
              <w:t xml:space="preserve">月 </w:t>
            </w:r>
            <w:r>
              <w:rPr>
                <w:rFonts w:ascii="Calibri" w:hAnsi="Calibri" w:cs="宋体"/>
                <w:sz w:val="20"/>
              </w:rPr>
              <w:t xml:space="preserve">  </w:t>
            </w:r>
            <w:r>
              <w:rPr>
                <w:rFonts w:hint="eastAsia" w:ascii="Calibri" w:hAnsi="Calibri" w:cs="宋体"/>
                <w:sz w:val="2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1" w:type="pct"/>
            <w:vAlign w:val="center"/>
          </w:tcPr>
          <w:p>
            <w:pPr>
              <w:rPr>
                <w:rFonts w:ascii="Calibri" w:hAnsi="Calibri" w:cs="宋体"/>
                <w:sz w:val="20"/>
              </w:rPr>
            </w:pPr>
            <w:r>
              <w:rPr>
                <w:rFonts w:hint="eastAsia" w:ascii="Calibri" w:hAnsi="Calibri" w:cs="宋体"/>
                <w:sz w:val="20"/>
              </w:rPr>
              <w:t>备注</w:t>
            </w:r>
          </w:p>
        </w:tc>
        <w:tc>
          <w:tcPr>
            <w:tcW w:w="4139" w:type="pct"/>
            <w:gridSpan w:val="13"/>
          </w:tcPr>
          <w:p>
            <w:pPr>
              <w:ind w:firstLine="1200" w:firstLineChars="600"/>
              <w:rPr>
                <w:rFonts w:ascii="Calibri" w:hAnsi="Calibri"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1" w:type="pct"/>
            <w:vAlign w:val="center"/>
          </w:tcPr>
          <w:p>
            <w:pPr>
              <w:rPr>
                <w:rFonts w:ascii="Calibri" w:hAnsi="Calibri" w:cs="宋体"/>
                <w:sz w:val="20"/>
              </w:rPr>
            </w:pPr>
            <w:r>
              <w:rPr>
                <w:rFonts w:hint="eastAsia" w:ascii="Calibri" w:hAnsi="Calibri" w:cs="宋体"/>
                <w:sz w:val="20"/>
              </w:rPr>
              <w:t>填表人：</w:t>
            </w:r>
          </w:p>
        </w:tc>
        <w:tc>
          <w:tcPr>
            <w:tcW w:w="4139" w:type="pct"/>
            <w:gridSpan w:val="13"/>
            <w:vAlign w:val="center"/>
          </w:tcPr>
          <w:p>
            <w:pPr>
              <w:ind w:firstLine="1600" w:firstLineChars="800"/>
              <w:rPr>
                <w:rFonts w:ascii="Calibri" w:hAnsi="Calibri" w:cs="宋体"/>
                <w:sz w:val="20"/>
              </w:rPr>
            </w:pPr>
            <w:r>
              <w:rPr>
                <w:rFonts w:ascii="Calibri" w:hAnsi="Calibri" w:cs="宋体"/>
                <w:sz w:val="20"/>
              </w:rPr>
              <w:t>审核人（</w:t>
            </w:r>
            <w:r>
              <w:rPr>
                <w:rFonts w:hint="eastAsia" w:ascii="Calibri" w:hAnsi="Calibri" w:cs="宋体"/>
                <w:sz w:val="20"/>
              </w:rPr>
              <w:t>盖章</w:t>
            </w:r>
            <w:r>
              <w:rPr>
                <w:rFonts w:ascii="Calibri" w:hAnsi="Calibri" w:cs="宋体"/>
                <w:sz w:val="20"/>
              </w:rPr>
              <w:t>）</w:t>
            </w:r>
            <w:r>
              <w:rPr>
                <w:rFonts w:hint="eastAsia" w:ascii="Calibri" w:hAnsi="Calibri" w:cs="宋体"/>
                <w:sz w:val="20"/>
              </w:rPr>
              <w:t>：</w:t>
            </w:r>
          </w:p>
        </w:tc>
      </w:tr>
    </w:tbl>
    <w:p>
      <w:pPr>
        <w:rPr>
          <w:rFonts w:ascii="仿宋" w:hAnsi="仿宋" w:eastAsia="仿宋" w:cs="仿宋"/>
        </w:rPr>
      </w:pPr>
    </w:p>
    <w:p>
      <w:pPr>
        <w:wordWrap w:val="0"/>
        <w:autoSpaceDE w:val="0"/>
        <w:autoSpaceDN w:val="0"/>
      </w:pPr>
      <w:r>
        <w:br w:type="page"/>
      </w: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pStyle w:val="3"/>
        <w:numPr>
          <w:ilvl w:val="0"/>
          <w:numId w:val="3"/>
        </w:numPr>
        <w:spacing w:before="0" w:after="0" w:line="360" w:lineRule="auto"/>
        <w:ind w:left="0" w:firstLine="0"/>
        <w:jc w:val="center"/>
        <w:rPr>
          <w:rFonts w:ascii="宋体" w:hAnsi="宋体"/>
          <w:kern w:val="0"/>
          <w:sz w:val="36"/>
          <w:szCs w:val="36"/>
        </w:rPr>
      </w:pPr>
      <w:bookmarkStart w:id="345" w:name="_Toc22806188"/>
      <w:r>
        <w:rPr>
          <w:rFonts w:hint="eastAsia" w:ascii="宋体" w:hAnsi="宋体"/>
          <w:kern w:val="0"/>
          <w:sz w:val="36"/>
          <w:szCs w:val="36"/>
        </w:rPr>
        <w:t xml:space="preserve">  </w:t>
      </w:r>
      <w:bookmarkStart w:id="346" w:name="_Toc56180346"/>
      <w:r>
        <w:rPr>
          <w:rFonts w:hint="eastAsia" w:ascii="宋体" w:hAnsi="宋体"/>
          <w:kern w:val="0"/>
          <w:sz w:val="36"/>
          <w:szCs w:val="36"/>
        </w:rPr>
        <w:t>响应文件格式</w:t>
      </w:r>
      <w:bookmarkEnd w:id="345"/>
      <w:bookmarkEnd w:id="346"/>
    </w:p>
    <w:p>
      <w:pPr>
        <w:wordWrap w:val="0"/>
        <w:autoSpaceDE w:val="0"/>
        <w:autoSpaceDN w:val="0"/>
        <w:jc w:val="center"/>
        <w:rPr>
          <w:rFonts w:ascii="宋体" w:hAnsi="宋体"/>
          <w:szCs w:val="24"/>
        </w:rPr>
      </w:pPr>
    </w:p>
    <w:p>
      <w:pPr>
        <w:wordWrap w:val="0"/>
        <w:autoSpaceDE w:val="0"/>
        <w:autoSpaceDN w:val="0"/>
        <w:jc w:val="center"/>
        <w:outlineLvl w:val="1"/>
        <w:rPr>
          <w:rFonts w:ascii="宋体" w:hAnsi="宋体"/>
          <w:b/>
          <w:szCs w:val="24"/>
        </w:rPr>
      </w:pPr>
      <w:bookmarkStart w:id="347" w:name="_Toc56180347"/>
      <w:bookmarkStart w:id="348" w:name="_Toc55398752"/>
      <w:r>
        <w:rPr>
          <w:rFonts w:hint="eastAsia" w:ascii="宋体" w:hAnsi="宋体"/>
          <w:b/>
          <w:szCs w:val="24"/>
        </w:rPr>
        <w:t>总说明</w:t>
      </w:r>
      <w:bookmarkEnd w:id="347"/>
      <w:bookmarkEnd w:id="348"/>
    </w:p>
    <w:p>
      <w:pPr>
        <w:wordWrap w:val="0"/>
        <w:autoSpaceDE w:val="0"/>
        <w:autoSpaceDN w:val="0"/>
        <w:ind w:firstLine="360" w:firstLineChars="150"/>
        <w:rPr>
          <w:rFonts w:ascii="宋体" w:hAnsi="宋体" w:cs="仿宋_GB2312"/>
          <w:lang w:val="zh-CN"/>
        </w:rPr>
      </w:pPr>
      <w:r>
        <w:rPr>
          <w:rFonts w:hint="eastAsia" w:ascii="宋体" w:hAnsi="宋体"/>
          <w:szCs w:val="24"/>
        </w:rPr>
        <w:t>1.</w:t>
      </w:r>
      <w:bookmarkStart w:id="349" w:name="_Toc38947810"/>
      <w:bookmarkStart w:id="350" w:name="_Toc101843134"/>
      <w:bookmarkStart w:id="351" w:name="_Toc98580295"/>
      <w:bookmarkStart w:id="352" w:name="_Toc50276167"/>
      <w:bookmarkStart w:id="353" w:name="_Toc175644396"/>
      <w:bookmarkStart w:id="354" w:name="_Toc42394676"/>
      <w:bookmarkStart w:id="355" w:name="_Toc40762377"/>
      <w:bookmarkStart w:id="356" w:name="_Toc38947809"/>
      <w:bookmarkStart w:id="357" w:name="_Toc41723939"/>
      <w:bookmarkStart w:id="358" w:name="_Toc101775134"/>
      <w:bookmarkStart w:id="359" w:name="_Toc40762378"/>
      <w:bookmarkStart w:id="360" w:name="_Toc98579013"/>
      <w:bookmarkStart w:id="361" w:name="_Toc42394675"/>
      <w:bookmarkStart w:id="362" w:name="_Toc41884709"/>
      <w:bookmarkStart w:id="363" w:name="_Toc41723940"/>
      <w:bookmarkStart w:id="364" w:name="_Toc42394520"/>
      <w:bookmarkStart w:id="365" w:name="_Toc50276168"/>
      <w:bookmarkStart w:id="366" w:name="_Toc98579071"/>
      <w:bookmarkStart w:id="367" w:name="_Toc101771381"/>
      <w:bookmarkStart w:id="368" w:name="_Toc175106977"/>
      <w:bookmarkStart w:id="369" w:name="_Toc42313175"/>
      <w:bookmarkStart w:id="370" w:name="_Toc42313176"/>
      <w:bookmarkStart w:id="371" w:name="_Toc41884710"/>
      <w:bookmarkStart w:id="372" w:name="_Toc101951272"/>
      <w:bookmarkStart w:id="373" w:name="_Toc42394519"/>
      <w:bookmarkStart w:id="374" w:name="_Toc98579612"/>
      <w:r>
        <w:rPr>
          <w:rFonts w:hint="eastAsia" w:ascii="宋体" w:hAnsi="宋体"/>
          <w:szCs w:val="24"/>
        </w:rPr>
        <w:t>响应文件</w:t>
      </w:r>
      <w:r>
        <w:rPr>
          <w:rFonts w:hint="eastAsia" w:ascii="宋体" w:hAnsi="宋体" w:cs="仿宋_GB2312"/>
          <w:lang w:val="zh-CN"/>
        </w:rPr>
        <w:t>包括但不限于响应文件格式所要求的内容，请按顺序制作编排，并请编制目录和页码，否则有可能影响对响应文件的评审。</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pPr>
        <w:wordWrap w:val="0"/>
        <w:autoSpaceDE w:val="0"/>
        <w:autoSpaceDN w:val="0"/>
        <w:ind w:firstLine="360" w:firstLineChars="150"/>
        <w:rPr>
          <w:rFonts w:ascii="宋体" w:hAnsi="宋体" w:cs="仿宋_GB2312"/>
          <w:lang w:val="zh-CN"/>
        </w:rPr>
      </w:pPr>
      <w:r>
        <w:rPr>
          <w:rFonts w:hint="eastAsia" w:ascii="宋体" w:hAnsi="宋体" w:cs="仿宋_GB2312"/>
          <w:lang w:val="zh-CN"/>
        </w:rPr>
        <w:t>2.磋商文件提供的注明“如适用”、“如有”、“选用”的格式，供应商认为不需要提供的，可以按《供应商须知》第10.2条的规定及具体格式中要求注明“不适用”或“无此内容”保留相关格式（并按格式盖章和签署）；也可以不注明任何内容仅保留相关格式（可以不盖章不签署）；也可以删除不需要的格式。不提供的格式可仅在目录中提交情况对应的“无”栏目中注明，不需要删除，后续序号不需修改。</w:t>
      </w:r>
    </w:p>
    <w:p>
      <w:pPr>
        <w:wordWrap w:val="0"/>
        <w:autoSpaceDE w:val="0"/>
        <w:autoSpaceDN w:val="0"/>
        <w:ind w:firstLine="360" w:firstLineChars="150"/>
        <w:rPr>
          <w:rFonts w:ascii="宋体" w:hAnsi="宋体" w:cs="仿宋_GB2312"/>
          <w:lang w:val="zh-CN"/>
        </w:rPr>
      </w:pPr>
      <w:r>
        <w:rPr>
          <w:rFonts w:hint="eastAsia" w:ascii="宋体" w:hAnsi="宋体" w:cs="仿宋_GB2312"/>
          <w:lang w:val="zh-CN"/>
        </w:rPr>
        <w:t>3.非多采购包的项目，格式中的采购包号全部可以删除。</w:t>
      </w:r>
    </w:p>
    <w:p>
      <w:pPr>
        <w:wordWrap w:val="0"/>
        <w:autoSpaceDE w:val="0"/>
        <w:autoSpaceDN w:val="0"/>
        <w:ind w:firstLine="360" w:firstLineChars="150"/>
        <w:rPr>
          <w:rFonts w:ascii="宋体" w:hAnsi="宋体" w:cs="仿宋_GB2312"/>
          <w:lang w:val="zh-CN"/>
        </w:rPr>
      </w:pPr>
      <w:r>
        <w:rPr>
          <w:rFonts w:hint="eastAsia" w:ascii="宋体" w:hAnsi="宋体" w:cs="仿宋_GB2312"/>
          <w:lang w:val="zh-CN"/>
        </w:rPr>
        <w:t>4.相关证明材料在响应文件其他部分内容中已经提供的，可不重复提供，可仅列明所在响应文件中的页码。</w:t>
      </w:r>
    </w:p>
    <w:p>
      <w:pPr>
        <w:wordWrap w:val="0"/>
        <w:autoSpaceDE w:val="0"/>
        <w:autoSpaceDN w:val="0"/>
        <w:ind w:firstLine="360" w:firstLineChars="150"/>
        <w:rPr>
          <w:rFonts w:ascii="宋体" w:hAnsi="宋体" w:cs="仿宋_GB2312"/>
          <w:lang w:val="zh-CN"/>
        </w:rPr>
      </w:pPr>
      <w:r>
        <w:rPr>
          <w:rFonts w:hint="eastAsia" w:ascii="宋体" w:hAnsi="宋体" w:cs="仿宋_GB2312"/>
          <w:lang w:val="zh-CN"/>
        </w:rPr>
        <w:t>5.部分格式注明“如有”或“不适用”或“如要求”或“选用”的，请供应商根据自身情况选用。</w:t>
      </w:r>
    </w:p>
    <w:p>
      <w:pPr>
        <w:wordWrap w:val="0"/>
        <w:autoSpaceDE w:val="0"/>
        <w:autoSpaceDN w:val="0"/>
        <w:ind w:firstLine="360" w:firstLineChars="150"/>
        <w:rPr>
          <w:rFonts w:ascii="宋体" w:hAnsi="宋体" w:cs="仿宋_GB2312"/>
          <w:lang w:val="zh-CN"/>
        </w:rPr>
      </w:pPr>
      <w:r>
        <w:rPr>
          <w:rFonts w:hint="eastAsia" w:ascii="宋体" w:hAnsi="宋体" w:cs="仿宋_GB2312"/>
          <w:lang w:val="zh-CN"/>
        </w:rPr>
        <w:t>6.如供应商为联合体或分支机构或以合同分包形式参加磋商时，须注意按照磋商文件要求提供各方资料及盖章签署。具体详见</w:t>
      </w:r>
      <w:r>
        <w:rPr>
          <w:rFonts w:ascii="宋体" w:hAnsi="宋体" w:cs="仿宋_GB2312"/>
        </w:rPr>
        <w:t xml:space="preserve">《供应商须知》 </w:t>
      </w:r>
      <w:r>
        <w:rPr>
          <w:rFonts w:hint="eastAsia" w:ascii="宋体" w:hAnsi="宋体" w:cs="仿宋_GB2312"/>
          <w:lang w:val="zh-CN"/>
        </w:rPr>
        <w:t>第13.5条、第14.</w:t>
      </w:r>
      <w:r>
        <w:rPr>
          <w:rFonts w:hint="eastAsia" w:ascii="宋体" w:hAnsi="宋体" w:cs="仿宋_GB2312"/>
        </w:rPr>
        <w:t>3</w:t>
      </w:r>
      <w:r>
        <w:rPr>
          <w:rFonts w:hint="eastAsia" w:ascii="宋体" w:hAnsi="宋体" w:cs="仿宋_GB2312"/>
          <w:lang w:val="zh-CN"/>
        </w:rPr>
        <w:t>条、第17.6条及本部分第4.条格式。</w:t>
      </w:r>
    </w:p>
    <w:p>
      <w:pPr>
        <w:wordWrap w:val="0"/>
        <w:autoSpaceDE w:val="0"/>
        <w:autoSpaceDN w:val="0"/>
        <w:ind w:firstLine="360" w:firstLineChars="150"/>
        <w:rPr>
          <w:rFonts w:ascii="宋体" w:hAnsi="宋体" w:cs="仿宋_GB2312"/>
          <w:lang w:val="zh-CN"/>
        </w:rPr>
      </w:pPr>
      <w:r>
        <w:rPr>
          <w:rFonts w:hint="eastAsia" w:ascii="宋体" w:hAnsi="宋体" w:cs="仿宋_GB2312"/>
          <w:lang w:val="zh-CN"/>
        </w:rPr>
        <w:t>7.磋商文件在响应文件格式中提供的备注内容，仅是对格式的补充说明，供应商编制响应文件时可以删除备注说明内容。</w:t>
      </w:r>
    </w:p>
    <w:p>
      <w:pPr>
        <w:wordWrap w:val="0"/>
        <w:autoSpaceDE w:val="0"/>
        <w:autoSpaceDN w:val="0"/>
        <w:ind w:firstLine="360" w:firstLineChars="150"/>
        <w:rPr>
          <w:rFonts w:ascii="宋体" w:hAnsi="宋体" w:cs="仿宋_GB2312"/>
          <w:lang w:val="zh-CN"/>
        </w:rPr>
      </w:pPr>
    </w:p>
    <w:p>
      <w:pPr>
        <w:wordWrap w:val="0"/>
        <w:autoSpaceDE w:val="0"/>
        <w:autoSpaceDN w:val="0"/>
        <w:ind w:firstLine="360" w:firstLineChars="150"/>
        <w:rPr>
          <w:rFonts w:ascii="宋体" w:hAnsi="宋体" w:cs="仿宋_GB2312"/>
          <w:lang w:val="zh-CN"/>
        </w:rPr>
      </w:pPr>
    </w:p>
    <w:p>
      <w:pPr>
        <w:wordWrap w:val="0"/>
        <w:autoSpaceDE w:val="0"/>
        <w:autoSpaceDN w:val="0"/>
        <w:ind w:firstLine="360" w:firstLineChars="150"/>
        <w:rPr>
          <w:rFonts w:ascii="宋体" w:hAnsi="宋体" w:cs="仿宋_GB2312"/>
          <w:lang w:val="zh-CN"/>
        </w:rPr>
      </w:pPr>
    </w:p>
    <w:p>
      <w:pPr>
        <w:wordWrap w:val="0"/>
        <w:autoSpaceDE w:val="0"/>
        <w:autoSpaceDN w:val="0"/>
        <w:ind w:firstLine="360" w:firstLineChars="150"/>
        <w:rPr>
          <w:rFonts w:ascii="宋体" w:hAnsi="宋体" w:cs="仿宋_GB2312"/>
          <w:lang w:val="zh-CN"/>
        </w:rPr>
      </w:pPr>
    </w:p>
    <w:p>
      <w:pPr>
        <w:wordWrap w:val="0"/>
        <w:autoSpaceDE w:val="0"/>
        <w:autoSpaceDN w:val="0"/>
        <w:ind w:firstLine="360" w:firstLineChars="150"/>
        <w:rPr>
          <w:rFonts w:ascii="宋体" w:hAnsi="宋体"/>
          <w:szCs w:val="24"/>
        </w:rPr>
      </w:pPr>
    </w:p>
    <w:p>
      <w:pPr>
        <w:pStyle w:val="4"/>
        <w:numPr>
          <w:ilvl w:val="0"/>
          <w:numId w:val="59"/>
        </w:numPr>
        <w:tabs>
          <w:tab w:val="left" w:pos="0"/>
          <w:tab w:val="left" w:pos="945"/>
        </w:tabs>
        <w:spacing w:before="0" w:after="0" w:line="360" w:lineRule="auto"/>
        <w:ind w:left="0" w:firstLine="0"/>
        <w:rPr>
          <w:rFonts w:ascii="宋体" w:hAnsi="宋体"/>
          <w:sz w:val="28"/>
          <w:szCs w:val="28"/>
        </w:rPr>
      </w:pPr>
      <w:bookmarkStart w:id="375" w:name="_Toc55398753"/>
      <w:bookmarkStart w:id="376" w:name="_Toc22806189"/>
      <w:bookmarkStart w:id="377" w:name="_Toc56180348"/>
      <w:bookmarkStart w:id="378" w:name="_Toc50460241"/>
      <w:r>
        <w:rPr>
          <w:rFonts w:hint="eastAsia" w:ascii="宋体" w:hAnsi="宋体"/>
          <w:sz w:val="28"/>
          <w:szCs w:val="28"/>
        </w:rPr>
        <w:t>封面格式（供参考）</w:t>
      </w:r>
      <w:bookmarkEnd w:id="375"/>
      <w:bookmarkEnd w:id="376"/>
      <w:bookmarkEnd w:id="377"/>
      <w:bookmarkEnd w:id="378"/>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jc w:val="center"/>
        <w:rPr>
          <w:rFonts w:ascii="宋体" w:hAnsi="宋体"/>
          <w:b/>
          <w:sz w:val="44"/>
          <w:szCs w:val="4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jc w:val="center"/>
        <w:rPr>
          <w:rFonts w:ascii="宋体" w:hAnsi="宋体"/>
          <w:b/>
          <w:sz w:val="84"/>
          <w:szCs w:val="84"/>
        </w:rPr>
      </w:pPr>
      <w:r>
        <w:rPr>
          <w:rFonts w:hint="eastAsia" w:ascii="宋体" w:hAnsi="宋体"/>
          <w:b/>
          <w:sz w:val="84"/>
          <w:szCs w:val="84"/>
        </w:rPr>
        <w:t>响应文件</w:t>
      </w:r>
    </w:p>
    <w:p>
      <w:pPr>
        <w:wordWrap w:val="0"/>
        <w:autoSpaceDE w:val="0"/>
        <w:autoSpaceDN w:val="0"/>
        <w:jc w:val="center"/>
        <w:rPr>
          <w:rFonts w:ascii="宋体" w:hAnsi="宋体"/>
          <w:b/>
          <w:sz w:val="32"/>
          <w:szCs w:val="32"/>
        </w:rPr>
      </w:pPr>
      <w:r>
        <w:rPr>
          <w:rFonts w:hint="eastAsia" w:ascii="宋体" w:hAnsi="宋体"/>
          <w:b/>
          <w:sz w:val="32"/>
          <w:szCs w:val="32"/>
        </w:rPr>
        <w:t>（正本/副本）</w:t>
      </w: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jc w:val="center"/>
        <w:rPr>
          <w:rFonts w:ascii="宋体" w:hAnsi="宋体"/>
          <w:b/>
          <w:sz w:val="28"/>
          <w:szCs w:val="28"/>
        </w:rPr>
      </w:pPr>
      <w:r>
        <w:rPr>
          <w:rFonts w:hint="eastAsia" w:ascii="宋体" w:hAnsi="宋体"/>
          <w:b/>
          <w:sz w:val="28"/>
          <w:szCs w:val="28"/>
        </w:rPr>
        <w:t>采购项目名称：</w:t>
      </w:r>
      <w:r>
        <w:rPr>
          <w:rFonts w:hint="eastAsia" w:ascii="宋体" w:hAnsi="宋体"/>
          <w:b/>
          <w:sz w:val="28"/>
          <w:szCs w:val="28"/>
          <w:u w:val="thick"/>
        </w:rPr>
        <w:t>2026-2027年广州白云机场海关南1、2号楼物业管理服务</w:t>
      </w:r>
    </w:p>
    <w:p>
      <w:pPr>
        <w:wordWrap w:val="0"/>
        <w:autoSpaceDE w:val="0"/>
        <w:autoSpaceDN w:val="0"/>
        <w:jc w:val="center"/>
        <w:rPr>
          <w:rFonts w:ascii="宋体" w:hAnsi="宋体"/>
          <w:b/>
          <w:sz w:val="28"/>
          <w:szCs w:val="28"/>
        </w:rPr>
      </w:pPr>
      <w:r>
        <w:rPr>
          <w:rFonts w:hint="eastAsia" w:ascii="宋体" w:hAnsi="宋体"/>
          <w:b/>
          <w:sz w:val="28"/>
          <w:szCs w:val="28"/>
        </w:rPr>
        <w:t>采购文件编号：</w:t>
      </w:r>
      <w:r>
        <w:rPr>
          <w:rFonts w:hint="eastAsia" w:ascii="宋体" w:hAnsi="宋体"/>
          <w:b/>
          <w:sz w:val="28"/>
          <w:szCs w:val="28"/>
          <w:u w:val="thick"/>
        </w:rPr>
        <w:t>0809-25401GJC302013801</w:t>
      </w:r>
    </w:p>
    <w:p>
      <w:pPr>
        <w:wordWrap w:val="0"/>
        <w:autoSpaceDE w:val="0"/>
        <w:autoSpaceDN w:val="0"/>
        <w:jc w:val="center"/>
        <w:rPr>
          <w:rFonts w:ascii="宋体" w:hAnsi="宋体"/>
          <w:b/>
          <w:sz w:val="28"/>
          <w:szCs w:val="28"/>
        </w:rPr>
      </w:pPr>
      <w:r>
        <w:rPr>
          <w:rFonts w:hint="eastAsia" w:ascii="宋体" w:hAnsi="宋体"/>
          <w:b/>
          <w:sz w:val="28"/>
          <w:szCs w:val="28"/>
        </w:rPr>
        <w:t>采购包号、采购包名称（内容）：（如适用）</w:t>
      </w: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jc w:val="center"/>
        <w:rPr>
          <w:rFonts w:ascii="宋体" w:hAnsi="宋体"/>
          <w:b/>
          <w:sz w:val="28"/>
          <w:szCs w:val="28"/>
        </w:rPr>
      </w:pPr>
      <w:r>
        <w:rPr>
          <w:rFonts w:hint="eastAsia" w:ascii="宋体" w:hAnsi="宋体"/>
          <w:b/>
          <w:sz w:val="28"/>
          <w:szCs w:val="28"/>
        </w:rPr>
        <w:t>供应商名称（加盖公章）：</w:t>
      </w:r>
      <w:r>
        <w:rPr>
          <w:rFonts w:hint="eastAsia" w:ascii="宋体" w:hAnsi="宋体"/>
          <w:b/>
          <w:sz w:val="28"/>
          <w:szCs w:val="28"/>
          <w:u w:val="thick"/>
        </w:rPr>
        <w:t xml:space="preserve">                     </w:t>
      </w:r>
      <w:r>
        <w:rPr>
          <w:rFonts w:hint="eastAsia" w:ascii="宋体" w:hAnsi="宋体"/>
          <w:b/>
          <w:sz w:val="28"/>
          <w:szCs w:val="28"/>
        </w:rPr>
        <w:t>.</w:t>
      </w:r>
    </w:p>
    <w:p>
      <w:pPr>
        <w:wordWrap w:val="0"/>
        <w:autoSpaceDE w:val="0"/>
        <w:autoSpaceDN w:val="0"/>
        <w:jc w:val="center"/>
        <w:rPr>
          <w:rFonts w:ascii="宋体" w:hAnsi="宋体"/>
          <w:b/>
          <w:sz w:val="28"/>
          <w:szCs w:val="28"/>
          <w:u w:val="single"/>
        </w:rPr>
      </w:pPr>
      <w:r>
        <w:rPr>
          <w:rFonts w:hint="eastAsia" w:ascii="宋体" w:hAnsi="宋体"/>
          <w:b/>
          <w:sz w:val="28"/>
          <w:szCs w:val="28"/>
        </w:rPr>
        <w:t>授权代表（签字或盖章）：</w:t>
      </w:r>
      <w:r>
        <w:rPr>
          <w:rFonts w:hint="eastAsia" w:ascii="宋体" w:hAnsi="宋体"/>
          <w:b/>
          <w:sz w:val="28"/>
          <w:szCs w:val="28"/>
          <w:u w:val="thick"/>
        </w:rPr>
        <w:t xml:space="preserve">                     </w:t>
      </w:r>
      <w:r>
        <w:rPr>
          <w:rFonts w:hint="eastAsia" w:ascii="宋体" w:hAnsi="宋体"/>
          <w:b/>
          <w:sz w:val="28"/>
          <w:szCs w:val="28"/>
        </w:rPr>
        <w:t>.</w:t>
      </w:r>
    </w:p>
    <w:p>
      <w:pPr>
        <w:wordWrap w:val="0"/>
        <w:autoSpaceDE w:val="0"/>
        <w:autoSpaceDN w:val="0"/>
        <w:jc w:val="center"/>
        <w:rPr>
          <w:rFonts w:ascii="宋体" w:hAnsi="宋体"/>
          <w:b/>
          <w:sz w:val="28"/>
          <w:szCs w:val="28"/>
        </w:rPr>
      </w:pPr>
      <w:r>
        <w:rPr>
          <w:rFonts w:hint="eastAsia" w:ascii="宋体" w:hAnsi="宋体"/>
          <w:b/>
          <w:sz w:val="28"/>
          <w:szCs w:val="28"/>
        </w:rPr>
        <w:t>日期：</w:t>
      </w:r>
      <w:r>
        <w:rPr>
          <w:rFonts w:hint="eastAsia" w:ascii="宋体" w:hAnsi="宋体"/>
          <w:b/>
          <w:sz w:val="28"/>
          <w:szCs w:val="28"/>
          <w:u w:val="thick"/>
        </w:rPr>
        <w:t xml:space="preserve">                </w:t>
      </w:r>
      <w:r>
        <w:rPr>
          <w:rFonts w:hint="eastAsia" w:ascii="宋体" w:hAnsi="宋体"/>
          <w:b/>
          <w:sz w:val="28"/>
          <w:szCs w:val="28"/>
        </w:rPr>
        <w:t>年</w:t>
      </w:r>
      <w:r>
        <w:rPr>
          <w:rFonts w:hint="eastAsia" w:ascii="宋体" w:hAnsi="宋体"/>
          <w:b/>
          <w:sz w:val="28"/>
          <w:szCs w:val="28"/>
          <w:u w:val="thick"/>
        </w:rPr>
        <w:t xml:space="preserve">        </w:t>
      </w:r>
      <w:r>
        <w:rPr>
          <w:rFonts w:hint="eastAsia" w:ascii="宋体" w:hAnsi="宋体"/>
          <w:b/>
          <w:sz w:val="28"/>
          <w:szCs w:val="28"/>
        </w:rPr>
        <w:t>月</w:t>
      </w:r>
      <w:r>
        <w:rPr>
          <w:rFonts w:hint="eastAsia" w:ascii="宋体" w:hAnsi="宋体"/>
          <w:b/>
          <w:sz w:val="28"/>
          <w:szCs w:val="28"/>
          <w:u w:val="thick"/>
        </w:rPr>
        <w:t xml:space="preserve">        </w:t>
      </w:r>
      <w:r>
        <w:rPr>
          <w:rFonts w:hint="eastAsia" w:ascii="宋体" w:hAnsi="宋体"/>
          <w:b/>
          <w:sz w:val="28"/>
          <w:szCs w:val="28"/>
        </w:rPr>
        <w:t>日</w:t>
      </w:r>
    </w:p>
    <w:p>
      <w:pPr>
        <w:wordWrap w:val="0"/>
        <w:autoSpaceDE w:val="0"/>
        <w:autoSpaceDN w:val="0"/>
        <w:rPr>
          <w:rFonts w:ascii="宋体" w:hAnsi="宋体"/>
          <w:szCs w:val="24"/>
        </w:rPr>
      </w:pPr>
    </w:p>
    <w:p>
      <w:pPr>
        <w:pStyle w:val="4"/>
        <w:numPr>
          <w:ilvl w:val="0"/>
          <w:numId w:val="59"/>
        </w:numPr>
        <w:tabs>
          <w:tab w:val="left" w:pos="945"/>
        </w:tabs>
        <w:spacing w:before="0" w:after="0" w:line="360" w:lineRule="auto"/>
        <w:ind w:left="980" w:hanging="980" w:hangingChars="350"/>
        <w:rPr>
          <w:rFonts w:ascii="宋体" w:hAnsi="宋体"/>
          <w:sz w:val="28"/>
          <w:szCs w:val="28"/>
        </w:rPr>
      </w:pPr>
      <w:bookmarkStart w:id="379" w:name="_Toc55398754"/>
      <w:bookmarkStart w:id="380" w:name="_Toc56180349"/>
      <w:bookmarkStart w:id="381" w:name="_Toc22806190"/>
      <w:bookmarkStart w:id="382" w:name="_Toc50460242"/>
      <w:r>
        <w:rPr>
          <w:rFonts w:hint="eastAsia" w:ascii="宋体" w:hAnsi="宋体"/>
          <w:sz w:val="28"/>
          <w:szCs w:val="28"/>
        </w:rPr>
        <w:t>目录</w:t>
      </w:r>
      <w:bookmarkEnd w:id="379"/>
      <w:bookmarkEnd w:id="380"/>
      <w:bookmarkEnd w:id="381"/>
      <w:bookmarkEnd w:id="382"/>
    </w:p>
    <w:p>
      <w:pPr>
        <w:wordWrap w:val="0"/>
        <w:autoSpaceDE w:val="0"/>
        <w:autoSpaceDN w:val="0"/>
        <w:ind w:firstLine="1280" w:firstLineChars="400"/>
        <w:jc w:val="center"/>
        <w:rPr>
          <w:rFonts w:ascii="宋体" w:hAnsi="宋体"/>
          <w:b/>
          <w:sz w:val="32"/>
          <w:szCs w:val="32"/>
        </w:rPr>
      </w:pPr>
      <w:r>
        <w:rPr>
          <w:rFonts w:hint="eastAsia" w:ascii="宋体" w:hAnsi="宋体"/>
          <w:b/>
          <w:sz w:val="32"/>
          <w:szCs w:val="32"/>
        </w:rPr>
        <w:t>目录</w:t>
      </w:r>
    </w:p>
    <w:tbl>
      <w:tblPr>
        <w:tblStyle w:val="30"/>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5982"/>
        <w:gridCol w:w="680"/>
        <w:gridCol w:w="567"/>
        <w:gridCol w:w="1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993" w:type="dxa"/>
            <w:vMerge w:val="restart"/>
            <w:vAlign w:val="center"/>
          </w:tcPr>
          <w:p>
            <w:pPr>
              <w:wordWrap w:val="0"/>
              <w:autoSpaceDE w:val="0"/>
              <w:autoSpaceDN w:val="0"/>
              <w:jc w:val="center"/>
              <w:rPr>
                <w:rFonts w:ascii="宋体" w:hAnsi="宋体"/>
                <w:b/>
                <w:szCs w:val="24"/>
              </w:rPr>
            </w:pPr>
            <w:r>
              <w:rPr>
                <w:rFonts w:hint="eastAsia" w:ascii="宋体" w:hAnsi="宋体"/>
                <w:b/>
                <w:szCs w:val="24"/>
              </w:rPr>
              <w:t>序号</w:t>
            </w:r>
          </w:p>
        </w:tc>
        <w:tc>
          <w:tcPr>
            <w:tcW w:w="5982" w:type="dxa"/>
            <w:vMerge w:val="restart"/>
            <w:vAlign w:val="center"/>
          </w:tcPr>
          <w:p>
            <w:pPr>
              <w:wordWrap w:val="0"/>
              <w:autoSpaceDE w:val="0"/>
              <w:autoSpaceDN w:val="0"/>
              <w:jc w:val="center"/>
              <w:rPr>
                <w:rFonts w:ascii="宋体" w:hAnsi="宋体"/>
                <w:b/>
                <w:szCs w:val="24"/>
              </w:rPr>
            </w:pPr>
            <w:r>
              <w:rPr>
                <w:rFonts w:hint="eastAsia" w:ascii="宋体" w:hAnsi="宋体"/>
                <w:b/>
                <w:szCs w:val="24"/>
              </w:rPr>
              <w:t>文件内容</w:t>
            </w:r>
          </w:p>
        </w:tc>
        <w:tc>
          <w:tcPr>
            <w:tcW w:w="1247" w:type="dxa"/>
            <w:gridSpan w:val="2"/>
            <w:vAlign w:val="center"/>
          </w:tcPr>
          <w:p>
            <w:pPr>
              <w:wordWrap w:val="0"/>
              <w:autoSpaceDE w:val="0"/>
              <w:autoSpaceDN w:val="0"/>
              <w:jc w:val="center"/>
              <w:rPr>
                <w:rFonts w:ascii="宋体" w:hAnsi="宋体"/>
                <w:b/>
                <w:szCs w:val="24"/>
              </w:rPr>
            </w:pPr>
            <w:r>
              <w:rPr>
                <w:rFonts w:hint="eastAsia" w:ascii="宋体" w:hAnsi="宋体"/>
                <w:b/>
                <w:szCs w:val="24"/>
              </w:rPr>
              <w:t>提交情况</w:t>
            </w:r>
          </w:p>
        </w:tc>
        <w:tc>
          <w:tcPr>
            <w:tcW w:w="1354" w:type="dxa"/>
            <w:vMerge w:val="restart"/>
            <w:vAlign w:val="center"/>
          </w:tcPr>
          <w:p>
            <w:pPr>
              <w:wordWrap w:val="0"/>
              <w:autoSpaceDE w:val="0"/>
              <w:autoSpaceDN w:val="0"/>
              <w:jc w:val="center"/>
              <w:rPr>
                <w:rFonts w:ascii="宋体" w:hAnsi="宋体"/>
                <w:b/>
                <w:szCs w:val="24"/>
              </w:rPr>
            </w:pPr>
            <w:r>
              <w:rPr>
                <w:rFonts w:hint="eastAsia" w:ascii="宋体" w:hAnsi="宋体"/>
                <w:b/>
                <w:szCs w:val="24"/>
              </w:rPr>
              <w:t>内容所在</w:t>
            </w:r>
          </w:p>
          <w:p>
            <w:pPr>
              <w:wordWrap w:val="0"/>
              <w:autoSpaceDE w:val="0"/>
              <w:autoSpaceDN w:val="0"/>
              <w:jc w:val="center"/>
              <w:rPr>
                <w:rFonts w:ascii="宋体" w:hAnsi="宋体"/>
                <w:b/>
                <w:szCs w:val="24"/>
              </w:rPr>
            </w:pPr>
            <w:r>
              <w:rPr>
                <w:rFonts w:hint="eastAsia" w:ascii="宋体" w:hAnsi="宋体"/>
                <w:b/>
                <w:szCs w:val="24"/>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993" w:type="dxa"/>
            <w:vMerge w:val="continue"/>
            <w:vAlign w:val="center"/>
          </w:tcPr>
          <w:p/>
        </w:tc>
        <w:tc>
          <w:tcPr>
            <w:tcW w:w="5982" w:type="dxa"/>
            <w:vMerge w:val="continue"/>
            <w:tcBorders>
              <w:top w:val="single" w:color="auto" w:sz="4" w:space="0"/>
              <w:left w:val="single" w:color="auto" w:sz="4" w:space="0"/>
              <w:right w:val="single" w:color="auto" w:sz="4" w:space="0"/>
            </w:tcBorders>
            <w:vAlign w:val="center"/>
          </w:tcPr>
          <w:p/>
        </w:tc>
        <w:tc>
          <w:tcPr>
            <w:tcW w:w="68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b/>
                <w:szCs w:val="24"/>
              </w:rPr>
            </w:pPr>
            <w:r>
              <w:rPr>
                <w:rFonts w:hint="eastAsia" w:ascii="宋体" w:hAnsi="宋体"/>
                <w:b/>
                <w:szCs w:val="24"/>
              </w:rPr>
              <w:t>有</w:t>
            </w:r>
          </w:p>
        </w:tc>
        <w:tc>
          <w:tcPr>
            <w:tcW w:w="56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b/>
                <w:szCs w:val="24"/>
              </w:rPr>
            </w:pPr>
            <w:r>
              <w:rPr>
                <w:rFonts w:hint="eastAsia" w:ascii="宋体" w:hAnsi="宋体"/>
                <w:b/>
                <w:szCs w:val="24"/>
              </w:rPr>
              <w:t>无</w:t>
            </w:r>
          </w:p>
        </w:tc>
        <w:tc>
          <w:tcPr>
            <w:tcW w:w="1354"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b/>
                <w:szCs w:val="24"/>
              </w:rPr>
            </w:pPr>
            <w:r>
              <w:rPr>
                <w:rFonts w:hint="eastAsia" w:ascii="宋体" w:hAnsi="宋体"/>
                <w:b/>
                <w:szCs w:val="24"/>
              </w:rPr>
              <w:t>一、</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b/>
                <w:szCs w:val="24"/>
              </w:rPr>
            </w:pPr>
            <w:r>
              <w:rPr>
                <w:rFonts w:ascii="宋体" w:hAnsi="宋体"/>
                <w:b/>
                <w:caps w:val="0"/>
                <w:smallCaps/>
                <w:szCs w:val="24"/>
              </w:rPr>
              <w:fldChar w:fldCharType="begin"/>
            </w:r>
            <w:r>
              <w:instrText xml:space="preserve">HYPERLINK  \l "_Toc22806189"</w:instrText>
            </w:r>
            <w:r>
              <w:rPr>
                <w:rFonts w:ascii="宋体" w:hAnsi="宋体"/>
                <w:b/>
                <w:caps w:val="0"/>
                <w:smallCaps/>
                <w:szCs w:val="24"/>
              </w:rPr>
              <w:fldChar w:fldCharType="separate"/>
            </w:r>
            <w:r>
              <w:rPr>
                <w:rFonts w:ascii="宋体" w:hAnsi="宋体"/>
                <w:b/>
                <w:caps w:val="0"/>
                <w:smallCaps/>
                <w:szCs w:val="24"/>
              </w:rPr>
              <w:tab/>
            </w:r>
            <w:r>
              <w:rPr>
                <w:rStyle w:val="34"/>
                <w:rFonts w:hint="eastAsia" w:ascii="宋体" w:hAnsi="宋体"/>
                <w:b/>
                <w:color w:val="auto"/>
                <w:szCs w:val="24"/>
                <w:u w:val="none"/>
              </w:rPr>
              <w:t>封面（供参考）</w:t>
            </w:r>
            <w:r>
              <w:rPr>
                <w:rFonts w:ascii="宋体" w:hAnsi="宋体"/>
                <w:b/>
                <w:caps w:val="0"/>
                <w:smallCaps/>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93" w:type="dxa"/>
            <w:vAlign w:val="center"/>
          </w:tcPr>
          <w:p>
            <w:pPr>
              <w:wordWrap w:val="0"/>
              <w:autoSpaceDE w:val="0"/>
              <w:autoSpaceDN w:val="0"/>
              <w:rPr>
                <w:rFonts w:ascii="宋体" w:hAnsi="宋体"/>
                <w:b/>
                <w:szCs w:val="24"/>
              </w:rPr>
            </w:pPr>
            <w:r>
              <w:rPr>
                <w:rFonts w:hint="eastAsia" w:ascii="宋体" w:hAnsi="宋体"/>
                <w:b/>
                <w:szCs w:val="24"/>
              </w:rPr>
              <w:t>二、</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b/>
                <w:szCs w:val="24"/>
              </w:rPr>
            </w:pPr>
            <w:r>
              <w:rPr>
                <w:rStyle w:val="34"/>
                <w:rFonts w:hint="eastAsia" w:ascii="宋体" w:hAnsi="宋体"/>
                <w:b/>
                <w:color w:val="auto"/>
                <w:szCs w:val="24"/>
                <w:u w:val="none"/>
              </w:rPr>
              <w:fldChar w:fldCharType="begin"/>
            </w:r>
            <w:r>
              <w:instrText xml:space="preserve">HYPERLINK  \l "_Toc22806190"</w:instrText>
            </w:r>
            <w:r>
              <w:rPr>
                <w:rStyle w:val="34"/>
                <w:rFonts w:hint="eastAsia" w:ascii="宋体" w:hAnsi="宋体"/>
                <w:b/>
                <w:color w:val="auto"/>
                <w:szCs w:val="24"/>
                <w:u w:val="none"/>
              </w:rPr>
              <w:fldChar w:fldCharType="separate"/>
            </w:r>
            <w:r>
              <w:rPr>
                <w:rStyle w:val="34"/>
                <w:rFonts w:hint="eastAsia" w:ascii="宋体" w:hAnsi="宋体"/>
                <w:b/>
                <w:color w:val="auto"/>
                <w:szCs w:val="24"/>
                <w:u w:val="none"/>
              </w:rPr>
              <w:t>目录</w:t>
            </w:r>
            <w:r>
              <w:rPr>
                <w:rStyle w:val="34"/>
                <w:rFonts w:hint="eastAsia" w:ascii="宋体" w:hAnsi="宋体"/>
                <w:b/>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b/>
                <w:szCs w:val="24"/>
              </w:rPr>
            </w:pPr>
            <w:r>
              <w:rPr>
                <w:rFonts w:hint="eastAsia" w:ascii="宋体" w:hAnsi="宋体"/>
                <w:b/>
                <w:szCs w:val="24"/>
              </w:rPr>
              <w:t>三、</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b/>
                <w:szCs w:val="24"/>
              </w:rPr>
            </w:pPr>
            <w:r>
              <w:rPr>
                <w:rFonts w:ascii="宋体" w:hAnsi="宋体"/>
                <w:b/>
                <w:caps w:val="0"/>
                <w:smallCaps/>
                <w:szCs w:val="24"/>
              </w:rPr>
              <w:fldChar w:fldCharType="begin"/>
            </w:r>
            <w:r>
              <w:instrText xml:space="preserve">HYPERLINK  \l "_Toc22806191"</w:instrText>
            </w:r>
            <w:r>
              <w:rPr>
                <w:rFonts w:ascii="宋体" w:hAnsi="宋体"/>
                <w:b/>
                <w:caps w:val="0"/>
                <w:smallCaps/>
                <w:szCs w:val="24"/>
              </w:rPr>
              <w:fldChar w:fldCharType="separate"/>
            </w:r>
            <w:r>
              <w:rPr>
                <w:rFonts w:ascii="宋体" w:hAnsi="宋体"/>
                <w:b/>
                <w:caps w:val="0"/>
                <w:smallCaps/>
                <w:szCs w:val="24"/>
              </w:rPr>
              <w:tab/>
            </w:r>
            <w:r>
              <w:rPr>
                <w:rStyle w:val="34"/>
                <w:rFonts w:hint="eastAsia" w:ascii="宋体" w:hAnsi="宋体"/>
                <w:b/>
                <w:color w:val="auto"/>
                <w:szCs w:val="24"/>
                <w:u w:val="none"/>
              </w:rPr>
              <w:t>自查、</w:t>
            </w:r>
            <w:r>
              <w:rPr>
                <w:rFonts w:hint="eastAsia" w:ascii="宋体" w:hAnsi="宋体"/>
                <w:b/>
                <w:caps w:val="0"/>
                <w:smallCaps/>
                <w:szCs w:val="24"/>
              </w:rPr>
              <w:t>索引</w:t>
            </w:r>
            <w:r>
              <w:rPr>
                <w:rStyle w:val="34"/>
                <w:rFonts w:hint="eastAsia" w:ascii="宋体" w:hAnsi="宋体"/>
                <w:b/>
                <w:color w:val="auto"/>
                <w:szCs w:val="24"/>
                <w:u w:val="none"/>
              </w:rPr>
              <w:t>表</w:t>
            </w:r>
            <w:r>
              <w:rPr>
                <w:rFonts w:ascii="宋体" w:hAnsi="宋体"/>
                <w:b/>
                <w:caps w:val="0"/>
                <w:smallCaps/>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自查表</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1.1</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fldChar w:fldCharType="begin"/>
            </w:r>
            <w:r>
              <w:instrText xml:space="preserve">HYPERLINK  \l "_Toc22806192"</w:instrText>
            </w:r>
            <w:r>
              <w:rPr>
                <w:rFonts w:hint="eastAsia" w:ascii="宋体" w:hAnsi="宋体"/>
                <w:szCs w:val="24"/>
              </w:rPr>
              <w:fldChar w:fldCharType="separate"/>
            </w:r>
            <w:r>
              <w:rPr>
                <w:rFonts w:hint="eastAsia" w:ascii="宋体" w:hAnsi="宋体"/>
                <w:szCs w:val="24"/>
              </w:rPr>
              <w:t>资格</w:t>
            </w:r>
            <w:r>
              <w:rPr>
                <w:rFonts w:ascii="宋体" w:hAnsi="宋体"/>
                <w:i/>
                <w:iCs/>
                <w:szCs w:val="24"/>
              </w:rPr>
              <w:tab/>
            </w:r>
            <w:r>
              <w:rPr>
                <w:rStyle w:val="34"/>
                <w:rFonts w:hint="eastAsia" w:ascii="宋体" w:hAnsi="宋体"/>
                <w:color w:val="auto"/>
                <w:szCs w:val="24"/>
                <w:u w:val="none"/>
              </w:rPr>
              <w:t>自查表</w:t>
            </w:r>
            <w:r>
              <w:rPr>
                <w:rFonts w:hint="eastAsia" w:ascii="宋体" w:hAnsi="宋体"/>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1.2</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"_Toc22806193"</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符合性自查表</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1.3</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"_Toc22806194"</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实质性条款响应自查表</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2.</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b/>
                <w:szCs w:val="24"/>
              </w:rPr>
              <w:t>评审要素资料索引表</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2.1</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"_Toc22806196"</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技术/服务评审资料索引表</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2.2</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"_Toc22806197"</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商务评审资料索引表</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b/>
                <w:szCs w:val="24"/>
              </w:rPr>
            </w:pPr>
            <w:r>
              <w:rPr>
                <w:rFonts w:hint="eastAsia" w:ascii="宋体" w:hAnsi="宋体"/>
                <w:b/>
                <w:szCs w:val="24"/>
              </w:rPr>
              <w:t>四、</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b/>
                <w:szCs w:val="24"/>
              </w:rPr>
            </w:pPr>
            <w:r>
              <w:rPr>
                <w:rFonts w:ascii="宋体" w:hAnsi="宋体"/>
                <w:b/>
                <w:caps w:val="0"/>
                <w:smallCaps/>
                <w:szCs w:val="24"/>
              </w:rPr>
              <w:fldChar w:fldCharType="begin"/>
            </w:r>
            <w:r>
              <w:instrText xml:space="preserve">HYPERLINK  \l "_Toc22806198"</w:instrText>
            </w:r>
            <w:r>
              <w:rPr>
                <w:rFonts w:ascii="宋体" w:hAnsi="宋体"/>
                <w:b/>
                <w:caps w:val="0"/>
                <w:smallCaps/>
                <w:szCs w:val="24"/>
              </w:rPr>
              <w:fldChar w:fldCharType="separate"/>
            </w:r>
            <w:r>
              <w:rPr>
                <w:rFonts w:ascii="宋体" w:hAnsi="宋体"/>
                <w:b/>
                <w:caps w:val="0"/>
                <w:smallCaps/>
                <w:szCs w:val="24"/>
              </w:rPr>
              <w:tab/>
            </w:r>
            <w:r>
              <w:rPr>
                <w:rStyle w:val="34"/>
                <w:rFonts w:hint="eastAsia" w:ascii="宋体" w:hAnsi="宋体"/>
                <w:b/>
                <w:color w:val="auto"/>
                <w:szCs w:val="24"/>
                <w:u w:val="none"/>
              </w:rPr>
              <w:t>资格、资信证明文件</w:t>
            </w:r>
            <w:r>
              <w:rPr>
                <w:rFonts w:ascii="宋体" w:hAnsi="宋体"/>
                <w:b/>
                <w:caps w:val="0"/>
                <w:smallCaps/>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3.</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报价函和供应商资格声明函</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3.1</w:t>
            </w:r>
          </w:p>
        </w:tc>
        <w:tc>
          <w:tcPr>
            <w:tcW w:w="5982" w:type="dxa"/>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szCs w:val="24"/>
              </w:rPr>
            </w:pPr>
            <w:r>
              <w:rPr>
                <w:rFonts w:ascii="宋体" w:hAnsi="宋体"/>
                <w:i/>
                <w:iCs/>
                <w:szCs w:val="24"/>
              </w:rPr>
              <w:fldChar w:fldCharType="begin"/>
            </w:r>
            <w:r>
              <w:instrText xml:space="preserve">HYPERLINK  \l "_Toc22806199"</w:instrText>
            </w:r>
            <w:r>
              <w:rPr>
                <w:rFonts w:ascii="宋体" w:hAnsi="宋体"/>
                <w:i/>
                <w:iCs/>
                <w:szCs w:val="24"/>
              </w:rPr>
              <w:fldChar w:fldCharType="separate"/>
            </w:r>
            <w:r>
              <w:rPr>
                <w:rFonts w:ascii="宋体" w:hAnsi="宋体"/>
                <w:i/>
                <w:iCs/>
                <w:szCs w:val="24"/>
              </w:rPr>
              <w:tab/>
            </w:r>
            <w:r>
              <w:rPr>
                <w:rStyle w:val="34"/>
                <w:rFonts w:hint="eastAsia" w:ascii="宋体" w:hAnsi="宋体"/>
                <w:color w:val="auto"/>
                <w:szCs w:val="24"/>
                <w:u w:val="none"/>
              </w:rPr>
              <w:t>报价函</w:t>
            </w:r>
            <w:r>
              <w:rPr>
                <w:rFonts w:ascii="宋体" w:hAnsi="宋体"/>
                <w:i/>
                <w:iCs/>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3.2</w:t>
            </w:r>
          </w:p>
        </w:tc>
        <w:tc>
          <w:tcPr>
            <w:tcW w:w="5982" w:type="dxa"/>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szCs w:val="24"/>
              </w:rPr>
            </w:pPr>
            <w:r>
              <w:rPr>
                <w:rFonts w:hint="eastAsia" w:ascii="宋体" w:hAnsi="宋体"/>
                <w:szCs w:val="24"/>
              </w:rPr>
              <w:t>供应商资格声明函</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left"/>
              <w:rPr>
                <w:rFonts w:ascii="宋体" w:hAnsi="宋体"/>
                <w:szCs w:val="24"/>
              </w:rPr>
            </w:pPr>
            <w:r>
              <w:rPr>
                <w:rFonts w:hint="eastAsia" w:ascii="宋体" w:hAnsi="宋体"/>
                <w:szCs w:val="24"/>
              </w:rPr>
              <w:t>4.</w:t>
            </w:r>
          </w:p>
        </w:tc>
        <w:tc>
          <w:tcPr>
            <w:tcW w:w="5982" w:type="dxa"/>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szCs w:val="24"/>
              </w:rPr>
            </w:pPr>
            <w:r>
              <w:rPr>
                <w:rStyle w:val="34"/>
                <w:rFonts w:hint="eastAsia" w:ascii="宋体" w:hAnsi="宋体"/>
                <w:color w:val="auto"/>
                <w:szCs w:val="24"/>
                <w:u w:val="none"/>
              </w:rPr>
              <w:fldChar w:fldCharType="begin"/>
            </w:r>
            <w:r>
              <w:instrText xml:space="preserve">HYPERLINK  \l "_Toc22806200"</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资格、资信证明文件</w:t>
            </w:r>
            <w:r>
              <w:rPr>
                <w:rStyle w:val="34"/>
                <w:rFonts w:hint="eastAsia" w:ascii="宋体" w:hAnsi="宋体"/>
                <w:color w:val="auto"/>
                <w:szCs w:val="24"/>
                <w:u w:val="none"/>
              </w:rPr>
              <w:fldChar w:fldCharType="end"/>
            </w:r>
            <w:r>
              <w:rPr>
                <w:rFonts w:hint="eastAsia" w:ascii="宋体" w:hAnsi="宋体"/>
                <w:szCs w:val="24"/>
              </w:rPr>
              <w:t>（</w:t>
            </w:r>
            <w:r>
              <w:rPr>
                <w:rFonts w:hint="eastAsia" w:ascii="宋体" w:hAnsi="宋体" w:cs="宋体"/>
                <w:szCs w:val="24"/>
              </w:rPr>
              <w:t>详见本文件《磋商邀请》的供应商资格要求</w:t>
            </w:r>
            <w:r>
              <w:rPr>
                <w:rFonts w:hint="eastAsia" w:ascii="宋体" w:hAnsi="宋体"/>
                <w:szCs w:val="24"/>
              </w:rPr>
              <w:t>）</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993" w:type="dxa"/>
            <w:vAlign w:val="center"/>
          </w:tcPr>
          <w:p>
            <w:pPr>
              <w:wordWrap w:val="0"/>
              <w:autoSpaceDE w:val="0"/>
              <w:autoSpaceDN w:val="0"/>
              <w:jc w:val="center"/>
              <w:rPr>
                <w:rFonts w:ascii="宋体" w:hAnsi="宋体"/>
                <w:szCs w:val="24"/>
              </w:rPr>
            </w:pPr>
            <w:r>
              <w:rPr>
                <w:rFonts w:hint="eastAsia" w:ascii="宋体" w:hAnsi="宋体"/>
                <w:szCs w:val="24"/>
              </w:rPr>
              <w:t>4.1.</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ascii="宋体" w:hAnsi="宋体"/>
                <w:szCs w:val="24"/>
              </w:rPr>
              <w:fldChar w:fldCharType="begin"/>
            </w:r>
            <w:r>
              <w:instrText xml:space="preserve">HYPERLINK  \l "_Toc22806201"</w:instrText>
            </w:r>
            <w:r>
              <w:rPr>
                <w:rFonts w:ascii="宋体" w:hAnsi="宋体"/>
                <w:szCs w:val="24"/>
              </w:rPr>
              <w:fldChar w:fldCharType="separate"/>
            </w:r>
            <w:r>
              <w:rPr>
                <w:rFonts w:ascii="宋体" w:hAnsi="宋体"/>
                <w:szCs w:val="24"/>
              </w:rPr>
              <w:tab/>
            </w:r>
            <w:r>
              <w:rPr>
                <w:rFonts w:hint="eastAsia" w:ascii="宋体" w:hAnsi="宋体"/>
                <w:szCs w:val="24"/>
              </w:rPr>
              <w:t>供应商</w:t>
            </w:r>
            <w:r>
              <w:rPr>
                <w:rStyle w:val="34"/>
                <w:rFonts w:hint="eastAsia" w:ascii="宋体" w:hAnsi="宋体"/>
                <w:color w:val="auto"/>
                <w:szCs w:val="24"/>
                <w:u w:val="none"/>
              </w:rPr>
              <w:t>具备《中华人民共和国政府采购法》第二十二条规定的条件</w:t>
            </w:r>
            <w:r>
              <w:rPr>
                <w:rFonts w:hint="eastAsia" w:ascii="宋体" w:hAnsi="宋体"/>
                <w:szCs w:val="24"/>
              </w:rPr>
              <w:t>的</w:t>
            </w:r>
            <w:r>
              <w:rPr>
                <w:rStyle w:val="34"/>
                <w:rFonts w:hint="eastAsia" w:ascii="宋体" w:hAnsi="宋体"/>
                <w:color w:val="auto"/>
                <w:szCs w:val="24"/>
                <w:u w:val="none"/>
              </w:rPr>
              <w:t>证明</w:t>
            </w:r>
            <w:r>
              <w:rPr>
                <w:rFonts w:ascii="宋体" w:hAnsi="宋体"/>
                <w:szCs w:val="24"/>
              </w:rPr>
              <w:fldChar w:fldCharType="end"/>
            </w:r>
            <w:r>
              <w:rPr>
                <w:rFonts w:hint="eastAsia" w:ascii="宋体" w:hAnsi="宋体"/>
                <w:szCs w:val="24"/>
              </w:rPr>
              <w:t>文件</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Merge w:val="restart"/>
            <w:vAlign w:val="center"/>
          </w:tcPr>
          <w:p>
            <w:pPr>
              <w:wordWrap w:val="0"/>
              <w:autoSpaceDE w:val="0"/>
              <w:autoSpaceDN w:val="0"/>
              <w:jc w:val="center"/>
              <w:rPr>
                <w:rFonts w:ascii="宋体" w:hAnsi="宋体"/>
                <w:szCs w:val="24"/>
              </w:rPr>
            </w:pPr>
            <w:r>
              <w:rPr>
                <w:rFonts w:hint="eastAsia" w:ascii="宋体" w:hAnsi="宋体"/>
                <w:szCs w:val="24"/>
              </w:rPr>
              <w:t>4.2.</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落实政府采购政策需满足的资格要求的证明文件（如要求）</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Merge w:val="continue"/>
            <w:vAlign w:val="center"/>
          </w:tcP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iCs/>
                <w:szCs w:val="24"/>
              </w:rPr>
              <w:t>其中：格式4.4</w:t>
            </w:r>
            <w:r>
              <w:rPr>
                <w:rFonts w:hint="eastAsia" w:ascii="宋体" w:hAnsi="宋体" w:cs="宋体"/>
                <w:spacing w:val="8"/>
                <w:kern w:val="0"/>
                <w:szCs w:val="24"/>
              </w:rPr>
              <w:t>《联合协议》（以</w:t>
            </w:r>
            <w:r>
              <w:rPr>
                <w:rFonts w:hint="eastAsia" w:ascii="宋体" w:hAnsi="宋体"/>
                <w:iCs/>
                <w:szCs w:val="24"/>
              </w:rPr>
              <w:t>联合体报价时适用</w:t>
            </w:r>
            <w:r>
              <w:rPr>
                <w:rFonts w:hint="eastAsia" w:ascii="宋体" w:hAnsi="宋体" w:cs="宋体"/>
                <w:spacing w:val="8"/>
                <w:kern w:val="0"/>
                <w:szCs w:val="24"/>
              </w:rPr>
              <w:t>）</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Merge w:val="continue"/>
            <w:vAlign w:val="center"/>
          </w:tcP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其中：格式4.5《分包意向协议》（以合同分包形式报价时适用）</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Merge w:val="restart"/>
            <w:vAlign w:val="center"/>
          </w:tcPr>
          <w:p>
            <w:pPr>
              <w:wordWrap w:val="0"/>
              <w:autoSpaceDE w:val="0"/>
              <w:autoSpaceDN w:val="0"/>
              <w:jc w:val="center"/>
              <w:rPr>
                <w:rFonts w:ascii="宋体" w:hAnsi="宋体"/>
                <w:szCs w:val="24"/>
              </w:rPr>
            </w:pPr>
            <w:r>
              <w:rPr>
                <w:rFonts w:hint="eastAsia" w:ascii="宋体" w:hAnsi="宋体"/>
                <w:szCs w:val="24"/>
              </w:rPr>
              <w:t>4.3.</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iCs/>
                <w:szCs w:val="24"/>
              </w:rPr>
              <w:t>本项目的特定资格要求的证明文件</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Merge w:val="continue"/>
            <w:vAlign w:val="center"/>
          </w:tcP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iCs/>
                <w:szCs w:val="24"/>
              </w:rPr>
              <w:t>其中：格式4.4</w:t>
            </w:r>
            <w:r>
              <w:rPr>
                <w:rFonts w:hint="eastAsia" w:ascii="宋体" w:hAnsi="宋体" w:cs="宋体"/>
                <w:spacing w:val="8"/>
                <w:kern w:val="0"/>
                <w:szCs w:val="24"/>
              </w:rPr>
              <w:t>《联合协议》（以</w:t>
            </w:r>
            <w:r>
              <w:rPr>
                <w:rFonts w:hint="eastAsia" w:ascii="宋体" w:hAnsi="宋体"/>
                <w:iCs/>
                <w:szCs w:val="24"/>
              </w:rPr>
              <w:t>联合体报价时适用</w:t>
            </w:r>
            <w:r>
              <w:rPr>
                <w:rFonts w:hint="eastAsia" w:ascii="宋体" w:hAnsi="宋体" w:cs="宋体"/>
                <w:spacing w:val="8"/>
                <w:kern w:val="0"/>
                <w:szCs w:val="24"/>
              </w:rPr>
              <w:t>）</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center"/>
              <w:rPr>
                <w:rFonts w:ascii="宋体" w:hAnsi="宋体"/>
                <w:szCs w:val="24"/>
              </w:rPr>
            </w:pPr>
            <w:r>
              <w:rPr>
                <w:rFonts w:hint="eastAsia" w:ascii="宋体" w:hAnsi="宋体"/>
                <w:szCs w:val="24"/>
              </w:rPr>
              <w:t>4.6.</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"_Toc22806206"</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除上述证明材料外，供应商认为有必要提供的其他资格、资信证明文件（如有）</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5.</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"_Toc22806208"</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法定代表人证明书及授权委托书</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5.1.</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"_Toc22806209"</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法定代表人证明书（适用于非自然人供应商）</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5.2.</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"_Toc22806210"</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法定代表人授权委托书（如适用）</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6.</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供应商综合概况</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7.</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"_Toc22806216"</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中小企业、监狱企业及残疾人福利性单位声明（如适用）</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7.1.</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"_Toc22806217"</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中小企业声明</w:t>
            </w:r>
            <w:r>
              <w:rPr>
                <w:rStyle w:val="34"/>
                <w:rFonts w:hint="eastAsia" w:ascii="宋体" w:hAnsi="宋体"/>
                <w:color w:val="auto"/>
                <w:szCs w:val="24"/>
                <w:u w:val="none"/>
              </w:rPr>
              <w:fldChar w:fldCharType="end"/>
            </w:r>
            <w:r>
              <w:rPr>
                <w:rFonts w:hint="eastAsia" w:ascii="宋体" w:hAnsi="宋体"/>
                <w:szCs w:val="24"/>
              </w:rPr>
              <w:t>函（服务）（如适用）</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7.2.</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"_Toc22806218"</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监狱企业证明文件</w:t>
            </w:r>
            <w:r>
              <w:rPr>
                <w:rStyle w:val="34"/>
                <w:rFonts w:hint="eastAsia" w:ascii="宋体" w:hAnsi="宋体"/>
                <w:color w:val="auto"/>
                <w:szCs w:val="24"/>
                <w:u w:val="none"/>
              </w:rPr>
              <w:fldChar w:fldCharType="end"/>
            </w:r>
            <w:r>
              <w:rPr>
                <w:rFonts w:hint="eastAsia" w:ascii="宋体" w:hAnsi="宋体"/>
                <w:szCs w:val="24"/>
              </w:rPr>
              <w:t>（如适用）</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7.3.</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"_Toc22806219"</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残疾人福利性单位声明</w:t>
            </w:r>
            <w:r>
              <w:rPr>
                <w:rStyle w:val="34"/>
                <w:rFonts w:hint="eastAsia" w:ascii="宋体" w:hAnsi="宋体"/>
                <w:color w:val="auto"/>
                <w:szCs w:val="24"/>
                <w:u w:val="none"/>
              </w:rPr>
              <w:fldChar w:fldCharType="end"/>
            </w:r>
            <w:r>
              <w:rPr>
                <w:rFonts w:hint="eastAsia" w:ascii="宋体" w:hAnsi="宋体"/>
                <w:szCs w:val="24"/>
              </w:rPr>
              <w:t>函（如适用）</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8.</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"_Toc22806220"</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采购代理服务费支付承诺书</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b/>
                <w:szCs w:val="24"/>
              </w:rPr>
            </w:pPr>
            <w:r>
              <w:rPr>
                <w:rFonts w:hint="eastAsia" w:ascii="宋体" w:hAnsi="宋体"/>
                <w:b/>
                <w:szCs w:val="24"/>
              </w:rPr>
              <w:t>五</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b/>
                <w:szCs w:val="24"/>
              </w:rPr>
            </w:pPr>
            <w:r>
              <w:rPr>
                <w:rStyle w:val="34"/>
                <w:rFonts w:hint="eastAsia" w:ascii="宋体" w:hAnsi="宋体"/>
                <w:b/>
                <w:color w:val="auto"/>
                <w:szCs w:val="24"/>
                <w:u w:val="none"/>
              </w:rPr>
              <w:fldChar w:fldCharType="begin"/>
            </w:r>
            <w:r>
              <w:instrText xml:space="preserve">HYPERLINK  \l "_Toc22806221"</w:instrText>
            </w:r>
            <w:r>
              <w:rPr>
                <w:rStyle w:val="34"/>
                <w:rFonts w:hint="eastAsia" w:ascii="宋体" w:hAnsi="宋体"/>
                <w:b/>
                <w:color w:val="auto"/>
                <w:szCs w:val="24"/>
                <w:u w:val="none"/>
              </w:rPr>
              <w:fldChar w:fldCharType="separate"/>
            </w:r>
            <w:r>
              <w:rPr>
                <w:rStyle w:val="34"/>
                <w:rFonts w:hint="eastAsia" w:ascii="宋体" w:hAnsi="宋体"/>
                <w:b/>
                <w:color w:val="auto"/>
                <w:szCs w:val="24"/>
                <w:u w:val="none"/>
              </w:rPr>
              <w:t>技术/服务文件</w:t>
            </w:r>
            <w:r>
              <w:rPr>
                <w:rStyle w:val="34"/>
                <w:rFonts w:hint="eastAsia" w:ascii="宋体" w:hAnsi="宋体"/>
                <w:b/>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9.</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fldChar w:fldCharType="begin"/>
            </w:r>
            <w:r>
              <w:instrText xml:space="preserve">HYPERLINK  \l "_Toc22806222"</w:instrText>
            </w:r>
            <w:r>
              <w:rPr>
                <w:rFonts w:hint="eastAsia" w:ascii="宋体" w:hAnsi="宋体"/>
                <w:szCs w:val="24"/>
              </w:rPr>
              <w:fldChar w:fldCharType="separate"/>
            </w:r>
            <w:r>
              <w:rPr>
                <w:rFonts w:hint="eastAsia" w:ascii="宋体" w:hAnsi="宋体"/>
                <w:szCs w:val="24"/>
              </w:rPr>
              <w:t>技术/服务条款响应表</w:t>
            </w:r>
            <w:r>
              <w:rPr>
                <w:rFonts w:hint="eastAsia" w:ascii="宋体" w:hAnsi="宋体"/>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10.</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ascii="宋体" w:hAnsi="宋体"/>
                <w:szCs w:val="24"/>
              </w:rPr>
              <w:fldChar w:fldCharType="begin"/>
            </w:r>
            <w:r>
              <w:instrText xml:space="preserve">HYPERLINK  \l "_Toc22806223"</w:instrText>
            </w:r>
            <w:r>
              <w:rPr>
                <w:rFonts w:ascii="宋体" w:hAnsi="宋体"/>
                <w:szCs w:val="24"/>
              </w:rPr>
              <w:fldChar w:fldCharType="separate"/>
            </w:r>
            <w:r>
              <w:rPr>
                <w:rFonts w:ascii="宋体" w:hAnsi="宋体"/>
                <w:szCs w:val="24"/>
              </w:rPr>
              <w:tab/>
            </w:r>
            <w:r>
              <w:rPr>
                <w:rFonts w:hint="eastAsia" w:ascii="宋体" w:hAnsi="宋体"/>
                <w:szCs w:val="24"/>
              </w:rPr>
              <w:t>技术/服务方案</w:t>
            </w:r>
            <w:r>
              <w:rPr>
                <w:rFonts w:ascii="宋体" w:hAnsi="宋体"/>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10.1.</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技术/服务方案</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10.2.</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Style w:val="34"/>
                <w:color w:val="auto"/>
                <w:u w:val="none"/>
              </w:rPr>
            </w:pPr>
            <w:r>
              <w:rPr>
                <w:rStyle w:val="34"/>
                <w:color w:val="auto"/>
                <w:u w:val="none"/>
              </w:rPr>
              <w:fldChar w:fldCharType="begin"/>
            </w:r>
            <w:r>
              <w:instrText xml:space="preserve">HYPERLINK  \l "_Toc22806225"</w:instrText>
            </w:r>
            <w:r>
              <w:rPr>
                <w:rStyle w:val="34"/>
                <w:color w:val="auto"/>
                <w:u w:val="none"/>
              </w:rPr>
              <w:fldChar w:fldCharType="separate"/>
            </w:r>
            <w:r>
              <w:rPr>
                <w:rStyle w:val="34"/>
                <w:color w:val="auto"/>
                <w:u w:val="none"/>
              </w:rPr>
              <w:tab/>
            </w:r>
            <w:r>
              <w:rPr>
                <w:rStyle w:val="34"/>
                <w:color w:val="auto"/>
                <w:u w:val="none"/>
              </w:rPr>
              <w:fldChar w:fldCharType="end"/>
            </w:r>
            <w:r>
              <w:rPr>
                <w:rFonts w:ascii="宋体" w:hAnsi="宋体"/>
                <w:szCs w:val="24"/>
              </w:rPr>
              <w:fldChar w:fldCharType="begin"/>
            </w:r>
            <w:r>
              <w:instrText xml:space="preserve">HYPERLINK  \l "_Toc22806225"</w:instrText>
            </w:r>
            <w:r>
              <w:rPr>
                <w:rFonts w:ascii="宋体" w:hAnsi="宋体"/>
                <w:szCs w:val="24"/>
              </w:rPr>
              <w:fldChar w:fldCharType="separate"/>
            </w:r>
            <w:r>
              <w:rPr>
                <w:rFonts w:ascii="宋体" w:hAnsi="宋体"/>
                <w:szCs w:val="24"/>
              </w:rPr>
              <w:tab/>
            </w:r>
            <w:r>
              <w:rPr>
                <w:rFonts w:hint="eastAsia" w:ascii="宋体" w:hAnsi="宋体"/>
                <w:szCs w:val="24"/>
              </w:rPr>
              <w:t>服务承诺</w:t>
            </w:r>
            <w:r>
              <w:rPr>
                <w:rFonts w:ascii="宋体" w:hAnsi="宋体"/>
                <w:szCs w:val="24"/>
              </w:rPr>
              <w:fldChar w:fldCharType="end"/>
            </w:r>
            <w:r>
              <w:rPr>
                <w:rFonts w:hint="eastAsia" w:ascii="宋体" w:hAnsi="宋体"/>
                <w:szCs w:val="24"/>
              </w:rPr>
              <w:fldChar w:fldCharType="begin"/>
            </w:r>
            <w:r>
              <w:instrText xml:space="preserve">HYPERLINK  \l "_Toc22806225"</w:instrText>
            </w:r>
            <w:r>
              <w:rPr>
                <w:rFonts w:hint="eastAsia" w:ascii="宋体" w:hAnsi="宋体"/>
                <w:szCs w:val="24"/>
              </w:rPr>
              <w:fldChar w:fldCharType="separate"/>
            </w:r>
            <w:r>
              <w:rPr>
                <w:rFonts w:hint="eastAsia" w:ascii="宋体" w:hAnsi="宋体"/>
                <w:szCs w:val="24"/>
              </w:rPr>
              <w:t>（如有）</w:t>
            </w:r>
            <w:r>
              <w:rPr>
                <w:rFonts w:hint="eastAsia" w:ascii="宋体" w:hAnsi="宋体"/>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jc w:val="right"/>
              <w:rPr>
                <w:rFonts w:ascii="宋体" w:hAnsi="宋体"/>
                <w:szCs w:val="24"/>
              </w:rPr>
            </w:pPr>
            <w:r>
              <w:rPr>
                <w:rFonts w:hint="eastAsia" w:ascii="宋体" w:hAnsi="宋体"/>
                <w:szCs w:val="24"/>
              </w:rPr>
              <w:t>10.3.</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"_Toc22806227"</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拟派人员情况</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11.</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Style w:val="34"/>
                <w:rFonts w:ascii="宋体" w:hAnsi="宋体"/>
                <w:color w:val="auto"/>
                <w:szCs w:val="24"/>
                <w:u w:val="none"/>
              </w:rPr>
            </w:pPr>
            <w:r>
              <w:rPr>
                <w:rStyle w:val="34"/>
                <w:rFonts w:hint="eastAsia" w:ascii="宋体" w:hAnsi="宋体"/>
                <w:color w:val="auto"/>
                <w:szCs w:val="24"/>
                <w:u w:val="none"/>
              </w:rPr>
              <w:t>供应商认为有必要说明或提供的其他技术/服务文件</w:t>
            </w:r>
            <w:bookmarkStart w:id="383" w:name="_Hlt55921073"/>
            <w:bookmarkEnd w:id="383"/>
            <w:bookmarkStart w:id="384" w:name="_Hlt55921072"/>
            <w:bookmarkEnd w:id="384"/>
          </w:p>
          <w:p>
            <w:pPr>
              <w:wordWrap w:val="0"/>
              <w:autoSpaceDE w:val="0"/>
              <w:autoSpaceDN w:val="0"/>
              <w:rPr>
                <w:rFonts w:ascii="宋体" w:hAnsi="宋体"/>
                <w:szCs w:val="24"/>
              </w:rPr>
            </w:pPr>
            <w:r>
              <w:rPr>
                <w:rStyle w:val="34"/>
                <w:rFonts w:hint="eastAsia" w:ascii="宋体" w:hAnsi="宋体"/>
                <w:color w:val="auto"/>
                <w:szCs w:val="24"/>
                <w:u w:val="none"/>
              </w:rPr>
              <w:t>（如有）</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b/>
                <w:szCs w:val="24"/>
              </w:rPr>
            </w:pPr>
            <w:r>
              <w:rPr>
                <w:rFonts w:hint="eastAsia" w:ascii="宋体" w:hAnsi="宋体"/>
                <w:b/>
                <w:szCs w:val="24"/>
              </w:rPr>
              <w:t>六、</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ascii="宋体" w:hAnsi="宋体"/>
                <w:caps w:val="0"/>
                <w:smallCaps/>
                <w:szCs w:val="24"/>
              </w:rPr>
              <w:fldChar w:fldCharType="begin"/>
            </w:r>
            <w:r>
              <w:instrText xml:space="preserve">HYPERLINK  \l "_Toc22806231"</w:instrText>
            </w:r>
            <w:r>
              <w:rPr>
                <w:rFonts w:ascii="宋体" w:hAnsi="宋体"/>
                <w:caps w:val="0"/>
                <w:smallCaps/>
                <w:szCs w:val="24"/>
              </w:rPr>
              <w:fldChar w:fldCharType="separate"/>
            </w:r>
            <w:r>
              <w:rPr>
                <w:rFonts w:ascii="宋体" w:hAnsi="宋体"/>
                <w:caps w:val="0"/>
                <w:smallCaps/>
                <w:szCs w:val="24"/>
              </w:rPr>
              <w:tab/>
            </w:r>
            <w:r>
              <w:rPr>
                <w:rStyle w:val="34"/>
                <w:rFonts w:hint="eastAsia" w:ascii="宋体" w:hAnsi="宋体"/>
                <w:color w:val="auto"/>
                <w:szCs w:val="24"/>
                <w:u w:val="none"/>
              </w:rPr>
              <w:t>商务文件</w:t>
            </w:r>
            <w:r>
              <w:rPr>
                <w:rFonts w:ascii="宋体" w:hAnsi="宋体"/>
                <w:caps w:val="0"/>
                <w:smallCaps/>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b/>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b/>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12.</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ascii="宋体" w:hAnsi="宋体"/>
                <w:i/>
                <w:iCs/>
                <w:szCs w:val="24"/>
              </w:rPr>
              <w:fldChar w:fldCharType="begin"/>
            </w:r>
            <w:r>
              <w:instrText xml:space="preserve">HYPERLINK  \l "_Toc22806232"</w:instrText>
            </w:r>
            <w:r>
              <w:rPr>
                <w:rFonts w:ascii="宋体" w:hAnsi="宋体"/>
                <w:i/>
                <w:iCs/>
                <w:szCs w:val="24"/>
              </w:rPr>
              <w:fldChar w:fldCharType="separate"/>
            </w:r>
            <w:r>
              <w:rPr>
                <w:rFonts w:ascii="宋体" w:hAnsi="宋体"/>
                <w:i/>
                <w:iCs/>
                <w:szCs w:val="24"/>
              </w:rPr>
              <w:tab/>
            </w:r>
            <w:r>
              <w:rPr>
                <w:rStyle w:val="34"/>
                <w:rFonts w:hint="eastAsia" w:ascii="宋体" w:hAnsi="宋体"/>
                <w:color w:val="auto"/>
                <w:szCs w:val="24"/>
                <w:u w:val="none"/>
              </w:rPr>
              <w:t>商务条款偏离表</w:t>
            </w:r>
            <w:r>
              <w:rPr>
                <w:rFonts w:ascii="宋体" w:hAnsi="宋体"/>
                <w:i/>
                <w:iCs/>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13.</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"_Toc22806233"</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合同条款偏离表</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14.</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"_Toc22806234"</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商务情况</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14.1.</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"_Toc22806235"</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类似项目业绩（如有）</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14.2.</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"_Toc22806236"</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获得的荣誉、资信、认证情况（如有）</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15.</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"_Toc22806241"</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供应商认为有必要说明或提供的其他商务文件（如有）</w:t>
            </w:r>
            <w:r>
              <w:rPr>
                <w:rStyle w:val="34"/>
                <w:rFonts w:hint="eastAsia" w:ascii="宋体" w:hAnsi="宋体"/>
                <w:color w:val="auto"/>
                <w:szCs w:val="24"/>
                <w:u w:val="none"/>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b/>
                <w:szCs w:val="24"/>
              </w:rPr>
            </w:pPr>
            <w:r>
              <w:rPr>
                <w:rFonts w:hint="eastAsia" w:ascii="宋体" w:hAnsi="宋体"/>
                <w:b/>
                <w:szCs w:val="24"/>
              </w:rPr>
              <w:t>七、</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b/>
                <w:szCs w:val="24"/>
              </w:rPr>
            </w:pPr>
            <w:r>
              <w:rPr>
                <w:rFonts w:ascii="宋体" w:hAnsi="宋体"/>
                <w:b/>
                <w:caps w:val="0"/>
                <w:smallCaps/>
                <w:szCs w:val="24"/>
              </w:rPr>
              <w:fldChar w:fldCharType="begin"/>
            </w:r>
            <w:r>
              <w:instrText xml:space="preserve">HYPERLINK  \l "_Toc22806242"</w:instrText>
            </w:r>
            <w:r>
              <w:rPr>
                <w:rFonts w:ascii="宋体" w:hAnsi="宋体"/>
                <w:b/>
                <w:caps w:val="0"/>
                <w:smallCaps/>
                <w:szCs w:val="24"/>
              </w:rPr>
              <w:fldChar w:fldCharType="separate"/>
            </w:r>
            <w:r>
              <w:rPr>
                <w:rFonts w:ascii="宋体" w:hAnsi="宋体"/>
                <w:b/>
                <w:caps w:val="0"/>
                <w:smallCaps/>
                <w:szCs w:val="24"/>
              </w:rPr>
              <w:tab/>
            </w:r>
            <w:r>
              <w:rPr>
                <w:rStyle w:val="34"/>
                <w:rFonts w:hint="eastAsia" w:ascii="宋体" w:hAnsi="宋体"/>
                <w:b/>
                <w:color w:val="auto"/>
                <w:szCs w:val="24"/>
                <w:u w:val="none"/>
              </w:rPr>
              <w:t>价格文件</w:t>
            </w:r>
            <w:r>
              <w:rPr>
                <w:rFonts w:ascii="宋体" w:hAnsi="宋体"/>
                <w:b/>
                <w:caps w:val="0"/>
                <w:smallCaps/>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16.</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ascii="宋体" w:hAnsi="宋体"/>
                <w:i/>
                <w:iCs/>
                <w:szCs w:val="24"/>
              </w:rPr>
              <w:fldChar w:fldCharType="begin"/>
            </w:r>
            <w:r>
              <w:instrText xml:space="preserve">HYPERLINK  \l "_Toc22806243"</w:instrText>
            </w:r>
            <w:r>
              <w:rPr>
                <w:rFonts w:ascii="宋体" w:hAnsi="宋体"/>
                <w:i/>
                <w:iCs/>
                <w:szCs w:val="24"/>
              </w:rPr>
              <w:fldChar w:fldCharType="separate"/>
            </w:r>
            <w:r>
              <w:rPr>
                <w:rFonts w:ascii="宋体" w:hAnsi="宋体"/>
                <w:i/>
                <w:iCs/>
                <w:szCs w:val="24"/>
              </w:rPr>
              <w:tab/>
            </w:r>
            <w:r>
              <w:rPr>
                <w:rFonts w:hint="eastAsia" w:ascii="宋体" w:hAnsi="宋体"/>
                <w:iCs/>
                <w:szCs w:val="24"/>
              </w:rPr>
              <w:t>首次</w:t>
            </w:r>
            <w:r>
              <w:rPr>
                <w:rStyle w:val="34"/>
                <w:rFonts w:hint="eastAsia" w:ascii="宋体" w:hAnsi="宋体"/>
                <w:color w:val="auto"/>
                <w:szCs w:val="24"/>
                <w:u w:val="none"/>
              </w:rPr>
              <w:t>报价一览表</w:t>
            </w:r>
            <w:r>
              <w:rPr>
                <w:rFonts w:ascii="宋体" w:hAnsi="宋体"/>
                <w:i/>
                <w:iCs/>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17.</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"_Toc22806244"</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分项报价明细表</w:t>
            </w:r>
            <w:r>
              <w:rPr>
                <w:rStyle w:val="34"/>
                <w:rFonts w:hint="eastAsia" w:ascii="宋体" w:hAnsi="宋体"/>
                <w:color w:val="auto"/>
                <w:szCs w:val="24"/>
                <w:u w:val="none"/>
              </w:rPr>
              <w:fldChar w:fldCharType="end"/>
            </w:r>
            <w:r>
              <w:rPr>
                <w:rFonts w:hint="eastAsia" w:ascii="宋体" w:hAnsi="宋体"/>
                <w:szCs w:val="24"/>
              </w:rPr>
              <w:t>（如有）</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18.</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Style w:val="34"/>
                <w:rFonts w:hint="eastAsia" w:ascii="宋体" w:hAnsi="宋体"/>
                <w:color w:val="auto"/>
                <w:szCs w:val="24"/>
                <w:u w:val="none"/>
              </w:rPr>
              <w:fldChar w:fldCharType="begin"/>
            </w:r>
            <w:r>
              <w:instrText xml:space="preserve">HYPERLINK  \l "_Toc22806245"</w:instrText>
            </w:r>
            <w:r>
              <w:rPr>
                <w:rStyle w:val="34"/>
                <w:rFonts w:hint="eastAsia" w:ascii="宋体" w:hAnsi="宋体"/>
                <w:color w:val="auto"/>
                <w:szCs w:val="24"/>
                <w:u w:val="none"/>
              </w:rPr>
              <w:fldChar w:fldCharType="separate"/>
            </w:r>
            <w:r>
              <w:rPr>
                <w:rStyle w:val="34"/>
                <w:rFonts w:hint="eastAsia" w:ascii="宋体" w:hAnsi="宋体"/>
                <w:color w:val="auto"/>
                <w:szCs w:val="24"/>
                <w:u w:val="none"/>
              </w:rPr>
              <w:t>政策适用性说明</w:t>
            </w:r>
            <w:r>
              <w:rPr>
                <w:rStyle w:val="34"/>
                <w:rFonts w:hint="eastAsia" w:ascii="宋体" w:hAnsi="宋体"/>
                <w:color w:val="auto"/>
                <w:szCs w:val="24"/>
                <w:u w:val="none"/>
              </w:rPr>
              <w:fldChar w:fldCharType="end"/>
            </w:r>
            <w:r>
              <w:rPr>
                <w:rFonts w:hint="eastAsia" w:ascii="宋体" w:hAnsi="宋体"/>
                <w:szCs w:val="24"/>
              </w:rPr>
              <w:t>（如适用）</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b/>
                <w:szCs w:val="24"/>
              </w:rPr>
            </w:pPr>
            <w:r>
              <w:rPr>
                <w:rFonts w:hint="eastAsia" w:ascii="宋体" w:hAnsi="宋体"/>
                <w:b/>
                <w:szCs w:val="24"/>
              </w:rPr>
              <w:t>八、</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b/>
                <w:szCs w:val="24"/>
              </w:rPr>
            </w:pPr>
            <w:r>
              <w:rPr>
                <w:rFonts w:ascii="宋体" w:hAnsi="宋体"/>
                <w:b/>
                <w:caps w:val="0"/>
                <w:smallCaps/>
                <w:szCs w:val="24"/>
              </w:rPr>
              <w:fldChar w:fldCharType="begin"/>
            </w:r>
            <w:r>
              <w:instrText xml:space="preserve">HYPERLINK  \l "_Toc22806246"</w:instrText>
            </w:r>
            <w:r>
              <w:rPr>
                <w:rFonts w:ascii="宋体" w:hAnsi="宋体"/>
                <w:b/>
                <w:caps w:val="0"/>
                <w:smallCaps/>
                <w:szCs w:val="24"/>
              </w:rPr>
              <w:fldChar w:fldCharType="separate"/>
            </w:r>
            <w:r>
              <w:rPr>
                <w:rFonts w:ascii="宋体" w:hAnsi="宋体"/>
                <w:b/>
                <w:caps w:val="0"/>
                <w:smallCaps/>
                <w:szCs w:val="24"/>
              </w:rPr>
              <w:tab/>
            </w:r>
            <w:r>
              <w:rPr>
                <w:rFonts w:hint="eastAsia" w:ascii="宋体" w:hAnsi="宋体"/>
                <w:b/>
                <w:caps w:val="0"/>
                <w:smallCaps/>
                <w:szCs w:val="24"/>
              </w:rPr>
              <w:t>报价信封</w:t>
            </w:r>
            <w:r>
              <w:rPr>
                <w:rFonts w:ascii="宋体" w:hAnsi="宋体"/>
                <w:b/>
                <w:caps w:val="0"/>
                <w:smallCaps/>
                <w:szCs w:val="24"/>
              </w:rPr>
              <w:fldChar w:fldCharType="end"/>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19.</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报价信封（独立包装）</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b/>
                <w:szCs w:val="24"/>
              </w:rPr>
            </w:pPr>
            <w:r>
              <w:rPr>
                <w:rFonts w:hint="eastAsia" w:ascii="宋体" w:hAnsi="宋体"/>
                <w:b/>
                <w:szCs w:val="24"/>
              </w:rPr>
              <w:t>九、</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b/>
                <w:szCs w:val="24"/>
              </w:rPr>
            </w:pPr>
            <w:r>
              <w:rPr>
                <w:rFonts w:hint="eastAsia" w:ascii="宋体" w:hAnsi="宋体"/>
                <w:b/>
                <w:szCs w:val="24"/>
              </w:rPr>
              <w:t>附件（如有）</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ascii="宋体" w:hAnsi="宋体"/>
                <w:szCs w:val="24"/>
              </w:rPr>
              <w:t>2</w:t>
            </w:r>
            <w:r>
              <w:rPr>
                <w:rFonts w:hint="eastAsia" w:ascii="宋体" w:hAnsi="宋体"/>
                <w:szCs w:val="24"/>
              </w:rPr>
              <w:t>0</w:t>
            </w:r>
            <w:r>
              <w:rPr>
                <w:rFonts w:ascii="宋体" w:hAnsi="宋体"/>
                <w:szCs w:val="24"/>
              </w:rPr>
              <w:t>.</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磋商保证金（如要求）</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hint="eastAsia" w:ascii="宋体" w:hAnsi="宋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ascii="宋体" w:hAnsi="宋体"/>
                <w:szCs w:val="24"/>
              </w:rPr>
              <w:t>2</w:t>
            </w:r>
            <w:r>
              <w:rPr>
                <w:rFonts w:hint="eastAsia" w:ascii="宋体" w:hAnsi="宋体"/>
                <w:szCs w:val="24"/>
              </w:rPr>
              <w:t>0</w:t>
            </w:r>
            <w:r>
              <w:rPr>
                <w:rFonts w:ascii="宋体" w:hAnsi="宋体"/>
                <w:szCs w:val="24"/>
              </w:rPr>
              <w:t>.1</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磋商保证金交纳凭证（如有）</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ascii="宋体" w:hAnsi="宋体"/>
                <w:szCs w:val="24"/>
              </w:rPr>
              <w:t>2</w:t>
            </w:r>
            <w:r>
              <w:rPr>
                <w:rFonts w:hint="eastAsia" w:ascii="宋体" w:hAnsi="宋体"/>
                <w:szCs w:val="24"/>
              </w:rPr>
              <w:t>0</w:t>
            </w:r>
            <w:r>
              <w:rPr>
                <w:rFonts w:ascii="宋体" w:hAnsi="宋体"/>
                <w:szCs w:val="24"/>
              </w:rPr>
              <w:t>.2</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磋商保证金退还说明（如有）</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21.</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开票资料说明函</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93" w:type="dxa"/>
            <w:vAlign w:val="center"/>
          </w:tcPr>
          <w:p>
            <w:pPr>
              <w:wordWrap w:val="0"/>
              <w:autoSpaceDE w:val="0"/>
              <w:autoSpaceDN w:val="0"/>
              <w:rPr>
                <w:rFonts w:ascii="宋体" w:hAnsi="宋体"/>
                <w:szCs w:val="24"/>
              </w:rPr>
            </w:pPr>
            <w:r>
              <w:rPr>
                <w:rFonts w:hint="eastAsia" w:ascii="宋体" w:hAnsi="宋体"/>
                <w:szCs w:val="24"/>
              </w:rPr>
              <w:t>22.</w:t>
            </w:r>
          </w:p>
        </w:tc>
        <w:tc>
          <w:tcPr>
            <w:tcW w:w="5982"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其他附件（如有，供应商自行补充）</w:t>
            </w:r>
          </w:p>
        </w:tc>
        <w:tc>
          <w:tcPr>
            <w:tcW w:w="680"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56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p>
        </w:tc>
        <w:tc>
          <w:tcPr>
            <w:tcW w:w="1354" w:type="dxa"/>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bl>
    <w:p>
      <w:pPr>
        <w:wordWrap w:val="0"/>
        <w:autoSpaceDE w:val="0"/>
        <w:autoSpaceDN w:val="0"/>
        <w:rPr>
          <w:rFonts w:ascii="宋体" w:hAnsi="宋体"/>
          <w:szCs w:val="24"/>
        </w:rPr>
      </w:pPr>
      <w:r>
        <w:rPr>
          <w:rFonts w:hint="eastAsia" w:ascii="宋体" w:hAnsi="宋体"/>
          <w:b/>
          <w:szCs w:val="24"/>
        </w:rPr>
        <w:t>备注：</w:t>
      </w:r>
      <w:r>
        <w:rPr>
          <w:rFonts w:hint="eastAsia" w:ascii="宋体" w:hAnsi="宋体"/>
          <w:szCs w:val="24"/>
        </w:rPr>
        <w:t>1、提交情况在对应“有”或“无”栏内打“√”，或直接填写“有”或“无”，不提交的资料不需要填写页码，</w:t>
      </w:r>
      <w:r>
        <w:rPr>
          <w:rFonts w:hint="eastAsia" w:ascii="宋体" w:hAnsi="宋体"/>
          <w:b/>
          <w:szCs w:val="24"/>
          <w:u w:val="single"/>
        </w:rPr>
        <w:t>也不需要修改后续格式的序号。</w:t>
      </w:r>
    </w:p>
    <w:p>
      <w:pPr>
        <w:wordWrap w:val="0"/>
        <w:autoSpaceDE w:val="0"/>
        <w:autoSpaceDN w:val="0"/>
        <w:ind w:firstLine="480" w:firstLineChars="200"/>
        <w:rPr>
          <w:rFonts w:ascii="宋体" w:hAnsi="宋体"/>
          <w:szCs w:val="24"/>
        </w:rPr>
      </w:pPr>
      <w:r>
        <w:rPr>
          <w:rFonts w:hint="eastAsia" w:ascii="宋体" w:hAnsi="宋体"/>
          <w:szCs w:val="24"/>
        </w:rPr>
        <w:t>2、供应商认为有必要提交的其他文件可自行增加表格栏目，以上响应文件提交时按照《目录》的排列顺序装订成册。</w:t>
      </w:r>
    </w:p>
    <w:p>
      <w:pPr>
        <w:pStyle w:val="4"/>
        <w:numPr>
          <w:ilvl w:val="0"/>
          <w:numId w:val="59"/>
        </w:numPr>
        <w:tabs>
          <w:tab w:val="left" w:pos="945"/>
        </w:tabs>
        <w:spacing w:before="0" w:after="0" w:line="360" w:lineRule="auto"/>
        <w:ind w:left="980" w:hanging="980" w:hangingChars="350"/>
        <w:rPr>
          <w:rFonts w:ascii="宋体" w:hAnsi="宋体"/>
          <w:sz w:val="28"/>
          <w:szCs w:val="28"/>
        </w:rPr>
      </w:pPr>
      <w:bookmarkStart w:id="385" w:name="_Toc22806191"/>
      <w:bookmarkStart w:id="386" w:name="_Toc56180350"/>
      <w:bookmarkStart w:id="387" w:name="_Toc50460243"/>
      <w:bookmarkStart w:id="388" w:name="_Toc55398755"/>
      <w:r>
        <w:rPr>
          <w:rFonts w:hint="eastAsia" w:ascii="宋体" w:hAnsi="宋体"/>
          <w:sz w:val="28"/>
          <w:szCs w:val="28"/>
        </w:rPr>
        <w:br w:type="column"/>
      </w:r>
      <w:r>
        <w:rPr>
          <w:rFonts w:hint="eastAsia" w:ascii="宋体" w:hAnsi="宋体"/>
          <w:sz w:val="28"/>
          <w:szCs w:val="28"/>
        </w:rPr>
        <w:t>自查、索引表</w:t>
      </w:r>
      <w:bookmarkEnd w:id="385"/>
      <w:bookmarkEnd w:id="386"/>
      <w:bookmarkEnd w:id="387"/>
      <w:bookmarkEnd w:id="388"/>
    </w:p>
    <w:p>
      <w:pPr>
        <w:pStyle w:val="5"/>
        <w:numPr>
          <w:ilvl w:val="0"/>
          <w:numId w:val="0"/>
        </w:numPr>
        <w:tabs>
          <w:tab w:val="left" w:pos="945"/>
        </w:tabs>
        <w:spacing w:before="0" w:after="0" w:line="360" w:lineRule="auto"/>
        <w:ind w:left="960" w:hanging="960" w:hangingChars="400"/>
        <w:rPr>
          <w:rFonts w:ascii="宋体" w:hAnsi="宋体"/>
          <w:sz w:val="24"/>
          <w:szCs w:val="24"/>
        </w:rPr>
      </w:pPr>
      <w:bookmarkStart w:id="389" w:name="_Toc50460244"/>
      <w:bookmarkStart w:id="390" w:name="_Toc56180351"/>
      <w:bookmarkStart w:id="391" w:name="_Toc55398756"/>
      <w:bookmarkStart w:id="392" w:name="_Toc22806193"/>
      <w:r>
        <w:rPr>
          <w:rFonts w:hint="eastAsia" w:ascii="宋体" w:hAnsi="宋体"/>
          <w:sz w:val="24"/>
          <w:szCs w:val="24"/>
        </w:rPr>
        <w:t>1.自查表</w:t>
      </w:r>
      <w:bookmarkEnd w:id="389"/>
      <w:bookmarkEnd w:id="390"/>
      <w:bookmarkEnd w:id="391"/>
    </w:p>
    <w:p>
      <w:pPr>
        <w:pStyle w:val="6"/>
        <w:numPr>
          <w:ilvl w:val="0"/>
          <w:numId w:val="0"/>
        </w:numPr>
        <w:tabs>
          <w:tab w:val="left" w:pos="945"/>
        </w:tabs>
        <w:rPr>
          <w:rFonts w:ascii="宋体" w:hAnsi="宋体"/>
          <w:szCs w:val="24"/>
        </w:rPr>
      </w:pPr>
      <w:r>
        <w:rPr>
          <w:rFonts w:hint="eastAsia" w:ascii="宋体" w:hAnsi="宋体"/>
          <w:szCs w:val="24"/>
        </w:rPr>
        <w:t>1.1资格性自查表</w:t>
      </w:r>
      <w:bookmarkEnd w:id="392"/>
    </w:p>
    <w:p>
      <w:pPr>
        <w:wordWrap w:val="0"/>
        <w:autoSpaceDE w:val="0"/>
        <w:autoSpaceDN w:val="0"/>
        <w:jc w:val="center"/>
        <w:rPr>
          <w:rFonts w:ascii="宋体" w:hAnsi="宋体"/>
          <w:b/>
          <w:sz w:val="32"/>
          <w:szCs w:val="32"/>
        </w:rPr>
      </w:pPr>
      <w:r>
        <w:rPr>
          <w:rFonts w:hint="eastAsia" w:ascii="宋体" w:hAnsi="宋体"/>
          <w:b/>
          <w:sz w:val="32"/>
          <w:szCs w:val="32"/>
        </w:rPr>
        <w:t>资格性自查表</w:t>
      </w:r>
    </w:p>
    <w:p>
      <w:pPr>
        <w:wordWrap w:val="0"/>
        <w:autoSpaceDE w:val="0"/>
        <w:autoSpaceDN w:val="0"/>
        <w:rPr>
          <w:rFonts w:ascii="宋体" w:hAnsi="宋体"/>
          <w:szCs w:val="24"/>
        </w:rPr>
      </w:pPr>
      <w:r>
        <w:rPr>
          <w:rFonts w:hint="eastAsia" w:ascii="宋体" w:hAnsi="宋体"/>
          <w:szCs w:val="24"/>
        </w:rPr>
        <w:t>采购项目名称：2026-2027年广州白云机场海关南1、2号楼物业管理服务</w:t>
      </w:r>
    </w:p>
    <w:p>
      <w:pPr>
        <w:wordWrap w:val="0"/>
        <w:autoSpaceDE w:val="0"/>
        <w:autoSpaceDN w:val="0"/>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750"/>
        <w:gridCol w:w="1996"/>
        <w:gridCol w:w="2088"/>
        <w:gridCol w:w="1220"/>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434" w:type="dxa"/>
            <w:vAlign w:val="center"/>
          </w:tcPr>
          <w:p>
            <w:pPr>
              <w:wordWrap w:val="0"/>
              <w:autoSpaceDE w:val="0"/>
              <w:autoSpaceDN w:val="0"/>
              <w:jc w:val="center"/>
              <w:rPr>
                <w:rFonts w:ascii="宋体" w:hAnsi="宋体" w:cs="宋体"/>
                <w:szCs w:val="21"/>
              </w:rPr>
            </w:pPr>
            <w:r>
              <w:rPr>
                <w:rFonts w:hint="eastAsia" w:ascii="宋体" w:hAnsi="宋体" w:cs="宋体"/>
                <w:b/>
                <w:szCs w:val="24"/>
              </w:rPr>
              <w:t>自查项目</w:t>
            </w:r>
          </w:p>
        </w:tc>
        <w:tc>
          <w:tcPr>
            <w:tcW w:w="4834" w:type="dxa"/>
            <w:gridSpan w:val="3"/>
            <w:vAlign w:val="center"/>
          </w:tcPr>
          <w:p>
            <w:pPr>
              <w:wordWrap w:val="0"/>
              <w:autoSpaceDE w:val="0"/>
              <w:autoSpaceDN w:val="0"/>
              <w:jc w:val="center"/>
              <w:rPr>
                <w:rFonts w:ascii="宋体" w:hAnsi="宋体" w:cs="宋体"/>
                <w:b/>
                <w:szCs w:val="24"/>
              </w:rPr>
            </w:pPr>
            <w:r>
              <w:rPr>
                <w:rFonts w:hint="eastAsia" w:ascii="宋体" w:hAnsi="宋体" w:cs="宋体"/>
                <w:b/>
                <w:szCs w:val="24"/>
              </w:rPr>
              <w:t>磋商文件要求（简述）</w:t>
            </w:r>
          </w:p>
          <w:p>
            <w:pPr>
              <w:wordWrap w:val="0"/>
              <w:autoSpaceDE w:val="0"/>
              <w:autoSpaceDN w:val="0"/>
              <w:jc w:val="center"/>
              <w:rPr>
                <w:rFonts w:ascii="宋体" w:hAnsi="宋体" w:cs="宋体"/>
                <w:szCs w:val="21"/>
              </w:rPr>
            </w:pPr>
            <w:r>
              <w:rPr>
                <w:rFonts w:hint="eastAsia" w:ascii="宋体" w:hAnsi="宋体" w:cs="宋体"/>
                <w:b/>
                <w:szCs w:val="24"/>
              </w:rPr>
              <w:t>（详见磋商公告及本文件《磋商邀请》的供应商资格要求）</w:t>
            </w:r>
          </w:p>
        </w:tc>
        <w:tc>
          <w:tcPr>
            <w:tcW w:w="1220" w:type="dxa"/>
            <w:vAlign w:val="center"/>
          </w:tcPr>
          <w:p>
            <w:pPr>
              <w:wordWrap w:val="0"/>
              <w:autoSpaceDE w:val="0"/>
              <w:autoSpaceDN w:val="0"/>
              <w:jc w:val="center"/>
              <w:rPr>
                <w:rFonts w:ascii="宋体" w:hAnsi="宋体" w:cs="宋体"/>
                <w:b/>
                <w:szCs w:val="24"/>
              </w:rPr>
            </w:pPr>
            <w:r>
              <w:rPr>
                <w:rFonts w:hint="eastAsia" w:ascii="宋体" w:hAnsi="宋体" w:cs="宋体"/>
                <w:b/>
                <w:szCs w:val="24"/>
              </w:rPr>
              <w:t>自查结论</w:t>
            </w:r>
          </w:p>
        </w:tc>
        <w:tc>
          <w:tcPr>
            <w:tcW w:w="1473" w:type="dxa"/>
            <w:vAlign w:val="center"/>
          </w:tcPr>
          <w:p>
            <w:pPr>
              <w:wordWrap w:val="0"/>
              <w:autoSpaceDE w:val="0"/>
              <w:autoSpaceDN w:val="0"/>
              <w:jc w:val="center"/>
              <w:rPr>
                <w:rFonts w:ascii="宋体" w:hAnsi="宋体" w:cs="宋体"/>
                <w:b/>
                <w:szCs w:val="24"/>
              </w:rPr>
            </w:pPr>
            <w:r>
              <w:rPr>
                <w:rFonts w:hint="eastAsia" w:ascii="宋体" w:hAnsi="宋体" w:cs="宋体"/>
                <w:b/>
                <w:szCs w:val="24"/>
              </w:rPr>
              <w:t>证明资料所在页码范围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restart"/>
            <w:vAlign w:val="center"/>
          </w:tcPr>
          <w:p>
            <w:pPr>
              <w:wordWrap w:val="0"/>
              <w:autoSpaceDE w:val="0"/>
              <w:autoSpaceDN w:val="0"/>
              <w:jc w:val="left"/>
              <w:rPr>
                <w:rFonts w:ascii="宋体" w:hAnsi="宋体" w:cs="宋体"/>
                <w:b/>
                <w:bCs/>
                <w:szCs w:val="24"/>
              </w:rPr>
            </w:pPr>
            <w:r>
              <w:rPr>
                <w:rFonts w:hint="eastAsia" w:ascii="宋体" w:hAnsi="宋体" w:cs="宋体"/>
                <w:b/>
                <w:bCs/>
                <w:szCs w:val="24"/>
              </w:rPr>
              <w:t>1.供应商应具备《中华人民共和国政府采购法》第二十二条规定的条件</w:t>
            </w:r>
            <w:r>
              <w:rPr>
                <w:rFonts w:hint="eastAsia"/>
              </w:rPr>
              <w:t>（说明：若接受联合体响应且为联合体响应的，各方均需满足）</w:t>
            </w:r>
          </w:p>
        </w:tc>
        <w:tc>
          <w:tcPr>
            <w:tcW w:w="4834" w:type="dxa"/>
            <w:gridSpan w:val="3"/>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cs="宋体"/>
                <w:bCs/>
                <w:szCs w:val="24"/>
              </w:rPr>
            </w:pPr>
            <w:r>
              <w:rPr>
                <w:rFonts w:hint="eastAsia" w:ascii="宋体" w:hAnsi="宋体"/>
                <w:szCs w:val="24"/>
              </w:rPr>
              <w:t>1）具有独立承担民事责任的能力</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宋体"/>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vAlign w:val="center"/>
          </w:tcPr>
          <w:p/>
        </w:tc>
        <w:tc>
          <w:tcPr>
            <w:tcW w:w="4834" w:type="dxa"/>
            <w:gridSpan w:val="3"/>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cs="宋体"/>
                <w:bCs/>
                <w:szCs w:val="24"/>
              </w:rPr>
            </w:pPr>
            <w:r>
              <w:rPr>
                <w:rFonts w:hint="eastAsia" w:ascii="宋体" w:hAnsi="宋体"/>
                <w:szCs w:val="24"/>
              </w:rPr>
              <w:t>2）具有良好的商业信誉和健全的财务会计制度</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宋体"/>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4" w:type="dxa"/>
            <w:vMerge w:val="continue"/>
            <w:vAlign w:val="center"/>
          </w:tcPr>
          <w:p/>
        </w:tc>
        <w:tc>
          <w:tcPr>
            <w:tcW w:w="2746" w:type="dxa"/>
            <w:gridSpan w:val="2"/>
            <w:vMerge w:val="restart"/>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cs="宋体"/>
                <w:bCs/>
                <w:szCs w:val="24"/>
              </w:rPr>
            </w:pPr>
            <w:r>
              <w:rPr>
                <w:rFonts w:hint="eastAsia" w:ascii="宋体" w:hAnsi="宋体"/>
                <w:szCs w:val="24"/>
              </w:rPr>
              <w:t>3）具有依法缴纳税收和社会保障资金的良好记录</w:t>
            </w:r>
          </w:p>
        </w:tc>
        <w:tc>
          <w:tcPr>
            <w:tcW w:w="2088" w:type="dxa"/>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szCs w:val="24"/>
              </w:rPr>
            </w:pPr>
            <w:r>
              <w:rPr>
                <w:rFonts w:hint="eastAsia" w:ascii="宋体" w:hAnsi="宋体" w:cs="宋体"/>
                <w:kern w:val="0"/>
                <w:szCs w:val="24"/>
              </w:rPr>
              <w:t>依法缴纳税收</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宋体"/>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vAlign w:val="center"/>
          </w:tcPr>
          <w:p/>
        </w:tc>
        <w:tc>
          <w:tcPr>
            <w:tcW w:w="2746" w:type="dxa"/>
            <w:gridSpan w:val="2"/>
            <w:vMerge w:val="continue"/>
            <w:tcBorders>
              <w:top w:val="single" w:color="auto" w:sz="4" w:space="0"/>
              <w:left w:val="single" w:color="auto" w:sz="4" w:space="0"/>
              <w:right w:val="single" w:color="auto" w:sz="4" w:space="0"/>
            </w:tcBorders>
            <w:vAlign w:val="center"/>
          </w:tcPr>
          <w:p/>
        </w:tc>
        <w:tc>
          <w:tcPr>
            <w:tcW w:w="2088" w:type="dxa"/>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cs="宋体"/>
                <w:bCs/>
                <w:szCs w:val="24"/>
              </w:rPr>
            </w:pPr>
            <w:r>
              <w:rPr>
                <w:rFonts w:hint="eastAsia" w:ascii="宋体" w:hAnsi="宋体" w:cs="宋体"/>
                <w:kern w:val="0"/>
                <w:szCs w:val="24"/>
              </w:rPr>
              <w:t>依法缴纳社会保障资金</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宋体"/>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vAlign w:val="center"/>
          </w:tcPr>
          <w:p/>
        </w:tc>
        <w:tc>
          <w:tcPr>
            <w:tcW w:w="4834" w:type="dxa"/>
            <w:gridSpan w:val="3"/>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cs="宋体"/>
                <w:bCs/>
                <w:szCs w:val="24"/>
              </w:rPr>
            </w:pPr>
            <w:r>
              <w:rPr>
                <w:rFonts w:hint="eastAsia" w:ascii="宋体" w:hAnsi="宋体"/>
                <w:szCs w:val="24"/>
              </w:rPr>
              <w:t>4）具有履行合同所必需的设备和专业技术能力</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宋体"/>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vAlign w:val="center"/>
          </w:tcPr>
          <w:p/>
        </w:tc>
        <w:tc>
          <w:tcPr>
            <w:tcW w:w="4834" w:type="dxa"/>
            <w:gridSpan w:val="3"/>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cs="宋体"/>
                <w:bCs/>
                <w:szCs w:val="24"/>
              </w:rPr>
            </w:pPr>
            <w:r>
              <w:rPr>
                <w:rFonts w:hint="eastAsia" w:ascii="宋体" w:hAnsi="宋体"/>
                <w:szCs w:val="24"/>
              </w:rPr>
              <w:t>5）参加政府采购活动前三年内，在经营活动中没有重大违法记录</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宋体"/>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4" w:type="dxa"/>
            <w:vAlign w:val="center"/>
          </w:tcPr>
          <w:p>
            <w:pPr>
              <w:rPr>
                <w:rFonts w:ascii="宋体" w:hAnsi="宋体" w:cs="宋体"/>
                <w:bCs/>
                <w:szCs w:val="24"/>
              </w:rPr>
            </w:pPr>
            <w:r>
              <w:rPr>
                <w:rFonts w:hint="eastAsia" w:ascii="宋体" w:hAnsi="宋体" w:cs="宋体"/>
                <w:b/>
                <w:szCs w:val="24"/>
              </w:rPr>
              <w:t>2.落实政府采购政策需满足的资格要求</w:t>
            </w:r>
          </w:p>
        </w:tc>
        <w:tc>
          <w:tcPr>
            <w:tcW w:w="4834" w:type="dxa"/>
            <w:gridSpan w:val="3"/>
            <w:tcBorders>
              <w:top w:val="single" w:color="auto" w:sz="4" w:space="0"/>
              <w:left w:val="single" w:color="auto" w:sz="4" w:space="0"/>
              <w:right w:val="single" w:color="auto" w:sz="4" w:space="0"/>
            </w:tcBorders>
            <w:vAlign w:val="center"/>
          </w:tcPr>
          <w:p>
            <w:pPr>
              <w:rPr>
                <w:rFonts w:ascii="宋体" w:hAnsi="宋体" w:cs="宋体"/>
                <w:b/>
                <w:szCs w:val="24"/>
              </w:rPr>
            </w:pPr>
            <w:r>
              <w:rPr>
                <w:rFonts w:hint="eastAsia" w:ascii="宋体" w:hAnsi="宋体" w:cs="宋体"/>
                <w:kern w:val="0"/>
                <w:szCs w:val="24"/>
              </w:rPr>
              <w:t>（</w:t>
            </w:r>
            <w:r>
              <w:rPr>
                <w:rFonts w:hint="eastAsia" w:ascii="宋体" w:hAnsi="宋体" w:cs="宋体"/>
                <w:szCs w:val="24"/>
              </w:rPr>
              <w:t>供应商</w:t>
            </w:r>
            <w:r>
              <w:rPr>
                <w:rFonts w:hint="eastAsia" w:ascii="宋体" w:hAnsi="宋体"/>
                <w:szCs w:val="24"/>
              </w:rPr>
              <w:t>自行查阅本文件《磋商邀请》的“二、申请人的资格要求”，如属于专门面向中小企业采购的项目，须提供中小微企业的相关证明文件，若要求以联合体形式报价的，还须提供《联合协议》；若要求以合同分包形式报价的，还须提供《分包意向协议》。</w:t>
            </w:r>
            <w:r>
              <w:rPr>
                <w:rFonts w:hint="eastAsia" w:ascii="宋体" w:hAnsi="宋体" w:cs="宋体"/>
                <w:kern w:val="0"/>
                <w:szCs w:val="24"/>
              </w:rPr>
              <w:t>）</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宋体"/>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restart"/>
            <w:vAlign w:val="center"/>
          </w:tcPr>
          <w:p>
            <w:pPr>
              <w:rPr>
                <w:rFonts w:ascii="宋体" w:hAnsi="宋体" w:cs="宋体"/>
                <w:bCs/>
                <w:szCs w:val="24"/>
              </w:rPr>
            </w:pPr>
            <w:r>
              <w:rPr>
                <w:rFonts w:hint="eastAsia" w:ascii="宋体" w:hAnsi="宋体" w:cs="宋体"/>
                <w:b/>
                <w:szCs w:val="24"/>
              </w:rPr>
              <w:t>3.本项目的特定资格要求</w:t>
            </w:r>
          </w:p>
        </w:tc>
        <w:tc>
          <w:tcPr>
            <w:tcW w:w="750" w:type="dxa"/>
            <w:vMerge w:val="restart"/>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cs="宋体"/>
                <w:bCs/>
                <w:szCs w:val="24"/>
              </w:rPr>
            </w:pPr>
            <w:r>
              <w:rPr>
                <w:rFonts w:hint="eastAsia" w:ascii="宋体" w:hAnsi="宋体"/>
                <w:szCs w:val="24"/>
              </w:rPr>
              <w:t>（1）信用记录</w:t>
            </w:r>
          </w:p>
        </w:tc>
        <w:tc>
          <w:tcPr>
            <w:tcW w:w="4084" w:type="dxa"/>
            <w:gridSpan w:val="2"/>
            <w:tcBorders>
              <w:top w:val="single" w:color="auto" w:sz="4" w:space="0"/>
              <w:left w:val="single" w:color="auto" w:sz="4" w:space="0"/>
              <w:right w:val="single" w:color="auto" w:sz="4" w:space="0"/>
            </w:tcBorders>
            <w:vAlign w:val="center"/>
          </w:tcPr>
          <w:p>
            <w:pPr>
              <w:rPr>
                <w:rFonts w:ascii="宋体" w:hAnsi="宋体" w:cs="宋体"/>
                <w:bCs/>
                <w:szCs w:val="24"/>
              </w:rPr>
            </w:pPr>
            <w:r>
              <w:rPr>
                <w:rFonts w:hint="eastAsia" w:ascii="宋体" w:hAnsi="宋体" w:cs="宋体"/>
                <w:kern w:val="0"/>
                <w:szCs w:val="24"/>
              </w:rPr>
              <w:t>“信用中国”网：未被列入①“记录失信被执行人”、</w:t>
            </w:r>
            <w:r>
              <w:rPr>
                <w:rFonts w:ascii="Calibri" w:hAnsi="Calibri"/>
                <w:sz w:val="21"/>
              </w:rPr>
              <w:t xml:space="preserve"> </w:t>
            </w:r>
            <w:r>
              <w:rPr>
                <w:rFonts w:hint="eastAsia" w:ascii="宋体" w:hAnsi="宋体" w:cs="宋体"/>
                <w:kern w:val="0"/>
                <w:szCs w:val="24"/>
              </w:rPr>
              <w:t>②“重大税收违法失信主体”、</w:t>
            </w:r>
            <w:r>
              <w:rPr>
                <w:rFonts w:ascii="Calibri" w:hAnsi="Calibri"/>
                <w:sz w:val="21"/>
              </w:rPr>
              <w:t xml:space="preserve"> </w:t>
            </w:r>
            <w:r>
              <w:rPr>
                <w:rFonts w:hint="eastAsia" w:ascii="宋体" w:hAnsi="宋体" w:cs="宋体"/>
                <w:kern w:val="0"/>
                <w:szCs w:val="24"/>
              </w:rPr>
              <w:t>③“政府采购严重违法失信行为”记录名单</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宋体"/>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vAlign w:val="center"/>
          </w:tcPr>
          <w:p/>
        </w:tc>
        <w:tc>
          <w:tcPr>
            <w:tcW w:w="750" w:type="dxa"/>
            <w:vMerge w:val="continue"/>
            <w:tcBorders>
              <w:top w:val="single" w:color="auto" w:sz="4" w:space="0"/>
              <w:left w:val="single" w:color="auto" w:sz="4" w:space="0"/>
              <w:right w:val="single" w:color="auto" w:sz="4" w:space="0"/>
            </w:tcBorders>
            <w:vAlign w:val="center"/>
          </w:tcPr>
          <w:p/>
        </w:tc>
        <w:tc>
          <w:tcPr>
            <w:tcW w:w="4084" w:type="dxa"/>
            <w:gridSpan w:val="2"/>
            <w:tcBorders>
              <w:top w:val="single" w:color="auto" w:sz="4" w:space="0"/>
              <w:left w:val="single" w:color="auto" w:sz="4" w:space="0"/>
              <w:right w:val="single" w:color="auto" w:sz="4" w:space="0"/>
            </w:tcBorders>
            <w:vAlign w:val="center"/>
          </w:tcPr>
          <w:p>
            <w:pPr>
              <w:rPr>
                <w:rFonts w:ascii="宋体" w:hAnsi="宋体" w:cs="宋体"/>
                <w:b/>
                <w:bCs/>
                <w:szCs w:val="24"/>
              </w:rPr>
            </w:pPr>
            <w:r>
              <w:rPr>
                <w:rFonts w:hint="eastAsia" w:ascii="宋体" w:hAnsi="宋体" w:cs="宋体"/>
                <w:kern w:val="0"/>
                <w:szCs w:val="24"/>
              </w:rPr>
              <w:t>中国政府采购网 ：未被列入“政府采购严重违法失信行为信息记录”</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宋体"/>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vAlign w:val="center"/>
          </w:tcPr>
          <w:p/>
        </w:tc>
        <w:tc>
          <w:tcPr>
            <w:tcW w:w="4834" w:type="dxa"/>
            <w:gridSpan w:val="3"/>
            <w:tcBorders>
              <w:top w:val="single" w:color="auto" w:sz="4" w:space="0"/>
              <w:left w:val="single" w:color="auto" w:sz="4" w:space="0"/>
              <w:right w:val="single" w:color="auto" w:sz="4" w:space="0"/>
            </w:tcBorders>
            <w:vAlign w:val="center"/>
          </w:tcPr>
          <w:p>
            <w:pPr>
              <w:wordWrap w:val="0"/>
              <w:autoSpaceDE w:val="0"/>
              <w:autoSpaceDN w:val="0"/>
              <w:jc w:val="left"/>
              <w:rPr>
                <w:rFonts w:ascii="宋体" w:hAnsi="宋体" w:cs="宋体"/>
                <w:b/>
                <w:bCs/>
                <w:szCs w:val="24"/>
              </w:rPr>
            </w:pPr>
            <w:r>
              <w:rPr>
                <w:rFonts w:hint="eastAsia" w:ascii="宋体" w:hAnsi="宋体"/>
                <w:szCs w:val="24"/>
              </w:rPr>
              <w:t>（2）法律、行政法规规定的其他条件</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宋体"/>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4" w:type="dxa"/>
            <w:vMerge w:val="continue"/>
            <w:vAlign w:val="center"/>
          </w:tcPr>
          <w:p/>
        </w:tc>
        <w:tc>
          <w:tcPr>
            <w:tcW w:w="4834" w:type="dxa"/>
            <w:gridSpan w:val="3"/>
            <w:tcBorders>
              <w:top w:val="single" w:color="auto" w:sz="4" w:space="0"/>
              <w:left w:val="single" w:color="auto" w:sz="4" w:space="0"/>
              <w:right w:val="single" w:color="auto" w:sz="4" w:space="0"/>
            </w:tcBorders>
            <w:vAlign w:val="center"/>
          </w:tcPr>
          <w:p>
            <w:pPr>
              <w:rPr>
                <w:rFonts w:ascii="宋体" w:hAnsi="宋体" w:cs="宋体"/>
                <w:b/>
                <w:bCs/>
                <w:szCs w:val="24"/>
              </w:rPr>
            </w:pPr>
            <w:r>
              <w:rPr>
                <w:rFonts w:hint="eastAsia" w:ascii="宋体" w:hAnsi="宋体" w:cs="宋体"/>
                <w:bCs/>
                <w:szCs w:val="24"/>
              </w:rPr>
              <w:t>（3）已按磋商公告及磋商文件的规定获取了磋商文件</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Calibri"/>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vAlign w:val="center"/>
          </w:tcPr>
          <w:p/>
        </w:tc>
        <w:tc>
          <w:tcPr>
            <w:tcW w:w="4834" w:type="dxa"/>
            <w:gridSpan w:val="3"/>
            <w:tcBorders>
              <w:top w:val="single" w:color="auto" w:sz="4" w:space="0"/>
              <w:left w:val="single" w:color="auto" w:sz="4" w:space="0"/>
              <w:right w:val="single" w:color="auto" w:sz="4" w:space="0"/>
            </w:tcBorders>
            <w:vAlign w:val="center"/>
          </w:tcPr>
          <w:p>
            <w:pPr>
              <w:rPr>
                <w:rFonts w:ascii="宋体" w:hAnsi="宋体" w:cs="宋体"/>
                <w:bCs/>
                <w:szCs w:val="24"/>
              </w:rPr>
            </w:pPr>
            <w:r>
              <w:rPr>
                <w:rFonts w:hint="eastAsia" w:ascii="宋体" w:hAnsi="宋体" w:cs="宋体"/>
                <w:bCs/>
                <w:szCs w:val="24"/>
              </w:rPr>
              <w:t>（4）关于联合体报价（是否接受联合体报价详见</w:t>
            </w:r>
            <w:r>
              <w:rPr>
                <w:rFonts w:hint="eastAsia" w:ascii="宋体" w:hAnsi="宋体" w:cs="宋体"/>
                <w:szCs w:val="24"/>
              </w:rPr>
              <w:t>本文件《磋商邀请》的</w:t>
            </w:r>
            <w:r>
              <w:rPr>
                <w:rFonts w:hint="eastAsia" w:ascii="宋体" w:hAnsi="宋体" w:cs="宋体"/>
                <w:bCs/>
                <w:szCs w:val="24"/>
              </w:rPr>
              <w:t>“二、申请人的资格要求”）</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Calibri"/>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p>
            <w:pPr>
              <w:wordWrap w:val="0"/>
              <w:autoSpaceDE w:val="0"/>
              <w:autoSpaceDN w:val="0"/>
              <w:jc w:val="center"/>
              <w:rPr>
                <w:rFonts w:ascii="宋体" w:hAnsi="宋体" w:cs="宋体"/>
                <w:szCs w:val="24"/>
              </w:rPr>
            </w:pPr>
            <w:r>
              <w:rPr>
                <w:rFonts w:hint="eastAsia" w:ascii="宋体" w:hAnsi="宋体" w:cs="宋体"/>
                <w:szCs w:val="24"/>
              </w:rPr>
              <w:t>□不适用</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vAlign w:val="center"/>
          </w:tcPr>
          <w:p/>
        </w:tc>
        <w:tc>
          <w:tcPr>
            <w:tcW w:w="4834" w:type="dxa"/>
            <w:gridSpan w:val="3"/>
            <w:tcBorders>
              <w:top w:val="single" w:color="auto" w:sz="4" w:space="0"/>
              <w:left w:val="single" w:color="auto" w:sz="4" w:space="0"/>
              <w:right w:val="single" w:color="auto" w:sz="4" w:space="0"/>
            </w:tcBorders>
            <w:vAlign w:val="center"/>
          </w:tcPr>
          <w:p>
            <w:pPr>
              <w:rPr>
                <w:rFonts w:ascii="宋体" w:hAnsi="宋体" w:cs="宋体"/>
                <w:bCs/>
                <w:szCs w:val="24"/>
              </w:rPr>
            </w:pPr>
            <w:r>
              <w:rPr>
                <w:rFonts w:hint="eastAsia" w:ascii="宋体" w:hAnsi="宋体" w:cs="宋体"/>
                <w:bCs/>
                <w:szCs w:val="24"/>
              </w:rPr>
              <w:t>（5）供应商应当具备的其他资格条件</w:t>
            </w:r>
            <w:r>
              <w:rPr>
                <w:rFonts w:hint="eastAsia" w:ascii="宋体" w:hAnsi="宋体"/>
                <w:bCs/>
                <w:szCs w:val="24"/>
              </w:rPr>
              <w:t>（</w:t>
            </w:r>
            <w:r>
              <w:rPr>
                <w:rFonts w:hint="eastAsia" w:ascii="宋体" w:hAnsi="宋体" w:cs="宋体"/>
                <w:szCs w:val="24"/>
              </w:rPr>
              <w:t>供应商</w:t>
            </w:r>
            <w:r>
              <w:rPr>
                <w:rFonts w:hint="eastAsia" w:ascii="Calibri" w:hAnsi="Calibri"/>
                <w:szCs w:val="24"/>
              </w:rPr>
              <w:t>自行查阅本文件《磋商邀请》的“二、申请人的资格要求”，如要求，</w:t>
            </w:r>
            <w:r>
              <w:rPr>
                <w:rFonts w:hint="eastAsia" w:ascii="宋体" w:hAnsi="宋体" w:cs="宋体"/>
                <w:szCs w:val="24"/>
              </w:rPr>
              <w:t>供应商</w:t>
            </w:r>
            <w:r>
              <w:rPr>
                <w:rFonts w:hint="eastAsia" w:ascii="Calibri" w:hAnsi="Calibri"/>
                <w:szCs w:val="24"/>
              </w:rPr>
              <w:t>须按磋商文件的规定提供证明文件）</w:t>
            </w:r>
          </w:p>
        </w:tc>
        <w:tc>
          <w:tcPr>
            <w:tcW w:w="122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s="Calibri"/>
                <w:szCs w:val="24"/>
              </w:rPr>
            </w:pPr>
            <w:r>
              <w:rPr>
                <w:rFonts w:hint="eastAsia" w:ascii="宋体" w:hAnsi="宋体" w:cs="宋体"/>
                <w:szCs w:val="24"/>
              </w:rPr>
              <w:t>□通  过</w:t>
            </w:r>
          </w:p>
          <w:p>
            <w:pPr>
              <w:wordWrap w:val="0"/>
              <w:autoSpaceDE w:val="0"/>
              <w:autoSpaceDN w:val="0"/>
              <w:jc w:val="center"/>
              <w:rPr>
                <w:rFonts w:ascii="宋体" w:hAnsi="宋体" w:cs="宋体"/>
                <w:szCs w:val="24"/>
              </w:rPr>
            </w:pPr>
            <w:r>
              <w:rPr>
                <w:rFonts w:hint="eastAsia" w:ascii="宋体" w:hAnsi="宋体" w:cs="宋体"/>
                <w:szCs w:val="24"/>
              </w:rPr>
              <w:t>□不通过</w:t>
            </w:r>
          </w:p>
          <w:p>
            <w:pPr>
              <w:wordWrap w:val="0"/>
              <w:autoSpaceDE w:val="0"/>
              <w:autoSpaceDN w:val="0"/>
              <w:jc w:val="center"/>
              <w:rPr>
                <w:rFonts w:ascii="宋体" w:hAnsi="宋体" w:cs="宋体"/>
                <w:szCs w:val="24"/>
              </w:rPr>
            </w:pPr>
            <w:r>
              <w:rPr>
                <w:rFonts w:hint="eastAsia" w:ascii="宋体" w:hAnsi="宋体" w:cs="宋体"/>
                <w:szCs w:val="24"/>
              </w:rPr>
              <w:t>□不适用</w:t>
            </w:r>
          </w:p>
        </w:tc>
        <w:tc>
          <w:tcPr>
            <w:tcW w:w="1473" w:type="dxa"/>
            <w:vAlign w:val="center"/>
          </w:tcPr>
          <w:p>
            <w:pPr>
              <w:wordWrap w:val="0"/>
              <w:autoSpaceDE w:val="0"/>
              <w:autoSpaceDN w:val="0"/>
              <w:jc w:val="center"/>
              <w:rPr>
                <w:rFonts w:ascii="宋体" w:hAnsi="宋体" w:cs="宋体"/>
                <w:szCs w:val="24"/>
              </w:rPr>
            </w:pPr>
            <w:r>
              <w:rPr>
                <w:rFonts w:hint="eastAsia" w:ascii="宋体" w:hAnsi="宋体" w:cs="宋体"/>
                <w:szCs w:val="24"/>
              </w:rPr>
              <w:t>第（  ）页</w:t>
            </w:r>
          </w:p>
        </w:tc>
      </w:tr>
    </w:tbl>
    <w:p>
      <w:pPr>
        <w:wordWrap w:val="0"/>
        <w:autoSpaceDE w:val="0"/>
        <w:autoSpaceDN w:val="0"/>
        <w:rPr>
          <w:rFonts w:ascii="宋体" w:hAnsi="宋体"/>
          <w:b/>
          <w:szCs w:val="24"/>
        </w:rPr>
      </w:pPr>
    </w:p>
    <w:p>
      <w:pPr>
        <w:wordWrap w:val="0"/>
        <w:autoSpaceDE w:val="0"/>
        <w:autoSpaceDN w:val="0"/>
        <w:rPr>
          <w:rFonts w:ascii="宋体" w:hAnsi="宋体"/>
          <w:szCs w:val="24"/>
        </w:rPr>
      </w:pPr>
      <w:r>
        <w:rPr>
          <w:rFonts w:hint="eastAsia" w:ascii="宋体" w:hAnsi="宋体"/>
          <w:b/>
          <w:szCs w:val="24"/>
        </w:rPr>
        <w:t>备注</w:t>
      </w:r>
      <w:r>
        <w:rPr>
          <w:rFonts w:hint="eastAsia" w:ascii="宋体" w:hAnsi="宋体"/>
          <w:szCs w:val="24"/>
        </w:rPr>
        <w:t>：</w:t>
      </w:r>
    </w:p>
    <w:p>
      <w:pPr>
        <w:wordWrap w:val="0"/>
        <w:autoSpaceDE w:val="0"/>
        <w:autoSpaceDN w:val="0"/>
        <w:ind w:firstLine="480" w:firstLineChars="200"/>
        <w:rPr>
          <w:rFonts w:ascii="宋体" w:hAnsi="宋体"/>
          <w:szCs w:val="24"/>
        </w:rPr>
      </w:pPr>
      <w:r>
        <w:rPr>
          <w:rFonts w:hint="eastAsia" w:ascii="宋体" w:hAnsi="宋体"/>
          <w:szCs w:val="24"/>
        </w:rPr>
        <w:t>1.以上材料将作为供应商资格性审核的重要内容之一，供应商应当严格按照其内容及序列要求在响应文件中对应如实提供，对资格证明文件的任何缺漏和不符合项将会直接导致无效响应！</w:t>
      </w:r>
    </w:p>
    <w:p>
      <w:pPr>
        <w:wordWrap w:val="0"/>
        <w:autoSpaceDE w:val="0"/>
        <w:autoSpaceDN w:val="0"/>
        <w:ind w:firstLine="480" w:firstLineChars="200"/>
        <w:rPr>
          <w:rFonts w:ascii="宋体" w:hAnsi="宋体"/>
          <w:szCs w:val="24"/>
        </w:rPr>
      </w:pPr>
      <w:r>
        <w:rPr>
          <w:rFonts w:hint="eastAsia" w:ascii="宋体" w:hAnsi="宋体"/>
          <w:szCs w:val="24"/>
        </w:rPr>
        <w:t>2.请根据自身响应情况勾选（在□内打√）“自查结论”栏目相应结论。</w:t>
      </w:r>
    </w:p>
    <w:p>
      <w:pPr>
        <w:wordWrap w:val="0"/>
        <w:autoSpaceDE w:val="0"/>
        <w:autoSpaceDN w:val="0"/>
        <w:ind w:firstLine="480" w:firstLineChars="200"/>
        <w:rPr>
          <w:rFonts w:ascii="宋体" w:hAnsi="宋体"/>
          <w:szCs w:val="24"/>
        </w:rPr>
      </w:pPr>
      <w:r>
        <w:rPr>
          <w:rFonts w:hint="eastAsia" w:ascii="宋体" w:hAnsi="宋体"/>
          <w:szCs w:val="24"/>
        </w:rPr>
        <w:t>3.供应商资格条件详见磋商公告及本文件《磋商邀请》“二、申请人的资格要求”，</w:t>
      </w:r>
      <w:r>
        <w:rPr>
          <w:rFonts w:hint="eastAsia" w:ascii="宋体" w:hAnsi="宋体"/>
          <w:b/>
          <w:szCs w:val="24"/>
        </w:rPr>
        <w:t>有关证明材料按响应文件格式第4.条的说明提供。</w:t>
      </w:r>
    </w:p>
    <w:p>
      <w:pPr>
        <w:wordWrap w:val="0"/>
        <w:autoSpaceDE w:val="0"/>
        <w:autoSpaceDN w:val="0"/>
        <w:rPr>
          <w:rFonts w:ascii="宋体" w:hAnsi="宋体"/>
          <w:szCs w:val="24"/>
        </w:rPr>
      </w:pPr>
    </w:p>
    <w:p>
      <w:pPr>
        <w:pStyle w:val="6"/>
        <w:numPr>
          <w:ilvl w:val="0"/>
          <w:numId w:val="0"/>
        </w:numPr>
        <w:tabs>
          <w:tab w:val="left" w:pos="945"/>
        </w:tabs>
        <w:rPr>
          <w:rFonts w:ascii="宋体" w:hAnsi="宋体"/>
          <w:szCs w:val="24"/>
        </w:rPr>
      </w:pPr>
      <w:r>
        <w:rPr>
          <w:rFonts w:hint="eastAsia" w:ascii="宋体" w:hAnsi="宋体"/>
          <w:szCs w:val="24"/>
        </w:rPr>
        <w:br w:type="page"/>
      </w:r>
      <w:r>
        <w:rPr>
          <w:rFonts w:hint="eastAsia" w:ascii="宋体" w:hAnsi="宋体"/>
          <w:szCs w:val="24"/>
        </w:rPr>
        <w:t>1.2符合性自查表</w:t>
      </w:r>
    </w:p>
    <w:p>
      <w:pPr>
        <w:wordWrap w:val="0"/>
        <w:autoSpaceDE w:val="0"/>
        <w:autoSpaceDN w:val="0"/>
        <w:jc w:val="center"/>
        <w:rPr>
          <w:rFonts w:ascii="宋体" w:hAnsi="宋体"/>
          <w:b/>
          <w:sz w:val="32"/>
          <w:szCs w:val="32"/>
        </w:rPr>
      </w:pPr>
      <w:r>
        <w:rPr>
          <w:rFonts w:hint="eastAsia" w:ascii="宋体" w:hAnsi="宋体"/>
          <w:b/>
          <w:sz w:val="32"/>
          <w:szCs w:val="32"/>
        </w:rPr>
        <w:t>符合性自查表</w:t>
      </w:r>
    </w:p>
    <w:p>
      <w:pPr>
        <w:wordWrap w:val="0"/>
        <w:autoSpaceDE w:val="0"/>
        <w:autoSpaceDN w:val="0"/>
        <w:rPr>
          <w:rFonts w:ascii="宋体" w:hAnsi="宋体"/>
          <w:szCs w:val="24"/>
        </w:rPr>
      </w:pPr>
      <w:r>
        <w:rPr>
          <w:rFonts w:hint="eastAsia" w:ascii="宋体" w:hAnsi="宋体"/>
          <w:szCs w:val="24"/>
        </w:rPr>
        <w:t>采购项目名称：2026-2027年广州白云机场海关南1、2号楼物业管理服务</w:t>
      </w:r>
    </w:p>
    <w:p>
      <w:pPr>
        <w:wordWrap w:val="0"/>
        <w:autoSpaceDE w:val="0"/>
        <w:autoSpaceDN w:val="0"/>
        <w:rPr>
          <w:rFonts w:ascii="宋体" w:hAnsi="宋体"/>
          <w:szCs w:val="24"/>
        </w:rPr>
      </w:pPr>
      <w:r>
        <w:rPr>
          <w:rFonts w:hint="eastAsia" w:ascii="宋体" w:hAnsi="宋体"/>
          <w:szCs w:val="24"/>
        </w:rPr>
        <w:t>采购包号：</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5449"/>
        <w:gridCol w:w="1350"/>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wordWrap/>
              <w:autoSpaceDE w:val="0"/>
              <w:autoSpaceDN w:val="0"/>
              <w:spacing w:line="312" w:lineRule="auto"/>
              <w:jc w:val="center"/>
              <w:rPr>
                <w:rFonts w:ascii="宋体" w:hAnsi="宋体"/>
                <w:b/>
                <w:szCs w:val="24"/>
              </w:rPr>
            </w:pPr>
            <w:r>
              <w:rPr>
                <w:rFonts w:hint="eastAsia" w:ascii="宋体" w:hAnsi="宋体"/>
                <w:b/>
                <w:szCs w:val="24"/>
              </w:rPr>
              <w:t>序号</w:t>
            </w:r>
          </w:p>
        </w:tc>
        <w:tc>
          <w:tcPr>
            <w:tcW w:w="5449" w:type="dxa"/>
            <w:vAlign w:val="center"/>
          </w:tcPr>
          <w:p>
            <w:pPr>
              <w:wordWrap/>
              <w:autoSpaceDE w:val="0"/>
              <w:autoSpaceDN w:val="0"/>
              <w:spacing w:line="312" w:lineRule="auto"/>
              <w:jc w:val="center"/>
              <w:rPr>
                <w:rFonts w:ascii="宋体" w:hAnsi="宋体"/>
                <w:b/>
                <w:szCs w:val="24"/>
              </w:rPr>
            </w:pPr>
            <w:r>
              <w:rPr>
                <w:rFonts w:hint="eastAsia" w:ascii="宋体" w:hAnsi="宋体"/>
                <w:b/>
                <w:szCs w:val="24"/>
              </w:rPr>
              <w:t>审查项目</w:t>
            </w:r>
          </w:p>
          <w:p>
            <w:pPr>
              <w:wordWrap/>
              <w:autoSpaceDE w:val="0"/>
              <w:autoSpaceDN w:val="0"/>
              <w:spacing w:line="312" w:lineRule="auto"/>
              <w:jc w:val="center"/>
              <w:rPr>
                <w:rFonts w:ascii="宋体" w:hAnsi="宋体"/>
                <w:b/>
                <w:szCs w:val="24"/>
              </w:rPr>
            </w:pPr>
            <w:r>
              <w:rPr>
                <w:rFonts w:hint="eastAsia" w:ascii="宋体" w:hAnsi="宋体" w:cs="宋体"/>
                <w:szCs w:val="24"/>
              </w:rPr>
              <w:t>（按《评审办法》的附表2《符合性审查表》</w:t>
            </w:r>
            <w:r>
              <w:rPr>
                <w:rFonts w:hint="eastAsia" w:ascii="宋体" w:hAnsi="宋体" w:cs="宋体"/>
                <w:b/>
                <w:szCs w:val="24"/>
              </w:rPr>
              <w:t>（初步审查部分）</w:t>
            </w:r>
            <w:r>
              <w:rPr>
                <w:rFonts w:hint="eastAsia" w:ascii="宋体" w:hAnsi="宋体" w:cs="宋体"/>
                <w:szCs w:val="24"/>
              </w:rPr>
              <w:t>各项）</w:t>
            </w:r>
          </w:p>
        </w:tc>
        <w:tc>
          <w:tcPr>
            <w:tcW w:w="1350" w:type="dxa"/>
            <w:vAlign w:val="center"/>
          </w:tcPr>
          <w:p>
            <w:pPr>
              <w:wordWrap/>
              <w:autoSpaceDE w:val="0"/>
              <w:autoSpaceDN w:val="0"/>
              <w:spacing w:line="312" w:lineRule="auto"/>
              <w:jc w:val="center"/>
              <w:rPr>
                <w:rFonts w:ascii="宋体" w:hAnsi="宋体"/>
                <w:b/>
                <w:szCs w:val="24"/>
              </w:rPr>
            </w:pPr>
            <w:r>
              <w:rPr>
                <w:rFonts w:ascii="宋体" w:hAnsi="宋体"/>
                <w:b/>
                <w:szCs w:val="24"/>
              </w:rPr>
              <w:t>自查结论</w:t>
            </w:r>
          </w:p>
        </w:tc>
        <w:tc>
          <w:tcPr>
            <w:tcW w:w="1487" w:type="dxa"/>
            <w:vAlign w:val="center"/>
          </w:tcPr>
          <w:p>
            <w:pPr>
              <w:wordWrap/>
              <w:autoSpaceDE w:val="0"/>
              <w:autoSpaceDN w:val="0"/>
              <w:spacing w:line="312" w:lineRule="auto"/>
              <w:jc w:val="center"/>
              <w:rPr>
                <w:rFonts w:ascii="宋体" w:hAnsi="宋体"/>
                <w:b/>
                <w:szCs w:val="24"/>
              </w:rPr>
            </w:pPr>
            <w:r>
              <w:rPr>
                <w:rFonts w:ascii="宋体" w:hAnsi="宋体"/>
                <w:b/>
                <w:szCs w:val="24"/>
              </w:rPr>
              <w:t>证明资料</w:t>
            </w:r>
            <w:r>
              <w:rPr>
                <w:rFonts w:hint="eastAsia" w:ascii="宋体" w:hAnsi="宋体"/>
                <w:b/>
                <w:szCs w:val="24"/>
              </w:rPr>
              <w:t>所在页码范围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numPr>
                <w:ilvl w:val="0"/>
                <w:numId w:val="60"/>
              </w:numPr>
              <w:wordWrap/>
              <w:autoSpaceDE w:val="0"/>
              <w:autoSpaceDN w:val="0"/>
              <w:spacing w:line="312" w:lineRule="auto"/>
              <w:ind w:left="0" w:firstLine="0"/>
              <w:jc w:val="center"/>
              <w:rPr>
                <w:rFonts w:ascii="宋体" w:hAnsi="宋体"/>
                <w:szCs w:val="24"/>
              </w:rPr>
            </w:pPr>
          </w:p>
        </w:tc>
        <w:tc>
          <w:tcPr>
            <w:tcW w:w="544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报价函</w:t>
            </w:r>
          </w:p>
        </w:tc>
        <w:tc>
          <w:tcPr>
            <w:tcW w:w="1350" w:type="dxa"/>
            <w:tcBorders>
              <w:top w:val="single" w:color="auto" w:sz="4" w:space="0"/>
              <w:left w:val="single" w:color="auto" w:sz="4" w:space="0"/>
              <w:right w:val="single" w:color="auto" w:sz="4" w:space="0"/>
            </w:tcBorders>
            <w:vAlign w:val="center"/>
          </w:tcPr>
          <w:p>
            <w:pPr>
              <w:wordWrap/>
              <w:autoSpaceDE w:val="0"/>
              <w:autoSpaceDN w:val="0"/>
              <w:spacing w:line="312" w:lineRule="auto"/>
              <w:jc w:val="center"/>
              <w:rPr>
                <w:rFonts w:ascii="宋体" w:hAnsi="宋体"/>
                <w:szCs w:val="24"/>
              </w:rPr>
            </w:pPr>
            <w:r>
              <w:rPr>
                <w:rFonts w:ascii="宋体" w:hAnsi="宋体" w:cs="Arial"/>
                <w:szCs w:val="24"/>
              </w:rPr>
              <w:t>□</w:t>
            </w:r>
            <w:r>
              <w:rPr>
                <w:rFonts w:ascii="宋体" w:hAnsi="宋体"/>
                <w:szCs w:val="24"/>
              </w:rPr>
              <w:t>通</w:t>
            </w:r>
            <w:r>
              <w:rPr>
                <w:rFonts w:hint="eastAsia" w:ascii="宋体" w:hAnsi="宋体"/>
                <w:szCs w:val="24"/>
              </w:rPr>
              <w:t xml:space="preserve">  </w:t>
            </w:r>
            <w:r>
              <w:rPr>
                <w:rFonts w:ascii="宋体" w:hAnsi="宋体"/>
                <w:szCs w:val="24"/>
              </w:rPr>
              <w:t>过</w:t>
            </w:r>
          </w:p>
          <w:p>
            <w:pPr>
              <w:wordWrap/>
              <w:autoSpaceDE w:val="0"/>
              <w:autoSpaceDN w:val="0"/>
              <w:spacing w:line="312" w:lineRule="auto"/>
              <w:jc w:val="center"/>
              <w:rPr>
                <w:rFonts w:ascii="宋体" w:hAnsi="宋体"/>
                <w:szCs w:val="24"/>
              </w:rPr>
            </w:pPr>
            <w:r>
              <w:rPr>
                <w:rFonts w:ascii="宋体" w:hAnsi="宋体" w:cs="Arial"/>
                <w:szCs w:val="24"/>
              </w:rPr>
              <w:t>□</w:t>
            </w:r>
            <w:r>
              <w:rPr>
                <w:rFonts w:ascii="宋体" w:hAnsi="宋体"/>
                <w:szCs w:val="24"/>
              </w:rPr>
              <w:t>不通过</w:t>
            </w:r>
          </w:p>
        </w:tc>
        <w:tc>
          <w:tcPr>
            <w:tcW w:w="1487" w:type="dxa"/>
            <w:vAlign w:val="center"/>
          </w:tcPr>
          <w:p>
            <w:pPr>
              <w:wordWrap/>
              <w:autoSpaceDE w:val="0"/>
              <w:autoSpaceDN w:val="0"/>
              <w:spacing w:line="312" w:lineRule="auto"/>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numPr>
                <w:ilvl w:val="0"/>
                <w:numId w:val="60"/>
              </w:numPr>
              <w:wordWrap/>
              <w:autoSpaceDE w:val="0"/>
              <w:autoSpaceDN w:val="0"/>
              <w:spacing w:line="312" w:lineRule="auto"/>
              <w:ind w:left="0" w:firstLine="0"/>
              <w:jc w:val="center"/>
              <w:rPr>
                <w:rFonts w:ascii="宋体" w:hAnsi="宋体"/>
                <w:szCs w:val="24"/>
              </w:rPr>
            </w:pPr>
          </w:p>
        </w:tc>
        <w:tc>
          <w:tcPr>
            <w:tcW w:w="544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授权文件（如适用）</w:t>
            </w:r>
          </w:p>
        </w:tc>
        <w:tc>
          <w:tcPr>
            <w:tcW w:w="1350" w:type="dxa"/>
            <w:tcBorders>
              <w:top w:val="single" w:color="auto" w:sz="4" w:space="0"/>
              <w:left w:val="single" w:color="auto" w:sz="4" w:space="0"/>
              <w:right w:val="single" w:color="auto" w:sz="4" w:space="0"/>
            </w:tcBorders>
            <w:vAlign w:val="center"/>
          </w:tcPr>
          <w:p>
            <w:pPr>
              <w:wordWrap/>
              <w:autoSpaceDE w:val="0"/>
              <w:autoSpaceDN w:val="0"/>
              <w:spacing w:line="312" w:lineRule="auto"/>
              <w:jc w:val="center"/>
              <w:rPr>
                <w:rFonts w:ascii="宋体" w:hAnsi="宋体"/>
                <w:szCs w:val="24"/>
              </w:rPr>
            </w:pPr>
            <w:r>
              <w:rPr>
                <w:rFonts w:ascii="宋体" w:hAnsi="宋体" w:cs="Arial"/>
                <w:szCs w:val="24"/>
              </w:rPr>
              <w:t>□</w:t>
            </w:r>
            <w:r>
              <w:rPr>
                <w:rFonts w:ascii="宋体" w:hAnsi="宋体"/>
                <w:szCs w:val="24"/>
              </w:rPr>
              <w:t>通</w:t>
            </w:r>
            <w:r>
              <w:rPr>
                <w:rFonts w:hint="eastAsia" w:ascii="宋体" w:hAnsi="宋体"/>
                <w:szCs w:val="24"/>
              </w:rPr>
              <w:t xml:space="preserve">  </w:t>
            </w:r>
            <w:r>
              <w:rPr>
                <w:rFonts w:ascii="宋体" w:hAnsi="宋体"/>
                <w:szCs w:val="24"/>
              </w:rPr>
              <w:t>过</w:t>
            </w:r>
          </w:p>
          <w:p>
            <w:pPr>
              <w:wordWrap/>
              <w:autoSpaceDE w:val="0"/>
              <w:autoSpaceDN w:val="0"/>
              <w:spacing w:line="312" w:lineRule="auto"/>
              <w:jc w:val="center"/>
              <w:rPr>
                <w:rFonts w:ascii="宋体" w:hAnsi="宋体"/>
                <w:szCs w:val="24"/>
              </w:rPr>
            </w:pPr>
            <w:r>
              <w:rPr>
                <w:rFonts w:ascii="宋体" w:hAnsi="宋体" w:cs="Arial"/>
                <w:szCs w:val="24"/>
              </w:rPr>
              <w:t>□</w:t>
            </w:r>
            <w:r>
              <w:rPr>
                <w:rFonts w:ascii="宋体" w:hAnsi="宋体"/>
                <w:szCs w:val="24"/>
              </w:rPr>
              <w:t>不通过</w:t>
            </w:r>
          </w:p>
        </w:tc>
        <w:tc>
          <w:tcPr>
            <w:tcW w:w="1487" w:type="dxa"/>
            <w:vAlign w:val="center"/>
          </w:tcPr>
          <w:p>
            <w:pPr>
              <w:wordWrap/>
              <w:autoSpaceDE w:val="0"/>
              <w:autoSpaceDN w:val="0"/>
              <w:spacing w:line="312" w:lineRule="auto"/>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6" w:type="dxa"/>
            <w:vAlign w:val="center"/>
          </w:tcPr>
          <w:p>
            <w:pPr>
              <w:numPr>
                <w:ilvl w:val="0"/>
                <w:numId w:val="60"/>
              </w:numPr>
              <w:wordWrap/>
              <w:autoSpaceDE w:val="0"/>
              <w:autoSpaceDN w:val="0"/>
              <w:spacing w:line="312" w:lineRule="auto"/>
              <w:ind w:left="0" w:firstLine="0"/>
              <w:jc w:val="center"/>
              <w:rPr>
                <w:rFonts w:ascii="宋体" w:hAnsi="宋体"/>
                <w:szCs w:val="24"/>
              </w:rPr>
            </w:pPr>
          </w:p>
        </w:tc>
        <w:tc>
          <w:tcPr>
            <w:tcW w:w="5449" w:type="dxa"/>
            <w:tcBorders>
              <w:top w:val="single" w:color="auto" w:sz="4" w:space="0"/>
              <w:left w:val="single" w:color="auto" w:sz="4" w:space="0"/>
              <w:right w:val="single" w:color="auto" w:sz="4" w:space="0"/>
            </w:tcBorders>
            <w:vAlign w:val="center"/>
          </w:tcPr>
          <w:p>
            <w:pPr>
              <w:wordWrap/>
              <w:autoSpaceDE w:val="0"/>
              <w:autoSpaceDN w:val="0"/>
              <w:spacing w:line="312" w:lineRule="auto"/>
            </w:pPr>
            <w:r>
              <w:rPr>
                <w:rFonts w:hint="eastAsia"/>
              </w:rPr>
              <w:t>响应文件的签署、盖章（以下格式文件已按要求签署、盖章）：</w:t>
            </w:r>
          </w:p>
          <w:p>
            <w:pPr>
              <w:wordWrap/>
              <w:autoSpaceDE w:val="0"/>
              <w:autoSpaceDN w:val="0"/>
              <w:spacing w:line="312" w:lineRule="auto"/>
            </w:pPr>
            <w:r>
              <w:rPr>
                <w:rFonts w:hint="eastAsia"/>
              </w:rPr>
              <w:t>①报价函</w:t>
            </w:r>
          </w:p>
          <w:p>
            <w:pPr>
              <w:wordWrap/>
              <w:autoSpaceDE w:val="0"/>
              <w:autoSpaceDN w:val="0"/>
              <w:spacing w:line="312" w:lineRule="auto"/>
            </w:pPr>
            <w:r>
              <w:rPr>
                <w:rFonts w:hint="eastAsia"/>
              </w:rPr>
              <w:t>②供应商资格声明函</w:t>
            </w:r>
          </w:p>
          <w:p>
            <w:pPr>
              <w:wordWrap/>
              <w:autoSpaceDE w:val="0"/>
              <w:autoSpaceDN w:val="0"/>
              <w:spacing w:line="312" w:lineRule="auto"/>
            </w:pPr>
            <w:r>
              <w:rPr>
                <w:rFonts w:hint="eastAsia"/>
              </w:rPr>
              <w:t>③法定代表人（负责人）证明书及法定代表人（负责人）授权委托书（如适用）</w:t>
            </w:r>
          </w:p>
          <w:p>
            <w:pPr>
              <w:wordWrap/>
              <w:autoSpaceDE w:val="0"/>
              <w:autoSpaceDN w:val="0"/>
              <w:spacing w:line="312" w:lineRule="auto"/>
            </w:pPr>
            <w:r>
              <w:rPr>
                <w:rFonts w:hint="eastAsia"/>
              </w:rPr>
              <w:t>④首次报价一览表</w:t>
            </w:r>
          </w:p>
          <w:p>
            <w:pPr>
              <w:wordWrap/>
              <w:autoSpaceDE w:val="0"/>
              <w:autoSpaceDN w:val="0"/>
              <w:spacing w:line="312" w:lineRule="auto"/>
            </w:pPr>
            <w:r>
              <w:rPr>
                <w:rFonts w:hint="eastAsia"/>
              </w:rPr>
              <w:t>⑤分项报价明细表（如有）</w:t>
            </w:r>
          </w:p>
          <w:p>
            <w:pPr>
              <w:wordWrap w:val="0"/>
              <w:autoSpaceDE w:val="0"/>
              <w:autoSpaceDN w:val="0"/>
              <w:rPr>
                <w:rFonts w:ascii="宋体" w:hAnsi="宋体"/>
                <w:szCs w:val="24"/>
              </w:rPr>
            </w:pPr>
            <w:r>
              <w:rPr>
                <w:rFonts w:hint="eastAsia"/>
              </w:rPr>
              <w:t>⑥实质性响应一览表（如有）</w:t>
            </w:r>
          </w:p>
        </w:tc>
        <w:tc>
          <w:tcPr>
            <w:tcW w:w="1350" w:type="dxa"/>
            <w:tcBorders>
              <w:top w:val="single" w:color="auto" w:sz="4" w:space="0"/>
              <w:left w:val="single" w:color="auto" w:sz="4" w:space="0"/>
              <w:right w:val="single" w:color="auto" w:sz="4" w:space="0"/>
            </w:tcBorders>
            <w:vAlign w:val="center"/>
          </w:tcPr>
          <w:p>
            <w:pPr>
              <w:wordWrap/>
              <w:autoSpaceDE w:val="0"/>
              <w:autoSpaceDN w:val="0"/>
              <w:spacing w:line="312" w:lineRule="auto"/>
              <w:jc w:val="center"/>
              <w:rPr>
                <w:rFonts w:ascii="宋体" w:hAnsi="宋体"/>
                <w:szCs w:val="24"/>
              </w:rPr>
            </w:pPr>
            <w:r>
              <w:rPr>
                <w:rFonts w:ascii="宋体" w:hAnsi="宋体" w:cs="Arial"/>
                <w:szCs w:val="24"/>
              </w:rPr>
              <w:t>□</w:t>
            </w:r>
            <w:r>
              <w:rPr>
                <w:rFonts w:ascii="宋体" w:hAnsi="宋体"/>
                <w:szCs w:val="24"/>
              </w:rPr>
              <w:t>通</w:t>
            </w:r>
            <w:r>
              <w:rPr>
                <w:rFonts w:hint="eastAsia" w:ascii="宋体" w:hAnsi="宋体"/>
                <w:szCs w:val="24"/>
              </w:rPr>
              <w:t xml:space="preserve">  </w:t>
            </w:r>
            <w:r>
              <w:rPr>
                <w:rFonts w:ascii="宋体" w:hAnsi="宋体"/>
                <w:szCs w:val="24"/>
              </w:rPr>
              <w:t>过</w:t>
            </w:r>
          </w:p>
          <w:p>
            <w:pPr>
              <w:wordWrap/>
              <w:autoSpaceDE w:val="0"/>
              <w:autoSpaceDN w:val="0"/>
              <w:spacing w:line="312" w:lineRule="auto"/>
              <w:jc w:val="center"/>
              <w:rPr>
                <w:rFonts w:ascii="宋体" w:hAnsi="宋体"/>
                <w:szCs w:val="24"/>
              </w:rPr>
            </w:pPr>
            <w:r>
              <w:rPr>
                <w:rFonts w:ascii="宋体" w:hAnsi="宋体" w:cs="Arial"/>
                <w:szCs w:val="24"/>
              </w:rPr>
              <w:t>□</w:t>
            </w:r>
            <w:r>
              <w:rPr>
                <w:rFonts w:ascii="宋体" w:hAnsi="宋体"/>
                <w:szCs w:val="24"/>
              </w:rPr>
              <w:t>不通过</w:t>
            </w:r>
          </w:p>
        </w:tc>
        <w:tc>
          <w:tcPr>
            <w:tcW w:w="1487" w:type="dxa"/>
            <w:vAlign w:val="center"/>
          </w:tcPr>
          <w:p>
            <w:pPr>
              <w:wordWrap/>
              <w:autoSpaceDE w:val="0"/>
              <w:autoSpaceDN w:val="0"/>
              <w:spacing w:line="312" w:lineRule="auto"/>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numPr>
                <w:ilvl w:val="0"/>
                <w:numId w:val="60"/>
              </w:numPr>
              <w:wordWrap/>
              <w:autoSpaceDE w:val="0"/>
              <w:autoSpaceDN w:val="0"/>
              <w:spacing w:line="312" w:lineRule="auto"/>
              <w:ind w:left="0" w:firstLine="0"/>
              <w:jc w:val="center"/>
              <w:rPr>
                <w:rFonts w:ascii="宋体" w:hAnsi="宋体"/>
                <w:szCs w:val="24"/>
              </w:rPr>
            </w:pPr>
          </w:p>
        </w:tc>
        <w:tc>
          <w:tcPr>
            <w:tcW w:w="544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rPr>
              <w:t>“★”号条款响应</w:t>
            </w:r>
          </w:p>
        </w:tc>
        <w:tc>
          <w:tcPr>
            <w:tcW w:w="1350" w:type="dxa"/>
            <w:tcBorders>
              <w:top w:val="single" w:color="auto" w:sz="4" w:space="0"/>
              <w:left w:val="single" w:color="auto" w:sz="4" w:space="0"/>
              <w:right w:val="single" w:color="auto" w:sz="4" w:space="0"/>
            </w:tcBorders>
            <w:vAlign w:val="center"/>
          </w:tcPr>
          <w:p>
            <w:pPr>
              <w:wordWrap/>
              <w:autoSpaceDE w:val="0"/>
              <w:autoSpaceDN w:val="0"/>
              <w:spacing w:line="312" w:lineRule="auto"/>
              <w:jc w:val="center"/>
              <w:rPr>
                <w:rFonts w:ascii="宋体" w:hAnsi="宋体"/>
                <w:szCs w:val="24"/>
              </w:rPr>
            </w:pPr>
            <w:r>
              <w:rPr>
                <w:rFonts w:ascii="宋体" w:hAnsi="宋体" w:cs="Arial"/>
                <w:szCs w:val="24"/>
              </w:rPr>
              <w:t>□</w:t>
            </w:r>
            <w:r>
              <w:rPr>
                <w:rFonts w:ascii="宋体" w:hAnsi="宋体"/>
                <w:szCs w:val="24"/>
              </w:rPr>
              <w:t>通</w:t>
            </w:r>
            <w:r>
              <w:rPr>
                <w:rFonts w:hint="eastAsia" w:ascii="宋体" w:hAnsi="宋体"/>
                <w:szCs w:val="24"/>
              </w:rPr>
              <w:t xml:space="preserve">  </w:t>
            </w:r>
            <w:r>
              <w:rPr>
                <w:rFonts w:ascii="宋体" w:hAnsi="宋体"/>
                <w:szCs w:val="24"/>
              </w:rPr>
              <w:t>过</w:t>
            </w:r>
          </w:p>
          <w:p>
            <w:pPr>
              <w:wordWrap/>
              <w:autoSpaceDE w:val="0"/>
              <w:autoSpaceDN w:val="0"/>
              <w:spacing w:line="312" w:lineRule="auto"/>
              <w:jc w:val="center"/>
              <w:rPr>
                <w:rFonts w:ascii="宋体" w:hAnsi="宋体"/>
                <w:szCs w:val="24"/>
              </w:rPr>
            </w:pPr>
            <w:r>
              <w:rPr>
                <w:rFonts w:ascii="宋体" w:hAnsi="宋体" w:cs="Arial"/>
                <w:szCs w:val="24"/>
              </w:rPr>
              <w:t>□</w:t>
            </w:r>
            <w:r>
              <w:rPr>
                <w:rFonts w:ascii="宋体" w:hAnsi="宋体"/>
                <w:szCs w:val="24"/>
              </w:rPr>
              <w:t>不通过</w:t>
            </w:r>
          </w:p>
        </w:tc>
        <w:tc>
          <w:tcPr>
            <w:tcW w:w="1487" w:type="dxa"/>
            <w:vAlign w:val="center"/>
          </w:tcPr>
          <w:p>
            <w:pPr>
              <w:wordWrap/>
              <w:autoSpaceDE w:val="0"/>
              <w:autoSpaceDN w:val="0"/>
              <w:spacing w:line="312" w:lineRule="auto"/>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numPr>
                <w:ilvl w:val="0"/>
                <w:numId w:val="60"/>
              </w:numPr>
              <w:wordWrap/>
              <w:autoSpaceDE w:val="0"/>
              <w:autoSpaceDN w:val="0"/>
              <w:spacing w:line="312" w:lineRule="auto"/>
              <w:ind w:left="0" w:firstLine="0"/>
              <w:jc w:val="center"/>
              <w:rPr>
                <w:rFonts w:ascii="宋体" w:hAnsi="宋体"/>
                <w:szCs w:val="24"/>
              </w:rPr>
            </w:pPr>
          </w:p>
        </w:tc>
        <w:tc>
          <w:tcPr>
            <w:tcW w:w="544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磋商保证金</w:t>
            </w:r>
          </w:p>
          <w:p>
            <w:pPr>
              <w:wordWrap w:val="0"/>
              <w:autoSpaceDE w:val="0"/>
              <w:autoSpaceDN w:val="0"/>
              <w:rPr>
                <w:rFonts w:ascii="宋体" w:hAnsi="宋体"/>
                <w:szCs w:val="24"/>
              </w:rPr>
            </w:pPr>
            <w:r>
              <w:rPr>
                <w:rFonts w:hint="eastAsia" w:ascii="宋体" w:hAnsi="宋体"/>
                <w:szCs w:val="24"/>
              </w:rPr>
              <w:t>（如适用）</w:t>
            </w:r>
          </w:p>
        </w:tc>
        <w:tc>
          <w:tcPr>
            <w:tcW w:w="1350" w:type="dxa"/>
            <w:tcBorders>
              <w:top w:val="single" w:color="auto" w:sz="4" w:space="0"/>
              <w:left w:val="single" w:color="auto" w:sz="4" w:space="0"/>
              <w:right w:val="single" w:color="auto" w:sz="4" w:space="0"/>
            </w:tcBorders>
            <w:vAlign w:val="center"/>
          </w:tcPr>
          <w:p>
            <w:pPr>
              <w:wordWrap/>
              <w:autoSpaceDE w:val="0"/>
              <w:autoSpaceDN w:val="0"/>
              <w:spacing w:line="312" w:lineRule="auto"/>
              <w:jc w:val="center"/>
              <w:rPr>
                <w:rFonts w:ascii="宋体" w:hAnsi="宋体"/>
                <w:szCs w:val="24"/>
              </w:rPr>
            </w:pPr>
            <w:r>
              <w:rPr>
                <w:rFonts w:ascii="宋体" w:hAnsi="宋体" w:cs="Arial"/>
                <w:szCs w:val="24"/>
              </w:rPr>
              <w:t>□</w:t>
            </w:r>
            <w:r>
              <w:rPr>
                <w:rFonts w:ascii="宋体" w:hAnsi="宋体"/>
                <w:szCs w:val="24"/>
              </w:rPr>
              <w:t>通</w:t>
            </w:r>
            <w:r>
              <w:rPr>
                <w:rFonts w:hint="eastAsia" w:ascii="宋体" w:hAnsi="宋体"/>
                <w:szCs w:val="24"/>
              </w:rPr>
              <w:t xml:space="preserve">  </w:t>
            </w:r>
            <w:r>
              <w:rPr>
                <w:rFonts w:ascii="宋体" w:hAnsi="宋体"/>
                <w:szCs w:val="24"/>
              </w:rPr>
              <w:t>过</w:t>
            </w:r>
          </w:p>
          <w:p>
            <w:pPr>
              <w:wordWrap/>
              <w:autoSpaceDE w:val="0"/>
              <w:autoSpaceDN w:val="0"/>
              <w:spacing w:line="312" w:lineRule="auto"/>
              <w:jc w:val="center"/>
              <w:rPr>
                <w:rFonts w:ascii="宋体" w:hAnsi="宋体" w:cs="Arial"/>
                <w:szCs w:val="24"/>
              </w:rPr>
            </w:pPr>
            <w:r>
              <w:rPr>
                <w:rFonts w:ascii="宋体" w:hAnsi="宋体" w:cs="Arial"/>
                <w:szCs w:val="24"/>
              </w:rPr>
              <w:t>□</w:t>
            </w:r>
            <w:r>
              <w:rPr>
                <w:rFonts w:ascii="宋体" w:hAnsi="宋体"/>
                <w:szCs w:val="24"/>
              </w:rPr>
              <w:t>不通过</w:t>
            </w:r>
          </w:p>
        </w:tc>
        <w:tc>
          <w:tcPr>
            <w:tcW w:w="1487" w:type="dxa"/>
            <w:vAlign w:val="center"/>
          </w:tcPr>
          <w:p>
            <w:pPr>
              <w:wordWrap/>
              <w:autoSpaceDE w:val="0"/>
              <w:autoSpaceDN w:val="0"/>
              <w:spacing w:line="312" w:lineRule="auto"/>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numPr>
                <w:ilvl w:val="0"/>
                <w:numId w:val="60"/>
              </w:numPr>
              <w:wordWrap/>
              <w:autoSpaceDE w:val="0"/>
              <w:autoSpaceDN w:val="0"/>
              <w:spacing w:line="312" w:lineRule="auto"/>
              <w:ind w:left="0" w:firstLine="0"/>
              <w:jc w:val="center"/>
              <w:rPr>
                <w:rFonts w:ascii="宋体" w:hAnsi="宋体"/>
                <w:szCs w:val="24"/>
              </w:rPr>
            </w:pPr>
          </w:p>
        </w:tc>
        <w:tc>
          <w:tcPr>
            <w:tcW w:w="544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szCs w:val="24"/>
              </w:rPr>
            </w:pPr>
            <w:r>
              <w:rPr>
                <w:rFonts w:hint="eastAsia" w:ascii="宋体" w:hAnsi="宋体"/>
                <w:szCs w:val="24"/>
              </w:rPr>
              <w:t>首次响应报价</w:t>
            </w:r>
          </w:p>
        </w:tc>
        <w:tc>
          <w:tcPr>
            <w:tcW w:w="1350" w:type="dxa"/>
            <w:tcBorders>
              <w:top w:val="single" w:color="auto" w:sz="4" w:space="0"/>
              <w:left w:val="single" w:color="auto" w:sz="4" w:space="0"/>
              <w:right w:val="single" w:color="auto" w:sz="4" w:space="0"/>
            </w:tcBorders>
            <w:vAlign w:val="center"/>
          </w:tcPr>
          <w:p>
            <w:pPr>
              <w:wordWrap/>
              <w:autoSpaceDE w:val="0"/>
              <w:autoSpaceDN w:val="0"/>
              <w:spacing w:line="312" w:lineRule="auto"/>
              <w:jc w:val="center"/>
              <w:rPr>
                <w:rFonts w:ascii="宋体" w:hAnsi="宋体"/>
                <w:szCs w:val="24"/>
              </w:rPr>
            </w:pPr>
            <w:r>
              <w:rPr>
                <w:rFonts w:ascii="宋体" w:hAnsi="宋体" w:cs="Arial"/>
                <w:szCs w:val="24"/>
              </w:rPr>
              <w:t>□</w:t>
            </w:r>
            <w:r>
              <w:rPr>
                <w:rFonts w:ascii="宋体" w:hAnsi="宋体"/>
                <w:szCs w:val="24"/>
              </w:rPr>
              <w:t>通</w:t>
            </w:r>
            <w:r>
              <w:rPr>
                <w:rFonts w:hint="eastAsia" w:ascii="宋体" w:hAnsi="宋体"/>
                <w:szCs w:val="24"/>
              </w:rPr>
              <w:t xml:space="preserve">  </w:t>
            </w:r>
            <w:r>
              <w:rPr>
                <w:rFonts w:ascii="宋体" w:hAnsi="宋体"/>
                <w:szCs w:val="24"/>
              </w:rPr>
              <w:t>过</w:t>
            </w:r>
          </w:p>
          <w:p>
            <w:pPr>
              <w:wordWrap/>
              <w:autoSpaceDE w:val="0"/>
              <w:autoSpaceDN w:val="0"/>
              <w:spacing w:line="312" w:lineRule="auto"/>
              <w:jc w:val="center"/>
              <w:rPr>
                <w:rFonts w:ascii="宋体" w:hAnsi="宋体" w:cs="Arial"/>
                <w:szCs w:val="24"/>
              </w:rPr>
            </w:pPr>
            <w:r>
              <w:rPr>
                <w:rFonts w:ascii="宋体" w:hAnsi="宋体" w:cs="Arial"/>
                <w:szCs w:val="24"/>
              </w:rPr>
              <w:t>□</w:t>
            </w:r>
            <w:r>
              <w:rPr>
                <w:rFonts w:ascii="宋体" w:hAnsi="宋体"/>
                <w:szCs w:val="24"/>
              </w:rPr>
              <w:t>不通过</w:t>
            </w:r>
          </w:p>
        </w:tc>
        <w:tc>
          <w:tcPr>
            <w:tcW w:w="1487" w:type="dxa"/>
            <w:vAlign w:val="center"/>
          </w:tcPr>
          <w:p>
            <w:pPr>
              <w:wordWrap/>
              <w:autoSpaceDE w:val="0"/>
              <w:autoSpaceDN w:val="0"/>
              <w:spacing w:line="312" w:lineRule="auto"/>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6" w:type="dxa"/>
            <w:vAlign w:val="center"/>
          </w:tcPr>
          <w:p>
            <w:pPr>
              <w:numPr>
                <w:ilvl w:val="0"/>
                <w:numId w:val="60"/>
              </w:numPr>
              <w:wordWrap/>
              <w:autoSpaceDE w:val="0"/>
              <w:autoSpaceDN w:val="0"/>
              <w:spacing w:line="312" w:lineRule="auto"/>
              <w:ind w:left="0" w:firstLine="0"/>
              <w:jc w:val="center"/>
              <w:rPr>
                <w:rFonts w:ascii="宋体" w:hAnsi="宋体"/>
                <w:szCs w:val="24"/>
              </w:rPr>
            </w:pPr>
          </w:p>
        </w:tc>
        <w:tc>
          <w:tcPr>
            <w:tcW w:w="5449" w:type="dxa"/>
            <w:tcBorders>
              <w:top w:val="single" w:color="auto" w:sz="4" w:space="0"/>
              <w:left w:val="single" w:color="auto" w:sz="4" w:space="0"/>
              <w:right w:val="single" w:color="auto" w:sz="4" w:space="0"/>
            </w:tcBorders>
            <w:vAlign w:val="center"/>
          </w:tcPr>
          <w:p>
            <w:pPr>
              <w:wordWrap/>
              <w:autoSpaceDE w:val="0"/>
              <w:autoSpaceDN w:val="0"/>
              <w:spacing w:line="312" w:lineRule="auto"/>
              <w:rPr>
                <w:rFonts w:ascii="宋体" w:hAnsi="宋体"/>
                <w:szCs w:val="24"/>
              </w:rPr>
            </w:pPr>
            <w:r>
              <w:rPr>
                <w:rFonts w:hint="eastAsia" w:ascii="宋体" w:hAnsi="宋体"/>
                <w:szCs w:val="24"/>
              </w:rPr>
              <w:t>无效情形（采购</w:t>
            </w:r>
            <w:r>
              <w:rPr>
                <w:rFonts w:hint="eastAsia" w:ascii="宋体" w:hAnsi="宋体" w:cs="宋体"/>
              </w:rPr>
              <w:t>文件规定的响应无效情形详见《第四部分 评审办法》第3.6款</w:t>
            </w:r>
            <w:r>
              <w:rPr>
                <w:rFonts w:hint="eastAsia" w:ascii="宋体" w:hAnsi="宋体"/>
                <w:szCs w:val="24"/>
              </w:rPr>
              <w:t>）</w:t>
            </w:r>
          </w:p>
        </w:tc>
        <w:tc>
          <w:tcPr>
            <w:tcW w:w="1350" w:type="dxa"/>
            <w:tcBorders>
              <w:top w:val="single" w:color="auto" w:sz="4" w:space="0"/>
              <w:left w:val="single" w:color="auto" w:sz="4" w:space="0"/>
              <w:right w:val="single" w:color="auto" w:sz="4" w:space="0"/>
            </w:tcBorders>
            <w:vAlign w:val="center"/>
          </w:tcPr>
          <w:p>
            <w:pPr>
              <w:wordWrap/>
              <w:autoSpaceDE w:val="0"/>
              <w:autoSpaceDN w:val="0"/>
              <w:spacing w:line="312" w:lineRule="auto"/>
              <w:jc w:val="center"/>
              <w:rPr>
                <w:rFonts w:ascii="宋体" w:hAnsi="宋体"/>
                <w:szCs w:val="24"/>
              </w:rPr>
            </w:pPr>
            <w:r>
              <w:rPr>
                <w:rFonts w:ascii="宋体" w:hAnsi="宋体" w:cs="Arial"/>
                <w:szCs w:val="24"/>
              </w:rPr>
              <w:t>□</w:t>
            </w:r>
            <w:r>
              <w:rPr>
                <w:rFonts w:ascii="宋体" w:hAnsi="宋体"/>
                <w:szCs w:val="24"/>
              </w:rPr>
              <w:t>通</w:t>
            </w:r>
            <w:r>
              <w:rPr>
                <w:rFonts w:hint="eastAsia" w:ascii="宋体" w:hAnsi="宋体"/>
                <w:szCs w:val="24"/>
              </w:rPr>
              <w:t xml:space="preserve">  </w:t>
            </w:r>
            <w:r>
              <w:rPr>
                <w:rFonts w:ascii="宋体" w:hAnsi="宋体"/>
                <w:szCs w:val="24"/>
              </w:rPr>
              <w:t>过</w:t>
            </w:r>
          </w:p>
          <w:p>
            <w:pPr>
              <w:wordWrap/>
              <w:autoSpaceDE w:val="0"/>
              <w:autoSpaceDN w:val="0"/>
              <w:spacing w:line="312" w:lineRule="auto"/>
              <w:jc w:val="center"/>
              <w:rPr>
                <w:rFonts w:ascii="宋体" w:hAnsi="宋体" w:cs="Arial"/>
                <w:szCs w:val="24"/>
              </w:rPr>
            </w:pPr>
            <w:r>
              <w:rPr>
                <w:rFonts w:ascii="宋体" w:hAnsi="宋体" w:cs="Arial"/>
                <w:szCs w:val="24"/>
              </w:rPr>
              <w:t>□</w:t>
            </w:r>
            <w:r>
              <w:rPr>
                <w:rFonts w:ascii="宋体" w:hAnsi="宋体"/>
                <w:szCs w:val="24"/>
              </w:rPr>
              <w:t>不通过</w:t>
            </w:r>
          </w:p>
        </w:tc>
        <w:tc>
          <w:tcPr>
            <w:tcW w:w="1487" w:type="dxa"/>
            <w:vAlign w:val="center"/>
          </w:tcPr>
          <w:p>
            <w:pPr>
              <w:wordWrap/>
              <w:autoSpaceDE w:val="0"/>
              <w:autoSpaceDN w:val="0"/>
              <w:spacing w:line="312" w:lineRule="auto"/>
              <w:jc w:val="center"/>
              <w:rPr>
                <w:rFonts w:ascii="宋体" w:hAnsi="宋体"/>
                <w:szCs w:val="24"/>
              </w:rPr>
            </w:pPr>
          </w:p>
        </w:tc>
      </w:tr>
    </w:tbl>
    <w:p>
      <w:pPr>
        <w:wordWrap w:val="0"/>
        <w:autoSpaceDE w:val="0"/>
        <w:autoSpaceDN w:val="0"/>
        <w:rPr>
          <w:rFonts w:ascii="宋体" w:hAnsi="宋体"/>
          <w:b/>
          <w:szCs w:val="24"/>
        </w:rPr>
      </w:pPr>
      <w:r>
        <w:rPr>
          <w:rFonts w:hint="eastAsia" w:ascii="宋体" w:hAnsi="宋体"/>
          <w:b/>
          <w:szCs w:val="24"/>
        </w:rPr>
        <w:t>备注：</w:t>
      </w:r>
    </w:p>
    <w:p>
      <w:pPr>
        <w:wordWrap w:val="0"/>
        <w:autoSpaceDE w:val="0"/>
        <w:autoSpaceDN w:val="0"/>
        <w:ind w:firstLine="480" w:firstLineChars="200"/>
        <w:rPr>
          <w:rFonts w:ascii="宋体" w:hAnsi="宋体"/>
          <w:szCs w:val="24"/>
        </w:rPr>
      </w:pPr>
      <w:r>
        <w:rPr>
          <w:rFonts w:hint="eastAsia" w:ascii="宋体" w:hAnsi="宋体"/>
          <w:szCs w:val="24"/>
        </w:rPr>
        <w:t>1.以上材料将作为供应商有效性审核的重要内容之一，供应商应当严格按照其内容及序列要求在响应文件中对应如实提供，对符合性证明文件的任何缺漏和不符合项将会直接导致无效响应！</w:t>
      </w:r>
    </w:p>
    <w:p>
      <w:pPr>
        <w:wordWrap w:val="0"/>
        <w:autoSpaceDE w:val="0"/>
        <w:autoSpaceDN w:val="0"/>
        <w:ind w:firstLine="480" w:firstLineChars="200"/>
        <w:rPr>
          <w:rFonts w:ascii="宋体" w:hAnsi="宋体"/>
          <w:szCs w:val="24"/>
        </w:rPr>
      </w:pPr>
      <w:r>
        <w:rPr>
          <w:rFonts w:hint="eastAsia" w:ascii="宋体" w:hAnsi="宋体"/>
          <w:szCs w:val="24"/>
        </w:rPr>
        <w:t>2.请根据自身响应情况勾选（在□内打√）“自查结论”栏目相应结论。</w:t>
      </w:r>
    </w:p>
    <w:p>
      <w:pPr>
        <w:pStyle w:val="6"/>
        <w:numPr>
          <w:ilvl w:val="0"/>
          <w:numId w:val="0"/>
        </w:numPr>
        <w:tabs>
          <w:tab w:val="left" w:pos="945"/>
        </w:tabs>
        <w:rPr>
          <w:rFonts w:ascii="宋体" w:hAnsi="宋体"/>
          <w:szCs w:val="24"/>
        </w:rPr>
      </w:pPr>
      <w:bookmarkStart w:id="393" w:name="_Toc22806194"/>
      <w:r>
        <w:rPr>
          <w:rFonts w:ascii="宋体" w:hAnsi="宋体"/>
          <w:szCs w:val="24"/>
        </w:rPr>
        <w:br w:type="page"/>
      </w:r>
      <w:r>
        <w:rPr>
          <w:rFonts w:hint="eastAsia" w:ascii="宋体" w:hAnsi="宋体"/>
          <w:szCs w:val="24"/>
        </w:rPr>
        <w:t>1.3实质性条款响应自查表</w:t>
      </w:r>
      <w:bookmarkEnd w:id="393"/>
      <w:r>
        <w:rPr>
          <w:rFonts w:hint="eastAsia" w:ascii="宋体" w:hAnsi="宋体"/>
          <w:szCs w:val="24"/>
        </w:rPr>
        <w:t>（实质性响应一览表）</w:t>
      </w:r>
    </w:p>
    <w:p>
      <w:pPr>
        <w:wordWrap w:val="0"/>
        <w:autoSpaceDE w:val="0"/>
        <w:autoSpaceDN w:val="0"/>
        <w:jc w:val="center"/>
        <w:rPr>
          <w:rFonts w:ascii="宋体" w:hAnsi="宋体"/>
          <w:b/>
          <w:sz w:val="32"/>
          <w:szCs w:val="32"/>
        </w:rPr>
      </w:pPr>
      <w:r>
        <w:rPr>
          <w:rFonts w:hint="eastAsia" w:ascii="宋体" w:hAnsi="宋体"/>
          <w:b/>
          <w:sz w:val="32"/>
          <w:szCs w:val="32"/>
        </w:rPr>
        <w:t>实质性条款响应自查表（实质性响应一览表）</w:t>
      </w:r>
    </w:p>
    <w:p>
      <w:pPr>
        <w:wordWrap w:val="0"/>
        <w:autoSpaceDE w:val="0"/>
        <w:autoSpaceDN w:val="0"/>
        <w:rPr>
          <w:rFonts w:ascii="宋体" w:hAnsi="宋体"/>
          <w:szCs w:val="24"/>
        </w:rPr>
      </w:pPr>
      <w:r>
        <w:rPr>
          <w:rFonts w:hint="eastAsia" w:ascii="宋体" w:hAnsi="宋体"/>
          <w:szCs w:val="24"/>
        </w:rPr>
        <w:t>采购项目名称：2026-2027年广州白云机场海关南1、2号楼物业管理服务</w:t>
      </w:r>
    </w:p>
    <w:p>
      <w:pPr>
        <w:wordWrap w:val="0"/>
        <w:autoSpaceDE w:val="0"/>
        <w:autoSpaceDN w:val="0"/>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159"/>
        <w:gridCol w:w="1561"/>
        <w:gridCol w:w="1187"/>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4"/>
              </w:rPr>
            </w:pPr>
            <w:r>
              <w:rPr>
                <w:rFonts w:hint="eastAsia" w:ascii="宋体" w:hAnsi="宋体"/>
                <w:b/>
                <w:bCs/>
                <w:szCs w:val="24"/>
              </w:rPr>
              <w:t>序号</w:t>
            </w:r>
          </w:p>
        </w:tc>
        <w:tc>
          <w:tcPr>
            <w:tcW w:w="41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4"/>
              </w:rPr>
            </w:pPr>
            <w:r>
              <w:rPr>
                <w:rFonts w:hint="eastAsia" w:ascii="宋体" w:hAnsi="宋体"/>
                <w:b/>
                <w:bCs/>
                <w:szCs w:val="24"/>
                <w:lang w:val="en-GB"/>
              </w:rPr>
              <w:t>实质性</w:t>
            </w:r>
            <w:r>
              <w:rPr>
                <w:rFonts w:hint="eastAsia" w:ascii="宋体" w:hAnsi="宋体"/>
                <w:b/>
                <w:bCs/>
                <w:szCs w:val="24"/>
              </w:rPr>
              <w:t>条款要求</w:t>
            </w:r>
          </w:p>
        </w:tc>
        <w:tc>
          <w:tcPr>
            <w:tcW w:w="15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4"/>
              </w:rPr>
            </w:pPr>
            <w:r>
              <w:rPr>
                <w:rFonts w:hint="eastAsia" w:ascii="宋体" w:hAnsi="宋体"/>
                <w:b/>
                <w:bCs/>
                <w:szCs w:val="24"/>
              </w:rPr>
              <w:t>实质性条款响应情况</w:t>
            </w:r>
          </w:p>
        </w:tc>
        <w:tc>
          <w:tcPr>
            <w:tcW w:w="11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4"/>
              </w:rPr>
            </w:pPr>
            <w:r>
              <w:rPr>
                <w:rFonts w:hint="eastAsia" w:ascii="宋体" w:hAnsi="宋体"/>
                <w:b/>
                <w:bCs/>
                <w:szCs w:val="24"/>
              </w:rPr>
              <w:t>自查结论</w:t>
            </w:r>
          </w:p>
        </w:tc>
        <w:tc>
          <w:tcPr>
            <w:tcW w:w="149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4"/>
              </w:rPr>
            </w:pPr>
            <w:r>
              <w:rPr>
                <w:rFonts w:hint="eastAsia" w:ascii="宋体" w:hAnsi="宋体"/>
                <w:b/>
                <w:bCs/>
                <w:szCs w:val="24"/>
              </w:rPr>
              <w:t>证明文件所在页码范围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numPr>
                <w:ilvl w:val="1"/>
                <w:numId w:val="61"/>
              </w:numPr>
              <w:jc w:val="center"/>
              <w:rPr>
                <w:rFonts w:ascii="宋体" w:hAnsi="宋体"/>
                <w:szCs w:val="24"/>
              </w:rPr>
            </w:pPr>
          </w:p>
        </w:tc>
        <w:tc>
          <w:tcPr>
            <w:tcW w:w="4159"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4"/>
              </w:rPr>
            </w:pPr>
            <w:r>
              <w:rPr>
                <w:rFonts w:hint="eastAsia" w:ascii="宋体" w:hAnsi="宋体"/>
                <w:szCs w:val="24"/>
              </w:rPr>
              <w:t>采购文件中标记“★”号的要求（如有，请逐条填写）</w:t>
            </w:r>
          </w:p>
        </w:tc>
        <w:tc>
          <w:tcPr>
            <w:tcW w:w="1561"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4"/>
              </w:rPr>
            </w:pPr>
          </w:p>
        </w:tc>
        <w:tc>
          <w:tcPr>
            <w:tcW w:w="11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□正偏离</w:t>
            </w:r>
          </w:p>
          <w:p>
            <w:pPr>
              <w:jc w:val="center"/>
              <w:rPr>
                <w:rFonts w:ascii="宋体" w:hAnsi="宋体"/>
                <w:szCs w:val="24"/>
              </w:rPr>
            </w:pPr>
            <w:r>
              <w:rPr>
                <w:rFonts w:hint="eastAsia" w:ascii="宋体" w:hAnsi="宋体"/>
                <w:szCs w:val="24"/>
              </w:rPr>
              <w:t>□无偏离</w:t>
            </w:r>
          </w:p>
          <w:p>
            <w:pPr>
              <w:jc w:val="center"/>
              <w:rPr>
                <w:rFonts w:ascii="宋体" w:hAnsi="宋体"/>
                <w:szCs w:val="24"/>
              </w:rPr>
            </w:pPr>
            <w:r>
              <w:rPr>
                <w:rFonts w:hint="eastAsia" w:ascii="宋体" w:hAnsi="宋体"/>
                <w:szCs w:val="24"/>
              </w:rPr>
              <w:t>□负偏离</w:t>
            </w:r>
          </w:p>
        </w:tc>
        <w:tc>
          <w:tcPr>
            <w:tcW w:w="1491" w:type="dxa"/>
            <w:tcBorders>
              <w:top w:val="single" w:color="auto" w:sz="4" w:space="0"/>
              <w:left w:val="single" w:color="auto" w:sz="4" w:space="0"/>
              <w:bottom w:val="single" w:color="auto" w:sz="4" w:space="0"/>
              <w:right w:val="single" w:color="auto" w:sz="4" w:space="0"/>
            </w:tcBorders>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numPr>
                <w:ilvl w:val="1"/>
                <w:numId w:val="61"/>
              </w:numPr>
              <w:jc w:val="center"/>
              <w:rPr>
                <w:rFonts w:ascii="宋体" w:hAnsi="宋体"/>
                <w:szCs w:val="24"/>
              </w:rPr>
            </w:pPr>
          </w:p>
        </w:tc>
        <w:tc>
          <w:tcPr>
            <w:tcW w:w="4159"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4"/>
              </w:rPr>
            </w:pPr>
          </w:p>
        </w:tc>
        <w:tc>
          <w:tcPr>
            <w:tcW w:w="1561"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4"/>
              </w:rPr>
            </w:pPr>
          </w:p>
        </w:tc>
        <w:tc>
          <w:tcPr>
            <w:tcW w:w="11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□正偏离</w:t>
            </w:r>
          </w:p>
          <w:p>
            <w:pPr>
              <w:jc w:val="center"/>
              <w:rPr>
                <w:rFonts w:ascii="宋体" w:hAnsi="宋体"/>
                <w:szCs w:val="24"/>
              </w:rPr>
            </w:pPr>
            <w:r>
              <w:rPr>
                <w:rFonts w:hint="eastAsia" w:ascii="宋体" w:hAnsi="宋体"/>
                <w:szCs w:val="24"/>
              </w:rPr>
              <w:t>□无偏离</w:t>
            </w:r>
          </w:p>
          <w:p>
            <w:pPr>
              <w:jc w:val="center"/>
              <w:rPr>
                <w:rFonts w:ascii="宋体" w:hAnsi="宋体"/>
                <w:szCs w:val="24"/>
              </w:rPr>
            </w:pPr>
            <w:r>
              <w:rPr>
                <w:rFonts w:hint="eastAsia" w:ascii="宋体" w:hAnsi="宋体"/>
                <w:szCs w:val="24"/>
              </w:rPr>
              <w:t>□负偏离</w:t>
            </w:r>
          </w:p>
        </w:tc>
        <w:tc>
          <w:tcPr>
            <w:tcW w:w="1491" w:type="dxa"/>
            <w:tcBorders>
              <w:top w:val="single" w:color="auto" w:sz="4" w:space="0"/>
              <w:left w:val="single" w:color="auto" w:sz="4" w:space="0"/>
              <w:bottom w:val="single" w:color="auto" w:sz="4" w:space="0"/>
              <w:right w:val="single" w:color="auto" w:sz="4" w:space="0"/>
            </w:tcBorders>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numPr>
                <w:ilvl w:val="1"/>
                <w:numId w:val="61"/>
              </w:numPr>
              <w:jc w:val="center"/>
              <w:rPr>
                <w:rFonts w:ascii="宋体" w:hAnsi="宋体"/>
                <w:szCs w:val="24"/>
              </w:rPr>
            </w:pPr>
          </w:p>
        </w:tc>
        <w:tc>
          <w:tcPr>
            <w:tcW w:w="4159"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4"/>
              </w:rPr>
            </w:pPr>
          </w:p>
        </w:tc>
        <w:tc>
          <w:tcPr>
            <w:tcW w:w="1561"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4"/>
              </w:rPr>
            </w:pPr>
          </w:p>
        </w:tc>
        <w:tc>
          <w:tcPr>
            <w:tcW w:w="11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□正偏离</w:t>
            </w:r>
          </w:p>
          <w:p>
            <w:pPr>
              <w:jc w:val="center"/>
              <w:rPr>
                <w:rFonts w:ascii="宋体" w:hAnsi="宋体"/>
                <w:szCs w:val="24"/>
              </w:rPr>
            </w:pPr>
            <w:r>
              <w:rPr>
                <w:rFonts w:hint="eastAsia" w:ascii="宋体" w:hAnsi="宋体"/>
                <w:szCs w:val="24"/>
              </w:rPr>
              <w:t>□无偏离</w:t>
            </w:r>
          </w:p>
          <w:p>
            <w:pPr>
              <w:jc w:val="center"/>
              <w:rPr>
                <w:rFonts w:ascii="宋体" w:hAnsi="宋体"/>
                <w:szCs w:val="24"/>
              </w:rPr>
            </w:pPr>
            <w:r>
              <w:rPr>
                <w:rFonts w:hint="eastAsia" w:ascii="宋体" w:hAnsi="宋体"/>
                <w:szCs w:val="24"/>
              </w:rPr>
              <w:t>□负偏离</w:t>
            </w:r>
          </w:p>
        </w:tc>
        <w:tc>
          <w:tcPr>
            <w:tcW w:w="1491" w:type="dxa"/>
            <w:tcBorders>
              <w:top w:val="single" w:color="auto" w:sz="4" w:space="0"/>
              <w:left w:val="single" w:color="auto" w:sz="4" w:space="0"/>
              <w:bottom w:val="single" w:color="auto" w:sz="4" w:space="0"/>
              <w:right w:val="single" w:color="auto" w:sz="4" w:space="0"/>
            </w:tcBorders>
            <w:vAlign w:val="center"/>
          </w:tcPr>
          <w:p>
            <w:pPr>
              <w:wordWrap w:val="0"/>
              <w:autoSpaceDE w:val="0"/>
              <w:autoSpaceDN w:val="0"/>
              <w:jc w:val="center"/>
              <w:rPr>
                <w:rFonts w:ascii="宋体" w:hAnsi="宋体"/>
                <w:szCs w:val="24"/>
              </w:rPr>
            </w:pPr>
            <w:r>
              <w:rPr>
                <w:rFonts w:ascii="宋体" w:hAnsi="宋体"/>
                <w:szCs w:val="24"/>
              </w:rPr>
              <w:t>第（</w:t>
            </w:r>
            <w:r>
              <w:rPr>
                <w:rFonts w:hint="eastAsia" w:ascii="宋体" w:hAnsi="宋体"/>
                <w:szCs w:val="24"/>
              </w:rPr>
              <w:t xml:space="preserve">  </w:t>
            </w:r>
            <w:r>
              <w:rPr>
                <w:rFonts w:ascii="宋体" w:hAnsi="宋体"/>
                <w:szCs w:val="24"/>
              </w:rPr>
              <w:t>）页</w:t>
            </w:r>
          </w:p>
        </w:tc>
      </w:tr>
    </w:tbl>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wordWrap w:val="0"/>
        <w:autoSpaceDE w:val="0"/>
        <w:autoSpaceDN w:val="0"/>
        <w:rPr>
          <w:rFonts w:ascii="宋体" w:hAnsi="宋体"/>
          <w:szCs w:val="24"/>
        </w:rPr>
      </w:pPr>
    </w:p>
    <w:p>
      <w:pPr>
        <w:wordWrap w:val="0"/>
        <w:autoSpaceDE w:val="0"/>
        <w:autoSpaceDN w:val="0"/>
        <w:rPr>
          <w:rFonts w:ascii="宋体" w:hAnsi="宋体"/>
          <w:b/>
          <w:szCs w:val="24"/>
        </w:rPr>
      </w:pPr>
      <w:r>
        <w:rPr>
          <w:rFonts w:hint="eastAsia" w:ascii="宋体" w:hAnsi="宋体"/>
          <w:b/>
          <w:szCs w:val="24"/>
        </w:rPr>
        <w:t>备注：</w:t>
      </w:r>
    </w:p>
    <w:p>
      <w:pPr>
        <w:wordWrap w:val="0"/>
        <w:autoSpaceDE w:val="0"/>
        <w:autoSpaceDN w:val="0"/>
        <w:ind w:firstLine="480" w:firstLineChars="200"/>
        <w:rPr>
          <w:rFonts w:ascii="宋体" w:hAnsi="宋体"/>
          <w:szCs w:val="24"/>
        </w:rPr>
      </w:pPr>
      <w:r>
        <w:rPr>
          <w:rFonts w:hint="eastAsia" w:ascii="宋体" w:hAnsi="宋体"/>
          <w:szCs w:val="24"/>
        </w:rPr>
        <w:t>1.此表内容应当与响应文件中其他部分描述的内容保持一致。</w:t>
      </w:r>
    </w:p>
    <w:p>
      <w:pPr>
        <w:wordWrap w:val="0"/>
        <w:autoSpaceDE w:val="0"/>
        <w:autoSpaceDN w:val="0"/>
        <w:ind w:firstLine="480" w:firstLineChars="200"/>
        <w:rPr>
          <w:rFonts w:ascii="宋体" w:hAnsi="宋体"/>
          <w:szCs w:val="24"/>
        </w:rPr>
      </w:pPr>
      <w:r>
        <w:rPr>
          <w:rFonts w:hint="eastAsia" w:ascii="宋体" w:hAnsi="宋体"/>
          <w:szCs w:val="24"/>
        </w:rPr>
        <w:t>2.请根据自身响应情况勾选（在□内打√）“自查结论”栏目相应结论。</w:t>
      </w:r>
    </w:p>
    <w:p>
      <w:pPr>
        <w:wordWrap w:val="0"/>
        <w:autoSpaceDE w:val="0"/>
        <w:autoSpaceDN w:val="0"/>
        <w:ind w:firstLine="480" w:firstLineChars="200"/>
        <w:rPr>
          <w:rFonts w:ascii="宋体" w:hAnsi="宋体"/>
          <w:szCs w:val="24"/>
        </w:rPr>
      </w:pPr>
      <w:r>
        <w:rPr>
          <w:rFonts w:hint="eastAsia" w:ascii="宋体" w:hAnsi="宋体"/>
          <w:szCs w:val="24"/>
        </w:rPr>
        <w:t>3.响应情况（含偏离内容）在“实质性条款响应情况”栏目中说明。供应商应当如实填写上表“实质性条款响应情况”处内容，对采购文件提出的要求和条件作出明确响应，并列明具体响应数值或内容，不能照搬采购文件的内容，只注明符合、满足等无具体内容表述的，将视为未实质性满足采购文件要求。供应商需要说明的内容若需特殊表达，应先在本表中进行相应说明，再另页应答，否则响应无效。</w:t>
      </w:r>
    </w:p>
    <w:p>
      <w:pPr>
        <w:wordWrap w:val="0"/>
        <w:autoSpaceDE w:val="0"/>
        <w:autoSpaceDN w:val="0"/>
        <w:ind w:firstLine="480" w:firstLineChars="200"/>
        <w:rPr>
          <w:rFonts w:ascii="宋体" w:hAnsi="宋体"/>
          <w:szCs w:val="24"/>
        </w:rPr>
      </w:pPr>
      <w:r>
        <w:rPr>
          <w:rFonts w:hint="eastAsia" w:ascii="宋体" w:hAnsi="宋体"/>
          <w:szCs w:val="24"/>
        </w:rPr>
        <w:t>4.“自查结论”项下应按下列规定填写：优于的，填写“正偏离”；符合的，填写“无偏离”；低于的，填写“负偏离”。</w:t>
      </w:r>
    </w:p>
    <w:p>
      <w:pPr>
        <w:wordWrap w:val="0"/>
        <w:autoSpaceDE w:val="0"/>
        <w:autoSpaceDN w:val="0"/>
        <w:ind w:firstLine="480" w:firstLineChars="200"/>
        <w:rPr>
          <w:rFonts w:ascii="宋体" w:hAnsi="宋体"/>
          <w:szCs w:val="24"/>
        </w:rPr>
      </w:pPr>
    </w:p>
    <w:p>
      <w:pPr>
        <w:pStyle w:val="5"/>
        <w:numPr>
          <w:ilvl w:val="0"/>
          <w:numId w:val="0"/>
        </w:numPr>
        <w:tabs>
          <w:tab w:val="left" w:pos="945"/>
        </w:tabs>
        <w:spacing w:before="0" w:after="0" w:line="360" w:lineRule="auto"/>
        <w:ind w:left="1280" w:hanging="1280" w:hangingChars="400"/>
        <w:rPr>
          <w:rFonts w:ascii="宋体" w:hAnsi="宋体"/>
          <w:sz w:val="24"/>
          <w:szCs w:val="24"/>
        </w:rPr>
      </w:pPr>
      <w:bookmarkStart w:id="394" w:name="_Toc22806196"/>
      <w:r>
        <w:rPr>
          <w:rFonts w:ascii="宋体" w:hAnsi="宋体"/>
          <w:szCs w:val="24"/>
        </w:rPr>
        <w:br w:type="page"/>
      </w:r>
      <w:bookmarkStart w:id="395" w:name="_Toc56180352"/>
      <w:bookmarkStart w:id="396" w:name="_Toc55398757"/>
      <w:bookmarkStart w:id="397" w:name="_Toc50460245"/>
      <w:r>
        <w:rPr>
          <w:rFonts w:hint="eastAsia" w:ascii="宋体" w:hAnsi="宋体"/>
          <w:sz w:val="24"/>
          <w:szCs w:val="24"/>
        </w:rPr>
        <w:t>2.评审要素资料索引表</w:t>
      </w:r>
      <w:bookmarkEnd w:id="395"/>
      <w:bookmarkEnd w:id="396"/>
      <w:bookmarkEnd w:id="397"/>
    </w:p>
    <w:p>
      <w:pPr>
        <w:pStyle w:val="6"/>
        <w:numPr>
          <w:ilvl w:val="0"/>
          <w:numId w:val="0"/>
        </w:numPr>
        <w:tabs>
          <w:tab w:val="left" w:pos="945"/>
        </w:tabs>
        <w:rPr>
          <w:rFonts w:ascii="宋体" w:hAnsi="宋体"/>
          <w:szCs w:val="24"/>
        </w:rPr>
      </w:pPr>
      <w:r>
        <w:rPr>
          <w:rFonts w:hint="eastAsia" w:ascii="宋体" w:hAnsi="宋体"/>
          <w:szCs w:val="24"/>
        </w:rPr>
        <w:t>2.1技术/服务评审资料索引表</w:t>
      </w:r>
      <w:bookmarkEnd w:id="394"/>
    </w:p>
    <w:p>
      <w:pPr>
        <w:wordWrap w:val="0"/>
        <w:autoSpaceDE w:val="0"/>
        <w:autoSpaceDN w:val="0"/>
        <w:jc w:val="center"/>
        <w:rPr>
          <w:rFonts w:ascii="宋体" w:hAnsi="宋体"/>
          <w:b/>
          <w:sz w:val="32"/>
          <w:szCs w:val="32"/>
        </w:rPr>
      </w:pPr>
      <w:r>
        <w:rPr>
          <w:rFonts w:hint="eastAsia" w:ascii="宋体" w:hAnsi="宋体"/>
          <w:b/>
          <w:sz w:val="32"/>
          <w:szCs w:val="32"/>
        </w:rPr>
        <w:t>技术/服务评审资料索引表</w:t>
      </w:r>
    </w:p>
    <w:p>
      <w:pPr>
        <w:wordWrap w:val="0"/>
        <w:autoSpaceDE w:val="0"/>
        <w:autoSpaceDN w:val="0"/>
        <w:rPr>
          <w:rFonts w:ascii="宋体" w:hAnsi="宋体"/>
          <w:szCs w:val="24"/>
        </w:rPr>
      </w:pPr>
      <w:r>
        <w:rPr>
          <w:rFonts w:hint="eastAsia" w:ascii="宋体" w:hAnsi="宋体"/>
          <w:szCs w:val="24"/>
        </w:rPr>
        <w:t>采购项目名称：2026-2027年广州白云机场海关南1、2号楼物业管理服务</w:t>
      </w:r>
    </w:p>
    <w:p>
      <w:pPr>
        <w:wordWrap w:val="0"/>
        <w:autoSpaceDE w:val="0"/>
        <w:autoSpaceDN w:val="0"/>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350"/>
        <w:gridCol w:w="2066"/>
        <w:gridCol w:w="2848"/>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pPr>
              <w:rPr>
                <w:rFonts w:ascii="宋体" w:hAnsi="宋体"/>
                <w:b/>
                <w:szCs w:val="24"/>
              </w:rPr>
            </w:pPr>
            <w:r>
              <w:rPr>
                <w:rFonts w:hint="eastAsia" w:ascii="宋体" w:hAnsi="宋体"/>
                <w:b/>
                <w:szCs w:val="24"/>
              </w:rPr>
              <w:t>序号</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4"/>
              </w:rPr>
            </w:pPr>
            <w:r>
              <w:rPr>
                <w:rFonts w:hint="eastAsia" w:ascii="宋体" w:hAnsi="宋体"/>
                <w:b/>
                <w:szCs w:val="24"/>
              </w:rPr>
              <w:t>评审因素</w:t>
            </w:r>
          </w:p>
        </w:tc>
        <w:tc>
          <w:tcPr>
            <w:tcW w:w="20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4"/>
              </w:rPr>
            </w:pPr>
            <w:r>
              <w:rPr>
                <w:rFonts w:hint="eastAsia" w:ascii="宋体" w:hAnsi="宋体"/>
                <w:b/>
                <w:szCs w:val="24"/>
              </w:rPr>
              <w:t>评审标准</w:t>
            </w:r>
          </w:p>
        </w:tc>
        <w:tc>
          <w:tcPr>
            <w:tcW w:w="28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4"/>
              </w:rPr>
            </w:pPr>
            <w:r>
              <w:rPr>
                <w:rFonts w:hint="eastAsia" w:ascii="宋体" w:hAnsi="宋体"/>
                <w:b/>
                <w:szCs w:val="24"/>
              </w:rPr>
              <w:t>供应商响应内容简述</w:t>
            </w:r>
          </w:p>
          <w:p>
            <w:pPr>
              <w:jc w:val="center"/>
              <w:rPr>
                <w:rFonts w:ascii="宋体" w:hAnsi="宋体"/>
                <w:b/>
                <w:szCs w:val="24"/>
              </w:rPr>
            </w:pPr>
            <w:r>
              <w:rPr>
                <w:rFonts w:hint="eastAsia" w:ascii="宋体" w:hAnsi="宋体"/>
                <w:b/>
                <w:szCs w:val="24"/>
              </w:rPr>
              <w:t>（如有，可选）</w:t>
            </w:r>
          </w:p>
        </w:tc>
        <w:tc>
          <w:tcPr>
            <w:tcW w:w="14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4"/>
              </w:rPr>
            </w:pPr>
            <w:r>
              <w:rPr>
                <w:rFonts w:hint="eastAsia" w:ascii="宋体" w:hAnsi="宋体"/>
                <w:b/>
                <w:szCs w:val="24"/>
              </w:rPr>
              <w:t>证明文件所在页码范围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1</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0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8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2</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0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8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0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8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第（  ）页</w:t>
            </w:r>
          </w:p>
        </w:tc>
      </w:tr>
    </w:tbl>
    <w:p>
      <w:pPr>
        <w:wordWrap w:val="0"/>
        <w:autoSpaceDE w:val="0"/>
        <w:autoSpaceDN w:val="0"/>
        <w:rPr>
          <w:rFonts w:ascii="宋体" w:hAnsi="宋体"/>
          <w:b/>
          <w:szCs w:val="24"/>
        </w:rPr>
      </w:pPr>
      <w:r>
        <w:rPr>
          <w:rFonts w:hint="eastAsia" w:ascii="宋体" w:hAnsi="宋体"/>
          <w:b/>
          <w:szCs w:val="24"/>
        </w:rPr>
        <w:t>备注：</w:t>
      </w:r>
    </w:p>
    <w:p>
      <w:pPr>
        <w:wordWrap w:val="0"/>
        <w:autoSpaceDE w:val="0"/>
        <w:autoSpaceDN w:val="0"/>
        <w:ind w:firstLine="480" w:firstLineChars="200"/>
        <w:rPr>
          <w:rFonts w:ascii="宋体" w:hAnsi="宋体"/>
          <w:szCs w:val="24"/>
        </w:rPr>
      </w:pPr>
      <w:r>
        <w:rPr>
          <w:rFonts w:hint="eastAsia" w:ascii="宋体" w:hAnsi="宋体"/>
          <w:szCs w:val="24"/>
        </w:rPr>
        <w:t>1.此表内容应当根据磋商文件要求及响应文件响应情况如实填写。</w:t>
      </w:r>
    </w:p>
    <w:p>
      <w:pPr>
        <w:wordWrap w:val="0"/>
        <w:autoSpaceDE w:val="0"/>
        <w:autoSpaceDN w:val="0"/>
        <w:ind w:firstLine="480" w:firstLineChars="200"/>
        <w:rPr>
          <w:rFonts w:ascii="宋体" w:hAnsi="宋体"/>
          <w:szCs w:val="24"/>
        </w:rPr>
      </w:pPr>
      <w:r>
        <w:rPr>
          <w:rFonts w:hint="eastAsia" w:ascii="宋体" w:hAnsi="宋体"/>
          <w:szCs w:val="24"/>
        </w:rPr>
        <w:t>2.此表评审因素和评审标准分别对应磋商文件《评审办法》中相关采购包《技术评审表》中相应栏目内容，并请逐一填写；供应商可以自行增减表格行数。</w:t>
      </w:r>
    </w:p>
    <w:p>
      <w:pPr>
        <w:wordWrap w:val="0"/>
        <w:autoSpaceDE w:val="0"/>
        <w:autoSpaceDN w:val="0"/>
        <w:ind w:firstLine="480" w:firstLineChars="200"/>
        <w:rPr>
          <w:rFonts w:ascii="宋体" w:hAnsi="宋体"/>
          <w:szCs w:val="24"/>
        </w:rPr>
      </w:pPr>
    </w:p>
    <w:p>
      <w:pPr>
        <w:pStyle w:val="6"/>
        <w:numPr>
          <w:ilvl w:val="0"/>
          <w:numId w:val="0"/>
        </w:numPr>
        <w:tabs>
          <w:tab w:val="left" w:pos="945"/>
        </w:tabs>
        <w:rPr>
          <w:rFonts w:ascii="宋体" w:hAnsi="宋体"/>
          <w:szCs w:val="24"/>
        </w:rPr>
      </w:pPr>
      <w:bookmarkStart w:id="398" w:name="_Toc22806197"/>
      <w:r>
        <w:rPr>
          <w:rFonts w:hint="eastAsia" w:ascii="宋体" w:hAnsi="宋体"/>
          <w:szCs w:val="24"/>
        </w:rPr>
        <w:t>2.2商务评审资料索引表</w:t>
      </w:r>
      <w:bookmarkEnd w:id="398"/>
    </w:p>
    <w:p>
      <w:pPr>
        <w:wordWrap w:val="0"/>
        <w:autoSpaceDE w:val="0"/>
        <w:autoSpaceDN w:val="0"/>
        <w:jc w:val="center"/>
        <w:rPr>
          <w:rFonts w:ascii="宋体" w:hAnsi="宋体"/>
          <w:b/>
          <w:sz w:val="32"/>
          <w:szCs w:val="32"/>
        </w:rPr>
      </w:pPr>
      <w:r>
        <w:rPr>
          <w:rFonts w:hint="eastAsia" w:ascii="宋体" w:hAnsi="宋体"/>
          <w:b/>
          <w:sz w:val="32"/>
          <w:szCs w:val="32"/>
        </w:rPr>
        <w:t>商务评审资料索引表</w:t>
      </w:r>
    </w:p>
    <w:p>
      <w:pPr>
        <w:wordWrap w:val="0"/>
        <w:autoSpaceDE w:val="0"/>
        <w:autoSpaceDN w:val="0"/>
        <w:rPr>
          <w:rFonts w:ascii="宋体" w:hAnsi="宋体"/>
          <w:szCs w:val="24"/>
        </w:rPr>
      </w:pPr>
      <w:r>
        <w:rPr>
          <w:rFonts w:hint="eastAsia" w:ascii="宋体" w:hAnsi="宋体"/>
          <w:szCs w:val="24"/>
        </w:rPr>
        <w:t>采购项目名称：2026-2027年广州白云机场海关南1、2号楼物业管理服务</w:t>
      </w:r>
    </w:p>
    <w:p>
      <w:pPr>
        <w:wordWrap w:val="0"/>
        <w:autoSpaceDE w:val="0"/>
        <w:autoSpaceDN w:val="0"/>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211"/>
        <w:gridCol w:w="2256"/>
        <w:gridCol w:w="2796"/>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4"/>
              </w:rPr>
            </w:pPr>
            <w:r>
              <w:rPr>
                <w:rFonts w:hint="eastAsia" w:ascii="宋体" w:hAnsi="宋体"/>
                <w:b/>
                <w:szCs w:val="24"/>
              </w:rPr>
              <w:t>序号</w:t>
            </w:r>
          </w:p>
        </w:tc>
        <w:tc>
          <w:tcPr>
            <w:tcW w:w="12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4"/>
              </w:rPr>
            </w:pPr>
            <w:r>
              <w:rPr>
                <w:rFonts w:hint="eastAsia" w:ascii="宋体" w:hAnsi="宋体"/>
                <w:b/>
                <w:szCs w:val="24"/>
              </w:rPr>
              <w:t>评审因素</w:t>
            </w:r>
          </w:p>
        </w:tc>
        <w:tc>
          <w:tcPr>
            <w:tcW w:w="22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4"/>
              </w:rPr>
            </w:pPr>
            <w:r>
              <w:rPr>
                <w:rFonts w:hint="eastAsia" w:ascii="宋体" w:hAnsi="宋体"/>
                <w:b/>
                <w:szCs w:val="24"/>
              </w:rPr>
              <w:t>评审标准</w:t>
            </w:r>
          </w:p>
        </w:tc>
        <w:tc>
          <w:tcPr>
            <w:tcW w:w="27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4"/>
              </w:rPr>
            </w:pPr>
            <w:r>
              <w:rPr>
                <w:rFonts w:hint="eastAsia" w:ascii="宋体" w:hAnsi="宋体"/>
                <w:b/>
                <w:szCs w:val="24"/>
              </w:rPr>
              <w:t>供应商响应内容简述</w:t>
            </w:r>
          </w:p>
          <w:p>
            <w:pPr>
              <w:jc w:val="center"/>
              <w:rPr>
                <w:rFonts w:ascii="宋体" w:hAnsi="宋体"/>
                <w:b/>
                <w:szCs w:val="24"/>
              </w:rPr>
            </w:pPr>
            <w:r>
              <w:rPr>
                <w:rFonts w:hint="eastAsia" w:ascii="宋体" w:hAnsi="宋体"/>
                <w:b/>
                <w:szCs w:val="24"/>
              </w:rPr>
              <w:t>（如有，可选）</w:t>
            </w: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4"/>
              </w:rPr>
            </w:pPr>
            <w:r>
              <w:rPr>
                <w:rFonts w:hint="eastAsia" w:ascii="宋体" w:hAnsi="宋体"/>
                <w:b/>
                <w:szCs w:val="24"/>
              </w:rPr>
              <w:t>证明文件所在页码范围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1</w:t>
            </w:r>
          </w:p>
        </w:tc>
        <w:tc>
          <w:tcPr>
            <w:tcW w:w="12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2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7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2</w:t>
            </w:r>
          </w:p>
        </w:tc>
        <w:tc>
          <w:tcPr>
            <w:tcW w:w="12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2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7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w:t>
            </w:r>
          </w:p>
        </w:tc>
        <w:tc>
          <w:tcPr>
            <w:tcW w:w="12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2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27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4"/>
              </w:rPr>
            </w:pPr>
            <w:r>
              <w:rPr>
                <w:rFonts w:hint="eastAsia" w:ascii="宋体" w:hAnsi="宋体"/>
                <w:szCs w:val="24"/>
              </w:rPr>
              <w:t>第（  ）页</w:t>
            </w:r>
          </w:p>
        </w:tc>
      </w:tr>
    </w:tbl>
    <w:p>
      <w:pPr>
        <w:wordWrap w:val="0"/>
        <w:autoSpaceDE w:val="0"/>
        <w:autoSpaceDN w:val="0"/>
        <w:rPr>
          <w:rFonts w:ascii="宋体" w:hAnsi="宋体"/>
          <w:b/>
          <w:szCs w:val="24"/>
        </w:rPr>
      </w:pPr>
      <w:r>
        <w:rPr>
          <w:rFonts w:hint="eastAsia" w:ascii="宋体" w:hAnsi="宋体"/>
          <w:b/>
          <w:szCs w:val="24"/>
        </w:rPr>
        <w:t>备注：</w:t>
      </w:r>
    </w:p>
    <w:p>
      <w:pPr>
        <w:wordWrap w:val="0"/>
        <w:autoSpaceDE w:val="0"/>
        <w:autoSpaceDN w:val="0"/>
        <w:ind w:firstLine="480" w:firstLineChars="200"/>
        <w:rPr>
          <w:rFonts w:ascii="宋体" w:hAnsi="宋体"/>
          <w:szCs w:val="24"/>
        </w:rPr>
      </w:pPr>
      <w:r>
        <w:rPr>
          <w:rFonts w:hint="eastAsia" w:ascii="宋体" w:hAnsi="宋体"/>
          <w:szCs w:val="24"/>
        </w:rPr>
        <w:t>1.此表内容应当根据磋商文件要求及响应文件响应情况如实填写。</w:t>
      </w:r>
    </w:p>
    <w:p>
      <w:pPr>
        <w:wordWrap w:val="0"/>
        <w:autoSpaceDE w:val="0"/>
        <w:autoSpaceDN w:val="0"/>
        <w:ind w:firstLine="480" w:firstLineChars="200"/>
        <w:rPr>
          <w:rFonts w:ascii="宋体" w:hAnsi="宋体"/>
          <w:szCs w:val="24"/>
        </w:rPr>
      </w:pPr>
      <w:r>
        <w:rPr>
          <w:rFonts w:hint="eastAsia" w:ascii="宋体" w:hAnsi="宋体"/>
          <w:szCs w:val="24"/>
        </w:rPr>
        <w:t>2.此表评审因素和评审标准分别对应磋商文件《评审办法》中相关采购包《商务评审表》中相应栏目内容，并请逐一填写；供应商可以自行增减表格行数。</w:t>
      </w:r>
    </w:p>
    <w:p>
      <w:pPr>
        <w:wordWrap w:val="0"/>
        <w:autoSpaceDE w:val="0"/>
        <w:autoSpaceDN w:val="0"/>
        <w:ind w:firstLine="480" w:firstLineChars="200"/>
        <w:rPr>
          <w:rFonts w:ascii="宋体" w:hAnsi="宋体"/>
          <w:szCs w:val="24"/>
        </w:rPr>
      </w:pPr>
    </w:p>
    <w:p>
      <w:pPr>
        <w:wordWrap w:val="0"/>
        <w:autoSpaceDE w:val="0"/>
        <w:autoSpaceDN w:val="0"/>
        <w:rPr>
          <w:rFonts w:ascii="宋体" w:hAnsi="宋体"/>
          <w:szCs w:val="24"/>
        </w:rPr>
      </w:pPr>
    </w:p>
    <w:p>
      <w:pPr>
        <w:pStyle w:val="4"/>
        <w:numPr>
          <w:ilvl w:val="0"/>
          <w:numId w:val="59"/>
        </w:numPr>
        <w:tabs>
          <w:tab w:val="left" w:pos="945"/>
        </w:tabs>
        <w:spacing w:before="0" w:after="0" w:line="360" w:lineRule="auto"/>
        <w:ind w:left="980" w:hanging="980" w:hangingChars="350"/>
        <w:rPr>
          <w:rFonts w:ascii="宋体" w:hAnsi="宋体"/>
          <w:sz w:val="28"/>
          <w:szCs w:val="28"/>
        </w:rPr>
      </w:pPr>
      <w:bookmarkStart w:id="399" w:name="_Toc50460246"/>
      <w:bookmarkStart w:id="400" w:name="_Toc22806198"/>
      <w:bookmarkStart w:id="401" w:name="_Toc56180353"/>
      <w:bookmarkStart w:id="402" w:name="_Toc55398758"/>
      <w:r>
        <w:rPr>
          <w:rFonts w:hint="eastAsia" w:ascii="宋体" w:hAnsi="宋体"/>
          <w:sz w:val="28"/>
          <w:szCs w:val="28"/>
        </w:rPr>
        <w:t>资格、资信证明文件</w:t>
      </w:r>
      <w:bookmarkEnd w:id="399"/>
      <w:bookmarkEnd w:id="400"/>
      <w:bookmarkEnd w:id="401"/>
      <w:bookmarkEnd w:id="402"/>
    </w:p>
    <w:p>
      <w:pPr>
        <w:pStyle w:val="5"/>
        <w:numPr>
          <w:ilvl w:val="0"/>
          <w:numId w:val="62"/>
        </w:numPr>
        <w:tabs>
          <w:tab w:val="left" w:pos="945"/>
        </w:tabs>
        <w:spacing w:before="0" w:after="0" w:line="360" w:lineRule="auto"/>
        <w:rPr>
          <w:sz w:val="24"/>
          <w:szCs w:val="24"/>
        </w:rPr>
      </w:pPr>
      <w:bookmarkStart w:id="403" w:name="_Toc56180354"/>
      <w:bookmarkStart w:id="404" w:name="_Toc50460247"/>
      <w:bookmarkStart w:id="405" w:name="_Toc55398759"/>
      <w:r>
        <w:rPr>
          <w:rFonts w:hint="eastAsia"/>
          <w:sz w:val="24"/>
          <w:szCs w:val="24"/>
        </w:rPr>
        <w:t>报价函和供应商资格申明函</w:t>
      </w:r>
      <w:bookmarkEnd w:id="403"/>
      <w:bookmarkEnd w:id="404"/>
      <w:bookmarkEnd w:id="405"/>
    </w:p>
    <w:p>
      <w:pPr>
        <w:pStyle w:val="6"/>
        <w:numPr>
          <w:ilvl w:val="1"/>
          <w:numId w:val="63"/>
        </w:numPr>
        <w:tabs>
          <w:tab w:val="left" w:pos="945"/>
        </w:tabs>
        <w:ind w:left="960" w:hanging="960" w:hangingChars="400"/>
        <w:rPr>
          <w:rFonts w:ascii="宋体" w:hAnsi="宋体"/>
          <w:szCs w:val="24"/>
        </w:rPr>
      </w:pPr>
      <w:r>
        <w:rPr>
          <w:rFonts w:hint="eastAsia" w:ascii="宋体" w:hAnsi="宋体"/>
          <w:szCs w:val="24"/>
        </w:rPr>
        <w:t>报价函</w:t>
      </w:r>
    </w:p>
    <w:p>
      <w:pPr>
        <w:pStyle w:val="14"/>
        <w:jc w:val="center"/>
        <w:rPr>
          <w:rFonts w:hAnsi="宋体"/>
          <w:b/>
          <w:sz w:val="32"/>
          <w:szCs w:val="32"/>
        </w:rPr>
      </w:pPr>
      <w:r>
        <w:rPr>
          <w:rFonts w:hint="eastAsia" w:hAnsi="宋体"/>
          <w:b/>
          <w:sz w:val="32"/>
          <w:szCs w:val="32"/>
        </w:rPr>
        <w:t>报价函</w:t>
      </w:r>
    </w:p>
    <w:p>
      <w:pPr>
        <w:rPr>
          <w:rFonts w:ascii="宋体" w:hAnsi="宋体"/>
          <w:b/>
          <w:szCs w:val="24"/>
        </w:rPr>
      </w:pPr>
      <w:r>
        <w:rPr>
          <w:rFonts w:hint="eastAsia" w:ascii="宋体" w:hAnsi="宋体"/>
          <w:szCs w:val="24"/>
        </w:rPr>
        <w:t>致：</w:t>
      </w:r>
      <w:r>
        <w:rPr>
          <w:rFonts w:hint="eastAsia" w:ascii="宋体" w:hAnsi="宋体"/>
          <w:b/>
          <w:szCs w:val="24"/>
        </w:rPr>
        <w:t>广东华伦招标有限公司</w:t>
      </w:r>
    </w:p>
    <w:p>
      <w:pPr>
        <w:pStyle w:val="14"/>
        <w:ind w:firstLine="480" w:firstLineChars="200"/>
        <w:rPr>
          <w:rFonts w:hAnsi="宋体"/>
          <w:szCs w:val="24"/>
        </w:rPr>
      </w:pPr>
      <w:r>
        <w:rPr>
          <w:rFonts w:hint="eastAsia" w:hAnsi="宋体"/>
          <w:szCs w:val="24"/>
        </w:rPr>
        <w:t>我方确认收到贵方</w:t>
      </w:r>
      <w:r>
        <w:rPr>
          <w:rFonts w:hint="eastAsia" w:hAnsi="宋体"/>
          <w:kern w:val="28"/>
          <w:szCs w:val="24"/>
          <w:u w:val="single"/>
        </w:rPr>
        <w:t>2026-2027年广州白云机场海关南1、2号楼物业管理服务</w:t>
      </w:r>
      <w:r>
        <w:rPr>
          <w:rFonts w:hint="eastAsia" w:hAnsi="宋体"/>
          <w:kern w:val="28"/>
          <w:szCs w:val="24"/>
        </w:rPr>
        <w:t>的磋商文件</w:t>
      </w:r>
      <w:r>
        <w:rPr>
          <w:rFonts w:hint="eastAsia" w:hAnsi="宋体"/>
          <w:szCs w:val="24"/>
        </w:rPr>
        <w:t>[采购文件编号为：</w:t>
      </w:r>
      <w:r>
        <w:rPr>
          <w:rFonts w:hint="eastAsia" w:hAnsi="宋体"/>
          <w:szCs w:val="24"/>
          <w:u w:val="single"/>
        </w:rPr>
        <w:t>0809-25401GJC302013801</w:t>
      </w:r>
      <w:r>
        <w:rPr>
          <w:rFonts w:hint="eastAsia" w:hAnsi="宋体"/>
          <w:szCs w:val="24"/>
        </w:rPr>
        <w:t>]的全部内容。我方已详细研究了磋商文件的所有内容，包括澄清、修改文件（如果有）和所有已提供的参考资料以及有关附件。</w:t>
      </w:r>
    </w:p>
    <w:p>
      <w:pPr>
        <w:pStyle w:val="14"/>
        <w:ind w:firstLine="480" w:firstLineChars="200"/>
        <w:rPr>
          <w:rFonts w:hAnsi="宋体"/>
          <w:szCs w:val="24"/>
        </w:rPr>
      </w:pPr>
      <w:r>
        <w:rPr>
          <w:rFonts w:hint="eastAsia" w:hAnsi="宋体"/>
          <w:szCs w:val="24"/>
        </w:rPr>
        <w:t>我方已完全明白磋商文件的所有条款要求，自愿参加磋商，并声明如下：</w:t>
      </w:r>
    </w:p>
    <w:p>
      <w:pPr>
        <w:pStyle w:val="14"/>
        <w:ind w:firstLine="480" w:firstLineChars="200"/>
        <w:rPr>
          <w:rFonts w:hAnsi="宋体"/>
          <w:szCs w:val="24"/>
        </w:rPr>
      </w:pPr>
      <w:r>
        <w:rPr>
          <w:rFonts w:hint="eastAsia" w:hAnsi="宋体"/>
          <w:szCs w:val="24"/>
        </w:rPr>
        <w:t>（一）按磋商文件提供的全部标的与相关服务的首次报价详见《首次报价一览表》。</w:t>
      </w:r>
    </w:p>
    <w:p>
      <w:pPr>
        <w:pStyle w:val="14"/>
        <w:ind w:firstLine="480" w:firstLineChars="200"/>
        <w:rPr>
          <w:rFonts w:hAnsi="宋体"/>
          <w:szCs w:val="24"/>
        </w:rPr>
      </w:pPr>
      <w:r>
        <w:rPr>
          <w:rFonts w:hint="eastAsia" w:hAnsi="宋体"/>
          <w:szCs w:val="24"/>
        </w:rPr>
        <w:t>（二）本响应文件的有效期为提交首次报价截止时间起</w:t>
      </w:r>
      <w:r>
        <w:rPr>
          <w:rFonts w:hint="eastAsia" w:hAnsi="宋体"/>
          <w:b/>
          <w:i/>
          <w:szCs w:val="24"/>
          <w:u w:val="single"/>
        </w:rPr>
        <w:t>（磋商有效期）</w:t>
      </w:r>
      <w:r>
        <w:rPr>
          <w:rFonts w:hint="eastAsia" w:hAnsi="宋体"/>
          <w:szCs w:val="24"/>
        </w:rPr>
        <w:t>天。如成交，有效期将延至合同终止日为止。在此提交的资格证明文件均至提交首次报价截止日有效，如有在磋商有效期内失效的，我方承诺在成交后补齐一切手续，保证所有资格证明文件能在签订采购合同时直至采购合同终止日有效。</w:t>
      </w:r>
    </w:p>
    <w:p>
      <w:pPr>
        <w:pStyle w:val="14"/>
        <w:ind w:firstLine="480" w:firstLineChars="200"/>
        <w:rPr>
          <w:rFonts w:hAnsi="宋体"/>
          <w:szCs w:val="24"/>
        </w:rPr>
      </w:pPr>
      <w:r>
        <w:rPr>
          <w:rFonts w:hint="eastAsia" w:hAnsi="宋体"/>
          <w:szCs w:val="24"/>
        </w:rPr>
        <w:t>（三）我方明白并同意，在规定的首次响应文件开启日之后，磋商有效期之内撤回报价或成交后不按规定与采购人签订合同或不提交履约保证金（如项目（采购包）要求），则我方承担违约责任（如项目（采购包）要求缴纳磋商保证金的，我方同意贵方不退还磋商保证金）。</w:t>
      </w:r>
    </w:p>
    <w:p>
      <w:pPr>
        <w:pStyle w:val="14"/>
        <w:ind w:firstLine="480" w:firstLineChars="200"/>
        <w:rPr>
          <w:rFonts w:hAnsi="宋体"/>
          <w:szCs w:val="24"/>
        </w:rPr>
      </w:pPr>
      <w:r>
        <w:rPr>
          <w:rFonts w:hint="eastAsia" w:hAnsi="宋体"/>
          <w:szCs w:val="24"/>
        </w:rPr>
        <w:t>（四）我方同意按照贵方可能提出的要求而提供与采购活动有关的任何其它数据、信息或资料。</w:t>
      </w:r>
    </w:p>
    <w:p>
      <w:pPr>
        <w:pStyle w:val="14"/>
        <w:ind w:firstLine="480" w:firstLineChars="200"/>
        <w:rPr>
          <w:rFonts w:hAnsi="宋体"/>
          <w:szCs w:val="24"/>
        </w:rPr>
      </w:pPr>
      <w:r>
        <w:rPr>
          <w:rFonts w:hint="eastAsia" w:hAnsi="宋体"/>
          <w:szCs w:val="24"/>
        </w:rPr>
        <w:t>（五）</w:t>
      </w:r>
      <w:r>
        <w:rPr>
          <w:rFonts w:hint="eastAsia" w:hAnsi="宋体"/>
        </w:rPr>
        <w:t>我们理解采购人与磋商小组并无义务必须接受最低报价的磋商或其它任何磋商，完全理解采购代理机构拒绝迟到的任何磋商和最低磋商报价不是被授予成交的唯一条件</w:t>
      </w:r>
      <w:r>
        <w:rPr>
          <w:rFonts w:hint="eastAsia" w:hAnsi="宋体"/>
          <w:szCs w:val="24"/>
        </w:rPr>
        <w:t>。</w:t>
      </w:r>
    </w:p>
    <w:p>
      <w:pPr>
        <w:pStyle w:val="14"/>
        <w:ind w:firstLine="480" w:firstLineChars="200"/>
        <w:rPr>
          <w:rFonts w:hAnsi="宋体"/>
          <w:szCs w:val="24"/>
        </w:rPr>
      </w:pPr>
      <w:r>
        <w:rPr>
          <w:rFonts w:hint="eastAsia" w:hAnsi="宋体"/>
          <w:szCs w:val="24"/>
        </w:rPr>
        <w:t>（六）我方如果成交，将保证履行磋商文件及其澄清、修改文件（如果有）中的全部责任和义务，按质、按量、按期完成《采购需求》及《合同文本》中的全部工作。</w:t>
      </w:r>
    </w:p>
    <w:p>
      <w:pPr>
        <w:pStyle w:val="14"/>
        <w:ind w:firstLine="480" w:firstLineChars="200"/>
        <w:rPr>
          <w:rFonts w:hAnsi="宋体"/>
          <w:szCs w:val="24"/>
        </w:rPr>
      </w:pPr>
      <w:r>
        <w:rPr>
          <w:rFonts w:hint="eastAsia" w:hAnsi="宋体"/>
          <w:szCs w:val="24"/>
        </w:rPr>
        <w:t>（七）如我方被授予合同，我方承诺按照磋商文件的约定支付就本次采购应支付或将支付的采购代理服务费（详见按磋商文件要求格式填写的《采购代理服务费支付承诺书》）。</w:t>
      </w:r>
    </w:p>
    <w:p>
      <w:pPr>
        <w:pStyle w:val="14"/>
        <w:ind w:firstLine="480" w:firstLineChars="200"/>
        <w:rPr>
          <w:rFonts w:hAnsi="宋体"/>
          <w:szCs w:val="24"/>
        </w:rPr>
      </w:pPr>
      <w:r>
        <w:rPr>
          <w:rFonts w:hint="eastAsia" w:hAnsi="宋体"/>
          <w:szCs w:val="24"/>
        </w:rPr>
        <w:t>（八）我方作为是在法律、财务和运作上独立于采购人、采购代理机构的报价供应商，在此保证所提交的所有文件和全部说明是真实的和正确的。</w:t>
      </w:r>
    </w:p>
    <w:p>
      <w:pPr>
        <w:pStyle w:val="14"/>
        <w:ind w:firstLine="480" w:firstLineChars="200"/>
        <w:rPr>
          <w:rFonts w:hAnsi="宋体"/>
          <w:szCs w:val="24"/>
        </w:rPr>
      </w:pPr>
      <w:r>
        <w:rPr>
          <w:rFonts w:hint="eastAsia" w:hAnsi="宋体"/>
          <w:szCs w:val="24"/>
        </w:rPr>
        <w:t>（九）我方保证，采购人在中华人民共和国境内使用我方报价货物、资料、技术、服务、工程或其任何一部分时，享有不受限制的无偿使用权，如有第三方向采购人提出侵犯其专利权、商标权或其它知识产权的主张，该责任由我方承担。我方的报价已包含所有应向所有权人支付的专利权、商标权或其它知识产权的一切相关费用。</w:t>
      </w:r>
    </w:p>
    <w:p>
      <w:pPr>
        <w:pStyle w:val="14"/>
        <w:ind w:firstLine="480" w:firstLineChars="200"/>
        <w:rPr>
          <w:rFonts w:hAnsi="宋体"/>
          <w:b/>
          <w:szCs w:val="24"/>
        </w:rPr>
      </w:pPr>
      <w:r>
        <w:rPr>
          <w:rFonts w:hint="eastAsia" w:hAnsi="宋体"/>
          <w:b/>
          <w:szCs w:val="24"/>
        </w:rPr>
        <w:t>（十）</w:t>
      </w:r>
      <w:r>
        <w:rPr>
          <w:rFonts w:hint="eastAsia" w:hAnsi="宋体"/>
        </w:rPr>
        <w:t>我方在此声明，所递交的响应文件及有关资料内容完整、真实和准确。如果我们未对磋商文件全部要求作出实质性响应，则完全同意并接受按无效磋商处理。</w:t>
      </w:r>
    </w:p>
    <w:p>
      <w:pPr>
        <w:pStyle w:val="14"/>
        <w:ind w:firstLine="480" w:firstLineChars="200"/>
        <w:rPr>
          <w:rFonts w:hAnsi="宋体"/>
          <w:szCs w:val="24"/>
        </w:rPr>
      </w:pPr>
      <w:r>
        <w:rPr>
          <w:rFonts w:hint="eastAsia" w:hAnsi="宋体"/>
          <w:szCs w:val="24"/>
        </w:rPr>
        <w:t>（十一）我方对在本函及响应文件中所作的所有承诺承担法律责任。</w:t>
      </w:r>
    </w:p>
    <w:p>
      <w:pPr>
        <w:pStyle w:val="14"/>
        <w:ind w:firstLine="480" w:firstLineChars="200"/>
        <w:rPr>
          <w:rFonts w:hAnsi="宋体"/>
          <w:szCs w:val="24"/>
        </w:rPr>
      </w:pPr>
      <w:r>
        <w:rPr>
          <w:rFonts w:hint="eastAsia" w:hAnsi="宋体"/>
          <w:szCs w:val="24"/>
        </w:rPr>
        <w:t>（十二）我方承诺成交后不将项目分包或转包给任何单位和个人（磋商文件允许的分包除外），否则，采购人有权即刻终止合同，并由我方赔偿相应损失。</w:t>
      </w:r>
    </w:p>
    <w:p>
      <w:pPr>
        <w:pStyle w:val="14"/>
        <w:ind w:firstLine="480" w:firstLineChars="200"/>
        <w:rPr>
          <w:rFonts w:hAnsi="宋体"/>
          <w:szCs w:val="24"/>
        </w:rPr>
      </w:pPr>
      <w:r>
        <w:rPr>
          <w:rFonts w:hint="eastAsia" w:hAnsi="宋体"/>
          <w:szCs w:val="24"/>
        </w:rPr>
        <w:t>（十三）所有与本采购有关的函件请发往下列地址：</w:t>
      </w:r>
    </w:p>
    <w:p>
      <w:pPr>
        <w:pStyle w:val="14"/>
        <w:ind w:firstLine="480" w:firstLineChars="200"/>
        <w:rPr>
          <w:rFonts w:hAnsi="宋体"/>
          <w:szCs w:val="24"/>
          <w:u w:val="single"/>
        </w:rPr>
      </w:pPr>
      <w:r>
        <w:rPr>
          <w:rFonts w:hint="eastAsia" w:hAnsi="宋体"/>
          <w:szCs w:val="24"/>
        </w:rPr>
        <w:t>地    址：</w:t>
      </w:r>
      <w:r>
        <w:rPr>
          <w:rFonts w:hint="eastAsia" w:hAnsi="宋体"/>
          <w:szCs w:val="24"/>
          <w:u w:val="single"/>
        </w:rPr>
        <w:t xml:space="preserve">                        </w:t>
      </w:r>
      <w:r>
        <w:rPr>
          <w:rFonts w:hint="eastAsia" w:hAnsi="宋体"/>
          <w:szCs w:val="24"/>
        </w:rPr>
        <w:t>. 邮政编码：</w:t>
      </w:r>
      <w:r>
        <w:rPr>
          <w:rFonts w:hint="eastAsia" w:hAnsi="宋体"/>
          <w:szCs w:val="24"/>
          <w:u w:val="single"/>
        </w:rPr>
        <w:t xml:space="preserve">                        </w:t>
      </w:r>
      <w:r>
        <w:rPr>
          <w:rFonts w:hint="eastAsia" w:hAnsi="宋体"/>
          <w:szCs w:val="24"/>
        </w:rPr>
        <w:t>.</w:t>
      </w:r>
    </w:p>
    <w:p>
      <w:pPr>
        <w:pStyle w:val="14"/>
        <w:ind w:firstLine="480" w:firstLineChars="200"/>
        <w:rPr>
          <w:rFonts w:hAnsi="宋体"/>
          <w:szCs w:val="24"/>
        </w:rPr>
      </w:pPr>
      <w:r>
        <w:rPr>
          <w:rFonts w:hint="eastAsia" w:hAnsi="宋体"/>
          <w:szCs w:val="24"/>
        </w:rPr>
        <w:t>电    话：</w:t>
      </w:r>
      <w:r>
        <w:rPr>
          <w:rFonts w:hint="eastAsia" w:hAnsi="宋体"/>
          <w:szCs w:val="24"/>
          <w:u w:val="single"/>
        </w:rPr>
        <w:t xml:space="preserve">                        </w:t>
      </w:r>
      <w:r>
        <w:rPr>
          <w:rFonts w:hint="eastAsia" w:hAnsi="宋体"/>
          <w:szCs w:val="24"/>
        </w:rPr>
        <w:t>. 传    真：</w:t>
      </w:r>
      <w:r>
        <w:rPr>
          <w:rFonts w:hint="eastAsia" w:hAnsi="宋体"/>
          <w:szCs w:val="24"/>
          <w:u w:val="single"/>
        </w:rPr>
        <w:t xml:space="preserve">                        </w:t>
      </w:r>
      <w:r>
        <w:rPr>
          <w:rFonts w:hint="eastAsia" w:hAnsi="宋体"/>
          <w:szCs w:val="24"/>
        </w:rPr>
        <w:t>.</w:t>
      </w:r>
    </w:p>
    <w:p>
      <w:pPr>
        <w:pStyle w:val="14"/>
        <w:ind w:firstLine="480" w:firstLineChars="200"/>
        <w:rPr>
          <w:rFonts w:hAnsi="宋体"/>
          <w:szCs w:val="24"/>
          <w:u w:val="single"/>
        </w:rPr>
      </w:pPr>
      <w:r>
        <w:rPr>
          <w:rFonts w:hint="eastAsia" w:hAnsi="宋体"/>
          <w:szCs w:val="24"/>
        </w:rPr>
        <w:t>代表姓名：</w:t>
      </w:r>
      <w:r>
        <w:rPr>
          <w:rFonts w:hint="eastAsia" w:hAnsi="宋体"/>
          <w:szCs w:val="24"/>
          <w:u w:val="single"/>
        </w:rPr>
        <w:t xml:space="preserve">                        </w:t>
      </w:r>
      <w:r>
        <w:rPr>
          <w:rFonts w:hint="eastAsia" w:hAnsi="宋体"/>
          <w:szCs w:val="24"/>
        </w:rPr>
        <w:t>. 职    务：</w:t>
      </w:r>
      <w:r>
        <w:rPr>
          <w:rFonts w:hint="eastAsia" w:hAnsi="宋体"/>
          <w:szCs w:val="24"/>
          <w:u w:val="single"/>
        </w:rPr>
        <w:t xml:space="preserve">                        </w:t>
      </w:r>
      <w:r>
        <w:rPr>
          <w:rFonts w:hint="eastAsia" w:hAnsi="宋体"/>
          <w:szCs w:val="24"/>
        </w:rPr>
        <w:t>.</w:t>
      </w:r>
    </w:p>
    <w:p>
      <w:pPr>
        <w:wordWrap w:val="0"/>
        <w:autoSpaceDE w:val="0"/>
        <w:autoSpaceDN w:val="0"/>
        <w:rPr>
          <w:rFonts w:ascii="宋体" w:hAnsi="宋体"/>
          <w:szCs w:val="24"/>
        </w:rPr>
      </w:pPr>
    </w:p>
    <w:p>
      <w:pPr>
        <w:wordWrap w:val="0"/>
        <w:autoSpaceDE w:val="0"/>
        <w:autoSpaceDN w:val="0"/>
        <w:ind w:firstLine="480" w:firstLineChars="200"/>
        <w:rPr>
          <w:rFonts w:ascii="宋体" w:hAnsi="宋体"/>
          <w:szCs w:val="24"/>
        </w:rPr>
      </w:pPr>
      <w:r>
        <w:rPr>
          <w:rFonts w:hint="eastAsia" w:ascii="宋体" w:hAnsi="宋体"/>
          <w:szCs w:val="24"/>
        </w:rPr>
        <w:t>以上内容如有虚假或与事实不符的，评审委员会可将我方做无效响应处理，我方愿意承担相应的法律责任。</w:t>
      </w:r>
    </w:p>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rPr>
          <w:rFonts w:ascii="宋体" w:hAnsi="宋体"/>
          <w:b/>
        </w:rPr>
      </w:pPr>
    </w:p>
    <w:p>
      <w:pPr>
        <w:rPr>
          <w:rFonts w:ascii="宋体" w:hAnsi="宋体"/>
          <w:b/>
        </w:rPr>
      </w:pPr>
      <w:r>
        <w:rPr>
          <w:rFonts w:hint="eastAsia" w:ascii="宋体" w:hAnsi="宋体"/>
          <w:b/>
        </w:rPr>
        <w:t>备注：</w:t>
      </w:r>
    </w:p>
    <w:p>
      <w:pPr>
        <w:ind w:firstLine="480" w:firstLineChars="200"/>
        <w:rPr>
          <w:rFonts w:ascii="宋体" w:hAnsi="宋体"/>
        </w:rPr>
      </w:pPr>
      <w:r>
        <w:rPr>
          <w:rFonts w:hint="eastAsia" w:ascii="宋体" w:hAnsi="宋体"/>
        </w:rPr>
        <w:t>1.本格式文件承诺的磋商有效期应当不少于磋商文件中载明的磋商有效期，其他内容不得擅自删改，否则可能被视为</w:t>
      </w:r>
      <w:r>
        <w:rPr>
          <w:rFonts w:hint="eastAsia" w:ascii="宋体" w:hAnsi="宋体"/>
          <w:b/>
        </w:rPr>
        <w:t>无效响应</w:t>
      </w:r>
      <w:r>
        <w:rPr>
          <w:rFonts w:hint="eastAsia" w:ascii="宋体" w:hAnsi="宋体"/>
        </w:rPr>
        <w:t>。</w:t>
      </w:r>
    </w:p>
    <w:p>
      <w:pPr>
        <w:ind w:firstLine="480" w:firstLineChars="200"/>
        <w:rPr>
          <w:rFonts w:ascii="宋体" w:hAnsi="宋体"/>
        </w:rPr>
      </w:pPr>
    </w:p>
    <w:p>
      <w:pPr>
        <w:ind w:firstLine="480" w:firstLineChars="200"/>
        <w:rPr>
          <w:rFonts w:ascii="宋体" w:hAnsi="宋体"/>
        </w:rPr>
      </w:pPr>
    </w:p>
    <w:p>
      <w:pPr>
        <w:ind w:firstLine="480" w:firstLineChars="200"/>
        <w:rPr>
          <w:rFonts w:ascii="宋体" w:hAnsi="宋体"/>
        </w:rPr>
      </w:pPr>
    </w:p>
    <w:p>
      <w:pPr>
        <w:rPr>
          <w:rFonts w:ascii="宋体" w:hAnsi="宋体"/>
        </w:rPr>
      </w:pPr>
    </w:p>
    <w:p>
      <w:pPr>
        <w:pStyle w:val="6"/>
        <w:numPr>
          <w:ilvl w:val="1"/>
          <w:numId w:val="63"/>
        </w:numPr>
        <w:tabs>
          <w:tab w:val="left" w:pos="945"/>
        </w:tabs>
        <w:ind w:left="960" w:hanging="960" w:hangingChars="400"/>
        <w:rPr>
          <w:rFonts w:ascii="宋体" w:hAnsi="宋体"/>
          <w:szCs w:val="24"/>
        </w:rPr>
      </w:pPr>
      <w:r>
        <w:rPr>
          <w:rFonts w:hint="eastAsia" w:ascii="宋体" w:hAnsi="宋体"/>
          <w:szCs w:val="24"/>
        </w:rPr>
        <w:br w:type="page"/>
      </w:r>
      <w:r>
        <w:rPr>
          <w:rFonts w:hint="eastAsia" w:ascii="宋体" w:hAnsi="宋体"/>
          <w:szCs w:val="24"/>
        </w:rPr>
        <w:t>供应商资格声明函</w:t>
      </w:r>
    </w:p>
    <w:p>
      <w:pPr>
        <w:pStyle w:val="14"/>
        <w:jc w:val="center"/>
        <w:rPr>
          <w:rFonts w:hAnsi="宋体"/>
          <w:b/>
          <w:sz w:val="32"/>
          <w:szCs w:val="32"/>
        </w:rPr>
      </w:pPr>
      <w:r>
        <w:rPr>
          <w:rFonts w:hint="eastAsia" w:hAnsi="宋体"/>
          <w:b/>
          <w:sz w:val="32"/>
          <w:szCs w:val="32"/>
        </w:rPr>
        <w:t>供应商资格声明函</w:t>
      </w:r>
    </w:p>
    <w:p>
      <w:pPr>
        <w:snapToGrid w:val="0"/>
        <w:rPr>
          <w:rFonts w:ascii="宋体" w:hAnsi="宋体"/>
          <w:b/>
        </w:rPr>
      </w:pPr>
      <w:r>
        <w:rPr>
          <w:rFonts w:hint="eastAsia" w:ascii="宋体" w:hAnsi="宋体"/>
          <w:b/>
        </w:rPr>
        <w:t>广东华伦招标有限公司：</w:t>
      </w:r>
    </w:p>
    <w:p>
      <w:pPr>
        <w:snapToGrid w:val="0"/>
        <w:ind w:firstLine="480" w:firstLineChars="200"/>
        <w:rPr>
          <w:rFonts w:ascii="宋体" w:hAnsi="宋体"/>
        </w:rPr>
      </w:pPr>
      <w:r>
        <w:rPr>
          <w:rFonts w:hint="eastAsia" w:ascii="宋体" w:hAnsi="宋体"/>
        </w:rPr>
        <w:t>关于贵方发布</w:t>
      </w:r>
      <w:r>
        <w:rPr>
          <w:rFonts w:hint="eastAsia" w:ascii="宋体" w:hAnsi="宋体"/>
          <w:szCs w:val="24"/>
          <w:u w:val="single"/>
        </w:rPr>
        <w:t>2026-2027年广州白云机场海关南1、2号楼物业管理服务</w:t>
      </w:r>
      <w:r>
        <w:rPr>
          <w:rFonts w:hint="eastAsia" w:ascii="宋体" w:hAnsi="宋体"/>
        </w:rPr>
        <w:t>[采购文件编号：</w:t>
      </w:r>
      <w:r>
        <w:rPr>
          <w:rFonts w:hint="eastAsia" w:hAnsi="宋体"/>
          <w:szCs w:val="24"/>
          <w:u w:val="single"/>
        </w:rPr>
        <w:t>0809-25401GJC302013801</w:t>
      </w:r>
      <w:r>
        <w:rPr>
          <w:rFonts w:hint="eastAsia" w:hAnsi="宋体"/>
          <w:szCs w:val="24"/>
        </w:rPr>
        <w:t>]</w:t>
      </w:r>
      <w:r>
        <w:rPr>
          <w:rFonts w:hint="eastAsia" w:ascii="宋体" w:hAnsi="宋体"/>
        </w:rPr>
        <w:t>的磋商公告，本单位愿意参加上述项目</w:t>
      </w:r>
      <w:r>
        <w:rPr>
          <w:rFonts w:hint="eastAsia" w:hAnsi="宋体"/>
          <w:szCs w:val="24"/>
        </w:rPr>
        <w:t>/采购包号</w:t>
      </w:r>
      <w:r>
        <w:rPr>
          <w:rFonts w:hint="eastAsia" w:hAnsi="宋体"/>
          <w:i/>
          <w:szCs w:val="24"/>
          <w:u w:val="single"/>
        </w:rPr>
        <w:t>（如有，填写磋商采购包号）</w:t>
      </w:r>
      <w:r>
        <w:rPr>
          <w:rFonts w:hint="eastAsia" w:ascii="宋体" w:hAnsi="宋体"/>
        </w:rPr>
        <w:t>磋商，并已清楚磋商文件的要求及有关文件规定，声明如下：</w:t>
      </w:r>
    </w:p>
    <w:p>
      <w:pPr>
        <w:pStyle w:val="38"/>
        <w:tabs>
          <w:tab w:val="left" w:pos="993"/>
        </w:tabs>
        <w:snapToGrid w:val="0"/>
        <w:rPr>
          <w:rFonts w:ascii="宋体" w:hAnsi="宋体"/>
        </w:rPr>
      </w:pPr>
      <w:r>
        <w:rPr>
          <w:rFonts w:hint="eastAsia" w:ascii="宋体" w:hAnsi="宋体"/>
        </w:rPr>
        <w:t>（一）我方具备《中华人民共和国政府采购法》第二十二条所规定的条件</w:t>
      </w:r>
      <w:r>
        <w:rPr>
          <w:rFonts w:hint="eastAsia" w:ascii="宋体" w:hAnsi="宋体" w:cs="宋体"/>
          <w:kern w:val="0"/>
          <w:szCs w:val="24"/>
        </w:rPr>
        <w:t>（说明：若接受联合体报价且为联合体报价的，各方均需满足）</w:t>
      </w:r>
      <w:r>
        <w:rPr>
          <w:rFonts w:hint="eastAsia" w:ascii="宋体" w:hAnsi="宋体"/>
        </w:rPr>
        <w:t>：</w:t>
      </w:r>
    </w:p>
    <w:p>
      <w:pPr>
        <w:pStyle w:val="38"/>
        <w:tabs>
          <w:tab w:val="left" w:pos="993"/>
        </w:tabs>
        <w:snapToGrid w:val="0"/>
        <w:rPr>
          <w:rFonts w:ascii="宋体" w:hAnsi="宋体"/>
          <w:szCs w:val="24"/>
        </w:rPr>
      </w:pPr>
      <w:r>
        <w:rPr>
          <w:rFonts w:hint="eastAsia" w:ascii="宋体" w:hAnsi="宋体"/>
          <w:szCs w:val="21"/>
        </w:rPr>
        <w:t>（1）</w:t>
      </w:r>
      <w:r>
        <w:rPr>
          <w:rFonts w:hint="eastAsia" w:ascii="宋体" w:hAnsi="宋体"/>
          <w:szCs w:val="24"/>
        </w:rPr>
        <w:t>具有独立承担民事责任的能力；</w:t>
      </w:r>
    </w:p>
    <w:p>
      <w:pPr>
        <w:pStyle w:val="38"/>
        <w:tabs>
          <w:tab w:val="left" w:pos="993"/>
        </w:tabs>
        <w:snapToGrid w:val="0"/>
        <w:rPr>
          <w:rFonts w:ascii="宋体" w:hAnsi="宋体"/>
          <w:szCs w:val="24"/>
        </w:rPr>
      </w:pPr>
      <w:r>
        <w:rPr>
          <w:rFonts w:hint="eastAsia" w:ascii="宋体" w:hAnsi="宋体"/>
          <w:szCs w:val="24"/>
        </w:rPr>
        <w:t>（2）具有良好的商业信誉和健全的财务会计制度；</w:t>
      </w:r>
    </w:p>
    <w:p>
      <w:pPr>
        <w:pStyle w:val="38"/>
        <w:tabs>
          <w:tab w:val="left" w:pos="993"/>
        </w:tabs>
        <w:snapToGrid w:val="0"/>
        <w:rPr>
          <w:rFonts w:ascii="宋体" w:hAnsi="宋体"/>
          <w:szCs w:val="21"/>
        </w:rPr>
      </w:pPr>
      <w:r>
        <w:rPr>
          <w:rFonts w:hint="eastAsia" w:ascii="宋体" w:hAnsi="宋体"/>
          <w:szCs w:val="21"/>
        </w:rPr>
        <w:t>（3）</w:t>
      </w:r>
      <w:r>
        <w:rPr>
          <w:rFonts w:hint="eastAsia" w:ascii="宋体" w:hAnsi="宋体"/>
          <w:szCs w:val="24"/>
        </w:rPr>
        <w:t>有依法缴纳税收和社会保障资金的良好记录；</w:t>
      </w:r>
    </w:p>
    <w:p>
      <w:pPr>
        <w:pStyle w:val="38"/>
        <w:tabs>
          <w:tab w:val="left" w:pos="993"/>
        </w:tabs>
        <w:snapToGrid w:val="0"/>
        <w:rPr>
          <w:rFonts w:ascii="宋体" w:hAnsi="宋体"/>
          <w:szCs w:val="21"/>
        </w:rPr>
      </w:pPr>
      <w:r>
        <w:rPr>
          <w:rFonts w:hint="eastAsia" w:ascii="宋体" w:hAnsi="宋体"/>
          <w:szCs w:val="24"/>
        </w:rPr>
        <w:t>（4）</w:t>
      </w:r>
      <w:r>
        <w:rPr>
          <w:rFonts w:hint="eastAsia" w:ascii="宋体" w:hAnsi="宋体"/>
          <w:szCs w:val="21"/>
        </w:rPr>
        <w:t>具有履行合同所必需的设备和专业技术能力；</w:t>
      </w:r>
    </w:p>
    <w:p>
      <w:pPr>
        <w:pStyle w:val="38"/>
        <w:tabs>
          <w:tab w:val="left" w:pos="993"/>
        </w:tabs>
        <w:snapToGrid w:val="0"/>
        <w:rPr>
          <w:rFonts w:ascii="宋体" w:hAnsi="宋体"/>
          <w:szCs w:val="21"/>
        </w:rPr>
      </w:pPr>
      <w:r>
        <w:rPr>
          <w:rFonts w:hint="eastAsia" w:ascii="宋体" w:hAnsi="宋体"/>
          <w:szCs w:val="21"/>
        </w:rPr>
        <w:t>（5）我方（如前三年内有名称变更的，含变更前名称）参加本项目政府采购活动前三年内在经营活动中没有重大违法记录（重大违法记录是指没有因违法经营受到刑事处罚或责令停产停业、吊销许可证或者执照、较大数额罚款等行政处罚）；</w:t>
      </w:r>
    </w:p>
    <w:p>
      <w:pPr>
        <w:pStyle w:val="38"/>
        <w:tabs>
          <w:tab w:val="left" w:pos="993"/>
        </w:tabs>
        <w:snapToGrid w:val="0"/>
        <w:rPr>
          <w:rFonts w:ascii="宋体" w:hAnsi="宋体"/>
          <w:szCs w:val="21"/>
        </w:rPr>
      </w:pPr>
      <w:r>
        <w:rPr>
          <w:rFonts w:hint="eastAsia" w:ascii="宋体" w:hAnsi="宋体"/>
        </w:rPr>
        <w:t>（二）我方</w:t>
      </w:r>
      <w:r>
        <w:rPr>
          <w:rFonts w:hint="eastAsia" w:ascii="宋体" w:hAnsi="宋体" w:cs="宋体"/>
          <w:kern w:val="0"/>
          <w:szCs w:val="24"/>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说明：若接受联合体报价且为联合体报价的，各方均需满足）</w:t>
      </w:r>
    </w:p>
    <w:p>
      <w:pPr>
        <w:pStyle w:val="38"/>
        <w:tabs>
          <w:tab w:val="left" w:pos="993"/>
        </w:tabs>
        <w:snapToGrid w:val="0"/>
        <w:rPr>
          <w:rFonts w:ascii="宋体" w:hAnsi="宋体"/>
        </w:rPr>
      </w:pPr>
      <w:r>
        <w:rPr>
          <w:rFonts w:hint="eastAsia" w:ascii="宋体" w:hAnsi="宋体"/>
        </w:rPr>
        <w:t>（三）我方</w:t>
      </w:r>
      <w:r>
        <w:rPr>
          <w:rFonts w:hint="eastAsia" w:ascii="宋体" w:hAnsi="宋体"/>
          <w:szCs w:val="21"/>
        </w:rPr>
        <w:t>符合法律、行政法规规定的其他条件</w:t>
      </w:r>
      <w:r>
        <w:rPr>
          <w:rFonts w:hint="eastAsia" w:ascii="宋体" w:hAnsi="宋体"/>
        </w:rPr>
        <w:t>：</w:t>
      </w:r>
    </w:p>
    <w:p>
      <w:pPr>
        <w:pStyle w:val="38"/>
        <w:tabs>
          <w:tab w:val="left" w:pos="993"/>
        </w:tabs>
        <w:snapToGrid w:val="0"/>
        <w:rPr>
          <w:rFonts w:ascii="宋体" w:hAnsi="宋体"/>
        </w:rPr>
      </w:pPr>
      <w:r>
        <w:rPr>
          <w:rFonts w:hint="eastAsia" w:ascii="宋体" w:hAnsi="宋体"/>
          <w:szCs w:val="21"/>
        </w:rPr>
        <w:t>1）单位负责人为同一人或者存在直接控股、管理关系</w:t>
      </w:r>
      <w:r>
        <w:rPr>
          <w:rFonts w:hint="eastAsia" w:ascii="宋体" w:hAnsi="宋体" w:cs="宋体"/>
          <w:szCs w:val="24"/>
        </w:rPr>
        <w:t>的不同供应商，不得同时参加本采购项目（采购包）响应。</w:t>
      </w:r>
      <w:r>
        <w:rPr>
          <w:rFonts w:hint="eastAsia" w:ascii="宋体" w:hAnsi="宋体" w:cs="宋体"/>
          <w:kern w:val="0"/>
          <w:szCs w:val="24"/>
        </w:rPr>
        <w:t>（说明：联合体响应的除外，但不包括以联合体形式部分预留专门面向中小企业的项目（采购包））</w:t>
      </w:r>
    </w:p>
    <w:p>
      <w:pPr>
        <w:pStyle w:val="38"/>
        <w:tabs>
          <w:tab w:val="left" w:pos="993"/>
        </w:tabs>
        <w:snapToGrid w:val="0"/>
        <w:rPr>
          <w:rFonts w:ascii="宋体" w:hAnsi="宋体"/>
          <w:szCs w:val="21"/>
        </w:rPr>
      </w:pPr>
      <w:r>
        <w:rPr>
          <w:rFonts w:hint="eastAsia" w:ascii="宋体" w:hAnsi="宋体"/>
          <w:szCs w:val="21"/>
        </w:rPr>
        <w:t>2）供应商为采购项目提供整体设计、规范编制或者项目管理、监理、检测等服务，</w:t>
      </w:r>
      <w:r>
        <w:rPr>
          <w:rFonts w:hint="eastAsia" w:ascii="宋体" w:hAnsi="宋体" w:cs="宋体"/>
          <w:szCs w:val="24"/>
        </w:rPr>
        <w:t>不得再参加本项目（采购包）响应</w:t>
      </w:r>
      <w:r>
        <w:rPr>
          <w:rFonts w:hint="eastAsia" w:ascii="宋体" w:hAnsi="宋体"/>
          <w:szCs w:val="21"/>
        </w:rPr>
        <w:t>。（说明：若接受联合体响应且为联合体响应的，各方均需满足）。</w:t>
      </w:r>
    </w:p>
    <w:p>
      <w:pPr>
        <w:pStyle w:val="38"/>
        <w:tabs>
          <w:tab w:val="left" w:pos="993"/>
        </w:tabs>
        <w:snapToGrid w:val="0"/>
        <w:rPr>
          <w:rFonts w:ascii="宋体" w:hAnsi="宋体"/>
        </w:rPr>
      </w:pPr>
      <w:r>
        <w:rPr>
          <w:rFonts w:hint="eastAsia" w:ascii="宋体" w:hAnsi="宋体"/>
        </w:rPr>
        <w:t>（四）我方已按磋商公告及磋商文件的规定获取了磋商文件。</w:t>
      </w:r>
    </w:p>
    <w:p>
      <w:pPr>
        <w:pStyle w:val="38"/>
        <w:tabs>
          <w:tab w:val="left" w:pos="993"/>
        </w:tabs>
        <w:snapToGrid w:val="0"/>
        <w:rPr>
          <w:rFonts w:ascii="宋体" w:hAnsi="宋体"/>
        </w:rPr>
      </w:pPr>
      <w:r>
        <w:rPr>
          <w:rFonts w:hint="eastAsia" w:ascii="宋体" w:hAnsi="宋体"/>
        </w:rPr>
        <w:t>（五）</w:t>
      </w:r>
      <w:r>
        <w:rPr>
          <w:rFonts w:hint="eastAsia" w:ascii="宋体" w:hAnsi="宋体"/>
        </w:rPr>
        <w:tab/>
      </w:r>
      <w:r>
        <w:rPr>
          <w:rFonts w:hint="eastAsia" w:ascii="宋体" w:hAnsi="宋体"/>
        </w:rPr>
        <w:t>若本项目不接受联合体报价的，我方承诺以独立供应商名义即非联合体方式参与本项目的响应。</w:t>
      </w:r>
    </w:p>
    <w:p>
      <w:pPr>
        <w:pStyle w:val="38"/>
        <w:tabs>
          <w:tab w:val="left" w:pos="993"/>
        </w:tabs>
        <w:snapToGrid w:val="0"/>
        <w:rPr>
          <w:rFonts w:ascii="宋体" w:hAnsi="宋体"/>
        </w:rPr>
      </w:pPr>
      <w:r>
        <w:rPr>
          <w:rFonts w:hint="eastAsia" w:ascii="宋体" w:hAnsi="宋体"/>
          <w:szCs w:val="24"/>
        </w:rPr>
        <w:t>（六）我方郑重承诺公平竞争：我方保证所提交的相关资质文件和证明材料的真实性，有良好的历史诚信记录，并将依法参与本项目（采购包）的公平竞争，不以任何不正当行为谋取不当利益，否则承担相应的法律责任。</w:t>
      </w:r>
    </w:p>
    <w:p>
      <w:pPr>
        <w:snapToGrid w:val="0"/>
        <w:ind w:firstLine="484" w:firstLineChars="202"/>
        <w:rPr>
          <w:rFonts w:ascii="宋体" w:hAnsi="宋体"/>
        </w:rPr>
      </w:pPr>
      <w:r>
        <w:rPr>
          <w:rFonts w:hint="eastAsia" w:ascii="宋体" w:hAnsi="宋体"/>
          <w:szCs w:val="24"/>
        </w:rPr>
        <w:t>我方对上述承诺的真实性负责，自愿按照采购文件的要求（若有要求）配合提供相关证明材料。以上内容如有虚假或与事实不符的，磋商小组可将我方做无效响应处理，我方自愿承担提供虚假材料谋取成交的法律责任。</w:t>
      </w:r>
      <w:r>
        <w:rPr>
          <w:rFonts w:hint="eastAsia" w:ascii="宋体" w:hAnsi="宋体"/>
        </w:rPr>
        <w:t>本单位承诺在本次竞争性磋商采购活动中，如有违法、违规、弄虚作假行为，所造成的损失、不良后果及法律责任，一律由我单位承担。</w:t>
      </w:r>
    </w:p>
    <w:p>
      <w:pPr>
        <w:snapToGrid w:val="0"/>
        <w:ind w:firstLine="420"/>
        <w:rPr>
          <w:rFonts w:ascii="宋体" w:hAnsi="宋体"/>
        </w:rPr>
      </w:pPr>
      <w:r>
        <w:rPr>
          <w:rFonts w:hint="eastAsia" w:ascii="宋体" w:hAnsi="宋体"/>
        </w:rPr>
        <w:t>特此声明！</w:t>
      </w:r>
    </w:p>
    <w:p>
      <w:pPr>
        <w:snapToGrid w:val="0"/>
        <w:rPr>
          <w:rFonts w:ascii="宋体" w:hAnsi="宋体"/>
          <w:b/>
        </w:rPr>
      </w:pPr>
    </w:p>
    <w:p>
      <w:pPr>
        <w:snapToGrid w:val="0"/>
        <w:rPr>
          <w:rFonts w:ascii="宋体" w:hAnsi="宋体"/>
        </w:rPr>
      </w:pPr>
      <w:r>
        <w:rPr>
          <w:rFonts w:hint="eastAsia" w:ascii="宋体" w:hAnsi="宋体"/>
        </w:rPr>
        <w:t>供应商名称（加盖公章）：</w:t>
      </w:r>
      <w:r>
        <w:rPr>
          <w:rFonts w:hint="eastAsia" w:ascii="宋体" w:hAnsi="宋体"/>
          <w:szCs w:val="24"/>
          <w:u w:val="single"/>
        </w:rPr>
        <w:t xml:space="preserve">                                   </w:t>
      </w:r>
    </w:p>
    <w:p>
      <w:pPr>
        <w:snapToGrid w:val="0"/>
        <w:rPr>
          <w:rFonts w:ascii="宋体" w:hAnsi="宋体"/>
        </w:rPr>
      </w:pPr>
      <w:r>
        <w:rPr>
          <w:rFonts w:hint="eastAsia" w:ascii="宋体" w:hAnsi="宋体"/>
        </w:rPr>
        <w:t>供应商法定代表人或授权代表（签字或盖章）：</w:t>
      </w:r>
      <w:r>
        <w:rPr>
          <w:rFonts w:hint="eastAsia" w:ascii="宋体" w:hAnsi="宋体"/>
          <w:szCs w:val="24"/>
          <w:u w:val="single"/>
        </w:rPr>
        <w:t xml:space="preserve">                          </w:t>
      </w:r>
    </w:p>
    <w:p>
      <w:pPr>
        <w:snapToGrid w:val="0"/>
        <w:rPr>
          <w:rFonts w:ascii="宋体" w:hAnsi="宋体"/>
          <w:b/>
        </w:rPr>
      </w:pPr>
      <w:r>
        <w:rPr>
          <w:rFonts w:hint="eastAsia" w:ascii="宋体" w:hAnsi="宋体"/>
        </w:rPr>
        <w:t>日期：</w:t>
      </w:r>
      <w:r>
        <w:rPr>
          <w:rFonts w:hint="eastAsia" w:ascii="宋体" w:hAnsi="宋体"/>
          <w:szCs w:val="24"/>
          <w:u w:val="single"/>
        </w:rPr>
        <w:t xml:space="preserve">       </w:t>
      </w:r>
      <w:r>
        <w:rPr>
          <w:rFonts w:hint="eastAsia" w:ascii="宋体" w:hAnsi="宋体"/>
        </w:rPr>
        <w:t>年</w:t>
      </w:r>
      <w:r>
        <w:rPr>
          <w:rFonts w:hint="eastAsia" w:ascii="宋体" w:hAnsi="宋体"/>
          <w:szCs w:val="24"/>
          <w:u w:val="single"/>
        </w:rPr>
        <w:t xml:space="preserve">       </w:t>
      </w:r>
      <w:r>
        <w:rPr>
          <w:rFonts w:hint="eastAsia" w:ascii="宋体" w:hAnsi="宋体"/>
        </w:rPr>
        <w:t>月</w:t>
      </w:r>
      <w:r>
        <w:rPr>
          <w:rFonts w:hint="eastAsia" w:ascii="宋体" w:hAnsi="宋体"/>
          <w:szCs w:val="24"/>
          <w:u w:val="single"/>
        </w:rPr>
        <w:t xml:space="preserve">       </w:t>
      </w:r>
      <w:r>
        <w:rPr>
          <w:rFonts w:hint="eastAsia" w:ascii="宋体" w:hAnsi="宋体"/>
        </w:rPr>
        <w:t>日</w:t>
      </w:r>
    </w:p>
    <w:p>
      <w:pPr>
        <w:snapToGrid w:val="0"/>
        <w:rPr>
          <w:rFonts w:ascii="宋体" w:hAnsi="宋体"/>
          <w:b/>
        </w:rPr>
      </w:pPr>
    </w:p>
    <w:p>
      <w:pPr>
        <w:snapToGrid w:val="0"/>
        <w:rPr>
          <w:rFonts w:ascii="宋体" w:hAnsi="宋体"/>
          <w:b/>
        </w:rPr>
      </w:pPr>
      <w:r>
        <w:rPr>
          <w:rFonts w:hint="eastAsia" w:ascii="宋体" w:hAnsi="宋体"/>
          <w:b/>
        </w:rPr>
        <w:t>备注：</w:t>
      </w:r>
    </w:p>
    <w:p>
      <w:pPr>
        <w:numPr>
          <w:ilvl w:val="0"/>
          <w:numId w:val="64"/>
        </w:numPr>
        <w:wordWrap w:val="0"/>
        <w:autoSpaceDE w:val="0"/>
        <w:autoSpaceDN w:val="0"/>
        <w:adjustRightInd w:val="0"/>
        <w:snapToGrid w:val="0"/>
        <w:jc w:val="left"/>
        <w:rPr>
          <w:rFonts w:ascii="宋体" w:hAnsi="宋体"/>
        </w:rPr>
      </w:pPr>
      <w:r>
        <w:rPr>
          <w:rFonts w:hint="eastAsia" w:ascii="宋体" w:hAnsi="宋体"/>
        </w:rPr>
        <w:t>本声明函必须提供且内容不得擅自删改，否则视为</w:t>
      </w:r>
      <w:r>
        <w:rPr>
          <w:rFonts w:hint="eastAsia" w:ascii="宋体" w:hAnsi="宋体"/>
          <w:b/>
          <w:bCs/>
        </w:rPr>
        <w:t>无效响应</w:t>
      </w:r>
      <w:r>
        <w:rPr>
          <w:rFonts w:hint="eastAsia" w:ascii="宋体" w:hAnsi="宋体"/>
        </w:rPr>
        <w:t>。</w:t>
      </w:r>
    </w:p>
    <w:p>
      <w:pPr>
        <w:pStyle w:val="38"/>
        <w:numPr>
          <w:ilvl w:val="0"/>
          <w:numId w:val="64"/>
        </w:numPr>
        <w:wordWrap w:val="0"/>
        <w:autoSpaceDE w:val="0"/>
        <w:autoSpaceDN w:val="0"/>
        <w:adjustRightInd w:val="0"/>
        <w:snapToGrid w:val="0"/>
        <w:ind w:firstLineChars="0"/>
        <w:jc w:val="left"/>
        <w:rPr>
          <w:rFonts w:ascii="宋体" w:hAnsi="宋体"/>
        </w:rPr>
      </w:pPr>
      <w:r>
        <w:rPr>
          <w:rFonts w:hint="eastAsia" w:ascii="宋体" w:hAnsi="宋体"/>
        </w:rPr>
        <w:t>本声明函如有虚假或与事实不符的，作</w:t>
      </w:r>
      <w:r>
        <w:rPr>
          <w:rFonts w:hint="eastAsia" w:ascii="宋体" w:hAnsi="宋体"/>
          <w:b/>
        </w:rPr>
        <w:t>无效响应</w:t>
      </w:r>
      <w:r>
        <w:rPr>
          <w:rFonts w:hint="eastAsia" w:ascii="宋体" w:hAnsi="宋体"/>
        </w:rPr>
        <w:t>处理。</w:t>
      </w:r>
    </w:p>
    <w:p>
      <w:pPr>
        <w:pStyle w:val="38"/>
        <w:numPr>
          <w:ilvl w:val="0"/>
          <w:numId w:val="64"/>
        </w:numPr>
        <w:wordWrap/>
        <w:autoSpaceDE w:val="0"/>
        <w:autoSpaceDN w:val="0"/>
        <w:adjustRightInd w:val="0"/>
        <w:snapToGrid w:val="0"/>
        <w:ind w:left="0" w:firstLine="0" w:firstLineChars="0"/>
        <w:jc w:val="left"/>
        <w:rPr>
          <w:rFonts w:ascii="宋体" w:hAnsi="宋体"/>
        </w:rPr>
      </w:pPr>
      <w:r>
        <w:rPr>
          <w:rFonts w:hint="eastAsia" w:ascii="宋体" w:hAnsi="宋体"/>
          <w:szCs w:val="24"/>
        </w:rPr>
        <w:t>除上述声明函外，供应商应按磋商文件《磋商邀请》“二、申请人的资格要求”的要求配合提供相应的证明材料</w:t>
      </w:r>
      <w:r>
        <w:rPr>
          <w:rFonts w:hint="eastAsia" w:ascii="宋体" w:hAnsi="宋体"/>
        </w:rPr>
        <w:t>。</w:t>
      </w:r>
    </w:p>
    <w:p>
      <w:pPr>
        <w:pStyle w:val="5"/>
        <w:numPr>
          <w:ilvl w:val="0"/>
          <w:numId w:val="62"/>
        </w:numPr>
        <w:tabs>
          <w:tab w:val="left" w:pos="945"/>
        </w:tabs>
        <w:spacing w:before="0" w:after="0" w:line="360" w:lineRule="auto"/>
        <w:rPr>
          <w:sz w:val="24"/>
          <w:szCs w:val="24"/>
        </w:rPr>
      </w:pPr>
      <w:bookmarkStart w:id="406" w:name="_Toc22806201"/>
      <w:r>
        <w:rPr>
          <w:sz w:val="28"/>
          <w:szCs w:val="28"/>
        </w:rPr>
        <w:br w:type="page"/>
      </w:r>
      <w:bookmarkStart w:id="407" w:name="_Toc55398760"/>
      <w:bookmarkStart w:id="408" w:name="_Toc56180355"/>
      <w:bookmarkStart w:id="409" w:name="_Toc50460248"/>
      <w:r>
        <w:rPr>
          <w:rFonts w:hint="eastAsia"/>
          <w:sz w:val="24"/>
          <w:szCs w:val="24"/>
        </w:rPr>
        <w:t>资格、资信证明文件</w:t>
      </w:r>
      <w:bookmarkEnd w:id="407"/>
      <w:bookmarkEnd w:id="408"/>
      <w:bookmarkEnd w:id="409"/>
    </w:p>
    <w:bookmarkEnd w:id="406"/>
    <w:p>
      <w:pPr>
        <w:rPr>
          <w:rFonts w:ascii="宋体" w:hAnsi="宋体"/>
          <w:b/>
          <w:szCs w:val="24"/>
        </w:rPr>
      </w:pPr>
      <w:r>
        <w:rPr>
          <w:rFonts w:hint="eastAsia" w:ascii="宋体" w:hAnsi="宋体"/>
          <w:b/>
          <w:szCs w:val="24"/>
        </w:rPr>
        <w:t>备注：</w:t>
      </w:r>
    </w:p>
    <w:p>
      <w:pPr>
        <w:ind w:firstLine="480" w:firstLineChars="200"/>
        <w:rPr>
          <w:rFonts w:ascii="宋体" w:hAnsi="宋体"/>
          <w:szCs w:val="24"/>
        </w:rPr>
      </w:pPr>
      <w:r>
        <w:rPr>
          <w:rFonts w:hint="eastAsia" w:ascii="宋体" w:hAnsi="宋体"/>
          <w:szCs w:val="24"/>
        </w:rPr>
        <w:t>1.供应商须按照本文件《磋商邀请》“二、申请人的资格要求”逐项提供有关</w:t>
      </w:r>
      <w:r>
        <w:rPr>
          <w:rFonts w:hint="eastAsia" w:ascii="宋体" w:hAnsi="宋体"/>
          <w:szCs w:val="24"/>
        </w:rPr>
        <w:tab/>
      </w:r>
      <w:r>
        <w:rPr>
          <w:rFonts w:hint="eastAsia" w:ascii="宋体" w:hAnsi="宋体"/>
          <w:szCs w:val="24"/>
        </w:rPr>
        <w:t>资格、资信证明文件。磋商</w:t>
      </w:r>
      <w:r>
        <w:rPr>
          <w:rFonts w:hint="eastAsia" w:ascii="宋体" w:hAnsi="宋体" w:cs="宋体"/>
          <w:szCs w:val="24"/>
        </w:rPr>
        <w:t>公告和本文件《磋商邀请》中对应供应商的资格要求，如有不一致的，以磋商公告发布的内容为准。</w:t>
      </w:r>
    </w:p>
    <w:p>
      <w:pPr>
        <w:ind w:firstLine="480" w:firstLineChars="200"/>
        <w:rPr>
          <w:rFonts w:ascii="宋体" w:hAnsi="宋体"/>
          <w:szCs w:val="24"/>
        </w:rPr>
      </w:pPr>
      <w:r>
        <w:rPr>
          <w:rFonts w:hint="eastAsia" w:ascii="宋体" w:hAnsi="宋体"/>
          <w:szCs w:val="24"/>
        </w:rPr>
        <w:t>2.</w:t>
      </w:r>
      <w:r>
        <w:rPr>
          <w:rFonts w:hint="eastAsia" w:ascii="宋体" w:hAnsi="宋体"/>
          <w:b/>
          <w:szCs w:val="24"/>
        </w:rPr>
        <w:t>关于落实政府采购政策需满足的资格要求证明材料：</w:t>
      </w:r>
      <w:r>
        <w:rPr>
          <w:rFonts w:hint="eastAsia" w:ascii="宋体" w:hAnsi="宋体"/>
          <w:szCs w:val="24"/>
        </w:rPr>
        <w:t>如</w:t>
      </w:r>
      <w:r>
        <w:rPr>
          <w:rFonts w:hint="eastAsia" w:ascii="宋体" w:hAnsi="宋体"/>
          <w:iCs/>
          <w:szCs w:val="24"/>
        </w:rPr>
        <w:t>本项目属于专门面向中小企业采购的项目,参加采购活动的响应供应商须按本部分格式第</w:t>
      </w:r>
      <w:r>
        <w:rPr>
          <w:rFonts w:ascii="宋体" w:hAnsi="宋体"/>
          <w:iCs/>
          <w:szCs w:val="24"/>
        </w:rPr>
        <w:t>7</w:t>
      </w:r>
      <w:r>
        <w:rPr>
          <w:rFonts w:hint="eastAsia" w:ascii="宋体" w:hAnsi="宋体"/>
          <w:iCs/>
          <w:szCs w:val="24"/>
        </w:rPr>
        <w:t>.条提供下列材料：《中小企业声明函》，属于监狱企业的，提供由省级以上监狱管理局、戒毒管理局（含新疆生产建设兵团）出具的属于监狱企业的证明文件，属于残疾人福利性单位的，提供《残疾人福利性单位声明函》</w:t>
      </w:r>
      <w:r>
        <w:rPr>
          <w:rFonts w:hint="eastAsia" w:ascii="宋体" w:hAnsi="宋体"/>
          <w:szCs w:val="24"/>
        </w:rPr>
        <w:t>。</w:t>
      </w:r>
    </w:p>
    <w:p>
      <w:pPr>
        <w:ind w:firstLine="480" w:firstLineChars="200"/>
        <w:rPr>
          <w:rFonts w:ascii="宋体" w:hAnsi="宋体"/>
          <w:szCs w:val="24"/>
        </w:rPr>
      </w:pPr>
      <w:r>
        <w:rPr>
          <w:rFonts w:hint="eastAsia" w:ascii="宋体" w:hAnsi="宋体"/>
          <w:szCs w:val="24"/>
        </w:rPr>
        <w:t>3.</w:t>
      </w:r>
      <w:r>
        <w:rPr>
          <w:rFonts w:hint="eastAsia" w:ascii="宋体" w:hAnsi="宋体"/>
          <w:b/>
          <w:szCs w:val="24"/>
        </w:rPr>
        <w:t>以联合体形式参加磋商的项目（采购包）：</w:t>
      </w:r>
      <w:r>
        <w:rPr>
          <w:rFonts w:hint="eastAsia" w:ascii="宋体" w:hAnsi="宋体"/>
          <w:szCs w:val="24"/>
        </w:rPr>
        <w:t>联合体参加磋商的，联合体各方均需提供相应第4.1条、第4.2条规定的证明文件，其中除联合体各成员自身独立的证明文件须分别提供外，其余按照格式《供应商资格声明函》内容提供书面承诺的，可以统一出具《供应商资格声明函》，该书面承诺不需要分别提供。除特别说明的格式外，联合体各成员提供的自身独立的证明文件均可以由《联合协议》约定的方式加盖公章及签署。</w:t>
      </w:r>
    </w:p>
    <w:p>
      <w:pPr>
        <w:ind w:firstLine="600" w:firstLineChars="250"/>
        <w:rPr>
          <w:rFonts w:ascii="宋体" w:hAnsi="宋体"/>
          <w:szCs w:val="24"/>
        </w:rPr>
      </w:pPr>
      <w:r>
        <w:rPr>
          <w:rFonts w:hint="eastAsia" w:ascii="宋体" w:hAnsi="宋体"/>
          <w:szCs w:val="24"/>
        </w:rPr>
        <w:t>4.</w:t>
      </w:r>
      <w:r>
        <w:rPr>
          <w:rFonts w:hint="eastAsia" w:ascii="宋体" w:hAnsi="宋体"/>
          <w:b/>
          <w:szCs w:val="24"/>
        </w:rPr>
        <w:t>可接受分支机构磋商的项目（采购包）：</w:t>
      </w:r>
      <w:r>
        <w:rPr>
          <w:rFonts w:hint="eastAsia" w:ascii="宋体" w:hAnsi="宋体"/>
          <w:szCs w:val="24"/>
        </w:rPr>
        <w:t>分支机构参加磋商的，总公司（总所）及分支机构均需提供相应第4.1条的（1）、（2）、（3）及第4.2条规定的证明文件，其余按照格式《供应商资格声明函》内容提供书面承诺，可以统一出具《供应商资格声明函》，该书面承诺不需要分别提供。除特别说明的格式外，均可以由总公司（总所）或分支机构加盖公章及签署。</w:t>
      </w:r>
    </w:p>
    <w:p>
      <w:pPr>
        <w:ind w:firstLine="600" w:firstLineChars="250"/>
        <w:rPr>
          <w:rFonts w:ascii="宋体" w:hAnsi="宋体"/>
        </w:rPr>
      </w:pPr>
      <w:r>
        <w:rPr>
          <w:rFonts w:hint="eastAsia" w:ascii="宋体" w:hAnsi="宋体"/>
          <w:b/>
          <w:szCs w:val="24"/>
        </w:rPr>
        <w:t>5.以合同分包形式参加磋商的项目（采购包）：</w:t>
      </w:r>
      <w:r>
        <w:rPr>
          <w:rFonts w:hint="eastAsia" w:ascii="宋体" w:hAnsi="宋体"/>
          <w:szCs w:val="24"/>
        </w:rPr>
        <w:t>需提供直接参加本项目（采购包）政府采购活动的报价供应商的相应资格证明文件。报价供应商还应提供与接受分包合同的中小企业签订的《分包意向协议》，并按照《中小企业声明函》格式填写签订《分包意向协议》的中小企业相关信息。</w:t>
      </w:r>
    </w:p>
    <w:p>
      <w:pPr>
        <w:pStyle w:val="6"/>
        <w:numPr>
          <w:ilvl w:val="1"/>
          <w:numId w:val="65"/>
        </w:numPr>
        <w:tabs>
          <w:tab w:val="left" w:pos="945"/>
        </w:tabs>
        <w:ind w:left="480" w:hanging="480" w:hangingChars="200"/>
        <w:rPr>
          <w:rFonts w:ascii="宋体" w:hAnsi="宋体"/>
          <w:szCs w:val="24"/>
        </w:rPr>
      </w:pPr>
      <w:r>
        <w:rPr>
          <w:rFonts w:hint="eastAsia" w:ascii="宋体" w:hAnsi="宋体"/>
          <w:szCs w:val="24"/>
        </w:rPr>
        <w:t>供应商具备《中华人民共和国政府采购法》第二十二条规定的条件的证明文件</w:t>
      </w:r>
    </w:p>
    <w:p>
      <w:pPr>
        <w:numPr>
          <w:ilvl w:val="0"/>
          <w:numId w:val="66"/>
        </w:numPr>
        <w:rPr>
          <w:rFonts w:ascii="宋体" w:hAnsi="宋体"/>
          <w:szCs w:val="24"/>
        </w:rPr>
      </w:pPr>
      <w:r>
        <w:rPr>
          <w:rFonts w:hint="eastAsia" w:ascii="宋体" w:hAnsi="宋体"/>
          <w:b/>
          <w:szCs w:val="24"/>
        </w:rPr>
        <w:t>具有独立承担民事责任的能力的证明文件</w:t>
      </w:r>
    </w:p>
    <w:p>
      <w:pPr>
        <w:ind w:firstLine="600" w:firstLineChars="250"/>
        <w:rPr>
          <w:rFonts w:ascii="宋体" w:hAnsi="宋体"/>
          <w:szCs w:val="24"/>
        </w:rPr>
      </w:pPr>
      <w:r>
        <w:rPr>
          <w:rFonts w:hint="eastAsia" w:ascii="宋体" w:hAnsi="宋体"/>
          <w:szCs w:val="24"/>
        </w:rPr>
        <w:t>按照本文件《磋商邀请》“二、申请人的资格要求”提供。</w:t>
      </w:r>
    </w:p>
    <w:p>
      <w:pPr>
        <w:numPr>
          <w:ilvl w:val="0"/>
          <w:numId w:val="66"/>
        </w:numPr>
        <w:rPr>
          <w:rFonts w:ascii="宋体" w:hAnsi="宋体"/>
          <w:b/>
          <w:szCs w:val="24"/>
        </w:rPr>
      </w:pPr>
      <w:r>
        <w:rPr>
          <w:rFonts w:hint="eastAsia" w:ascii="宋体" w:hAnsi="宋体"/>
          <w:b/>
          <w:szCs w:val="24"/>
        </w:rPr>
        <w:t>具有良好的商业信誉和健全的财务会计制度的证明文件</w:t>
      </w:r>
    </w:p>
    <w:p>
      <w:pPr>
        <w:ind w:firstLine="600" w:firstLineChars="250"/>
        <w:rPr>
          <w:rFonts w:ascii="宋体" w:hAnsi="宋体"/>
          <w:szCs w:val="24"/>
        </w:rPr>
      </w:pPr>
      <w:r>
        <w:rPr>
          <w:rFonts w:hint="eastAsia" w:ascii="宋体" w:hAnsi="宋体"/>
          <w:szCs w:val="24"/>
        </w:rPr>
        <w:t>按照本文件《磋商邀请》“二、申请人的资格要求”提供。</w:t>
      </w:r>
    </w:p>
    <w:p>
      <w:pPr>
        <w:numPr>
          <w:ilvl w:val="0"/>
          <w:numId w:val="66"/>
        </w:numPr>
        <w:rPr>
          <w:rFonts w:ascii="宋体" w:hAnsi="宋体"/>
          <w:b/>
          <w:szCs w:val="24"/>
        </w:rPr>
      </w:pPr>
      <w:r>
        <w:rPr>
          <w:rFonts w:hint="eastAsia" w:ascii="宋体" w:hAnsi="宋体"/>
          <w:b/>
          <w:szCs w:val="24"/>
        </w:rPr>
        <w:t>具有依法缴纳税收和社会保障资金的良好记录的证明文件</w:t>
      </w:r>
    </w:p>
    <w:p>
      <w:pPr>
        <w:ind w:firstLine="600" w:firstLineChars="250"/>
        <w:rPr>
          <w:rFonts w:ascii="宋体" w:hAnsi="宋体"/>
          <w:szCs w:val="24"/>
        </w:rPr>
      </w:pPr>
      <w:r>
        <w:rPr>
          <w:rFonts w:hint="eastAsia" w:ascii="宋体" w:hAnsi="宋体"/>
          <w:szCs w:val="24"/>
        </w:rPr>
        <w:t>按照本文件《磋商邀请》“二、申请人的资格要求”提供。</w:t>
      </w:r>
    </w:p>
    <w:p>
      <w:pPr>
        <w:numPr>
          <w:ilvl w:val="0"/>
          <w:numId w:val="66"/>
        </w:numPr>
        <w:rPr>
          <w:rFonts w:ascii="宋体" w:hAnsi="宋体"/>
          <w:b/>
          <w:szCs w:val="24"/>
        </w:rPr>
      </w:pPr>
      <w:r>
        <w:rPr>
          <w:rFonts w:hint="eastAsia" w:ascii="宋体" w:hAnsi="宋体"/>
          <w:b/>
          <w:szCs w:val="24"/>
        </w:rPr>
        <w:t>具有履行合同所必需的设备和专业技术能力的证明文件</w:t>
      </w:r>
    </w:p>
    <w:p>
      <w:pPr>
        <w:ind w:firstLine="600" w:firstLineChars="250"/>
        <w:rPr>
          <w:rFonts w:ascii="宋体" w:hAnsi="宋体"/>
          <w:szCs w:val="24"/>
        </w:rPr>
      </w:pPr>
      <w:r>
        <w:rPr>
          <w:rFonts w:hint="eastAsia" w:ascii="宋体" w:hAnsi="宋体"/>
          <w:szCs w:val="24"/>
        </w:rPr>
        <w:t>按照本文件《磋商邀请》“二、申请人的资格要求”提供。</w:t>
      </w:r>
    </w:p>
    <w:p>
      <w:pPr>
        <w:ind w:left="1080" w:leftChars="450" w:firstLine="1970" w:firstLineChars="821"/>
        <w:rPr>
          <w:rFonts w:ascii="宋体" w:hAnsi="宋体"/>
          <w:b/>
          <w:szCs w:val="24"/>
        </w:rPr>
      </w:pPr>
      <w:r>
        <w:rPr>
          <w:rFonts w:hint="eastAsia" w:ascii="宋体" w:hAnsi="宋体"/>
          <w:b/>
          <w:szCs w:val="24"/>
        </w:rPr>
        <w:t>设备及专业技术能力情况表（需要时，可参考）</w:t>
      </w:r>
    </w:p>
    <w:tbl>
      <w:tblPr>
        <w:tblStyle w:val="30"/>
        <w:tblW w:w="0" w:type="auto"/>
        <w:tblInd w:w="9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395"/>
        <w:gridCol w:w="1701"/>
        <w:gridCol w:w="1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5" w:type="dxa"/>
            <w:gridSpan w:val="4"/>
          </w:tcPr>
          <w:p>
            <w:pPr>
              <w:rPr>
                <w:rFonts w:ascii="宋体" w:hAnsi="宋体"/>
                <w:szCs w:val="24"/>
              </w:rPr>
            </w:pPr>
            <w:r>
              <w:rPr>
                <w:rFonts w:hint="eastAsia" w:ascii="宋体" w:hAnsi="宋体"/>
                <w:szCs w:val="24"/>
              </w:rPr>
              <w:t>我方为本项目实施提供以下设备及专业技术人员：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jc w:val="center"/>
              <w:rPr>
                <w:rFonts w:ascii="宋体" w:hAnsi="宋体"/>
                <w:b/>
                <w:szCs w:val="24"/>
              </w:rPr>
            </w:pPr>
            <w:r>
              <w:rPr>
                <w:rFonts w:hint="eastAsia" w:ascii="宋体" w:hAnsi="宋体"/>
                <w:b/>
                <w:szCs w:val="24"/>
              </w:rPr>
              <w:t>序号</w:t>
            </w:r>
          </w:p>
        </w:tc>
        <w:tc>
          <w:tcPr>
            <w:tcW w:w="4395" w:type="dxa"/>
            <w:tcBorders>
              <w:top w:val="single" w:color="auto" w:sz="4" w:space="0"/>
              <w:left w:val="single" w:color="auto" w:sz="4" w:space="0"/>
              <w:right w:val="single" w:color="auto" w:sz="4" w:space="0"/>
            </w:tcBorders>
          </w:tcPr>
          <w:p>
            <w:pPr>
              <w:jc w:val="center"/>
              <w:rPr>
                <w:rFonts w:ascii="宋体" w:hAnsi="宋体"/>
                <w:b/>
                <w:szCs w:val="24"/>
              </w:rPr>
            </w:pPr>
            <w:r>
              <w:rPr>
                <w:rFonts w:hint="eastAsia" w:ascii="宋体" w:hAnsi="宋体"/>
                <w:b/>
                <w:szCs w:val="24"/>
              </w:rPr>
              <w:t>设备名称或专业技术人员</w:t>
            </w:r>
          </w:p>
        </w:tc>
        <w:tc>
          <w:tcPr>
            <w:tcW w:w="1701" w:type="dxa"/>
            <w:tcBorders>
              <w:top w:val="single" w:color="auto" w:sz="4" w:space="0"/>
              <w:left w:val="single" w:color="auto" w:sz="4" w:space="0"/>
              <w:right w:val="single" w:color="auto" w:sz="4" w:space="0"/>
            </w:tcBorders>
          </w:tcPr>
          <w:p>
            <w:pPr>
              <w:jc w:val="center"/>
              <w:rPr>
                <w:rFonts w:ascii="宋体" w:hAnsi="宋体"/>
                <w:b/>
                <w:szCs w:val="24"/>
              </w:rPr>
            </w:pPr>
            <w:r>
              <w:rPr>
                <w:rFonts w:hint="eastAsia" w:ascii="宋体" w:hAnsi="宋体"/>
                <w:b/>
                <w:szCs w:val="24"/>
              </w:rPr>
              <w:t>数量及单位</w:t>
            </w:r>
          </w:p>
        </w:tc>
        <w:tc>
          <w:tcPr>
            <w:tcW w:w="1495" w:type="dxa"/>
          </w:tcPr>
          <w:p>
            <w:pPr>
              <w:jc w:val="center"/>
              <w:rPr>
                <w:rFonts w:ascii="宋体" w:hAnsi="宋体"/>
                <w:b/>
                <w:szCs w:val="24"/>
              </w:rPr>
            </w:pPr>
            <w:r>
              <w:rPr>
                <w:rFonts w:hint="eastAsia" w:ascii="宋体" w:hAnsi="宋体"/>
                <w:b/>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jc w:val="center"/>
              <w:rPr>
                <w:rFonts w:ascii="宋体" w:hAnsi="宋体"/>
                <w:szCs w:val="24"/>
              </w:rPr>
            </w:pPr>
            <w:r>
              <w:rPr>
                <w:rFonts w:hint="eastAsia" w:ascii="宋体" w:hAnsi="宋体"/>
                <w:szCs w:val="24"/>
              </w:rPr>
              <w:t>1</w:t>
            </w:r>
          </w:p>
        </w:tc>
        <w:tc>
          <w:tcPr>
            <w:tcW w:w="4395" w:type="dxa"/>
            <w:tcBorders>
              <w:top w:val="single" w:color="auto" w:sz="4" w:space="0"/>
              <w:left w:val="single" w:color="auto" w:sz="4" w:space="0"/>
              <w:right w:val="single" w:color="auto" w:sz="4" w:space="0"/>
            </w:tcBorders>
          </w:tcPr>
          <w:p>
            <w:pPr>
              <w:rPr>
                <w:rFonts w:ascii="宋体" w:hAnsi="宋体"/>
                <w:szCs w:val="24"/>
              </w:rPr>
            </w:pPr>
          </w:p>
        </w:tc>
        <w:tc>
          <w:tcPr>
            <w:tcW w:w="1701" w:type="dxa"/>
            <w:tcBorders>
              <w:top w:val="single" w:color="auto" w:sz="4" w:space="0"/>
              <w:left w:val="single" w:color="auto" w:sz="4" w:space="0"/>
              <w:right w:val="single" w:color="auto" w:sz="4" w:space="0"/>
            </w:tcBorders>
          </w:tcPr>
          <w:p>
            <w:pPr>
              <w:rPr>
                <w:rFonts w:ascii="宋体" w:hAnsi="宋体"/>
                <w:szCs w:val="24"/>
              </w:rPr>
            </w:pPr>
          </w:p>
        </w:tc>
        <w:tc>
          <w:tcPr>
            <w:tcW w:w="1495" w:type="dxa"/>
          </w:tcPr>
          <w:p>
            <w:pP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4" w:type="dxa"/>
          </w:tcPr>
          <w:p>
            <w:pPr>
              <w:jc w:val="center"/>
              <w:rPr>
                <w:rFonts w:ascii="宋体" w:hAnsi="宋体"/>
                <w:szCs w:val="24"/>
              </w:rPr>
            </w:pPr>
            <w:r>
              <w:rPr>
                <w:rFonts w:hint="eastAsia" w:ascii="宋体" w:hAnsi="宋体"/>
                <w:szCs w:val="24"/>
              </w:rPr>
              <w:t>2</w:t>
            </w:r>
          </w:p>
        </w:tc>
        <w:tc>
          <w:tcPr>
            <w:tcW w:w="4395" w:type="dxa"/>
            <w:tcBorders>
              <w:top w:val="single" w:color="auto" w:sz="4" w:space="0"/>
              <w:left w:val="single" w:color="auto" w:sz="4" w:space="0"/>
              <w:right w:val="single" w:color="auto" w:sz="4" w:space="0"/>
            </w:tcBorders>
          </w:tcPr>
          <w:p>
            <w:pPr>
              <w:rPr>
                <w:rFonts w:ascii="宋体" w:hAnsi="宋体"/>
                <w:szCs w:val="24"/>
              </w:rPr>
            </w:pPr>
          </w:p>
        </w:tc>
        <w:tc>
          <w:tcPr>
            <w:tcW w:w="1701" w:type="dxa"/>
            <w:tcBorders>
              <w:top w:val="single" w:color="auto" w:sz="4" w:space="0"/>
              <w:left w:val="single" w:color="auto" w:sz="4" w:space="0"/>
              <w:right w:val="single" w:color="auto" w:sz="4" w:space="0"/>
            </w:tcBorders>
          </w:tcPr>
          <w:p>
            <w:pPr>
              <w:rPr>
                <w:rFonts w:ascii="宋体" w:hAnsi="宋体"/>
                <w:szCs w:val="24"/>
              </w:rPr>
            </w:pPr>
          </w:p>
        </w:tc>
        <w:tc>
          <w:tcPr>
            <w:tcW w:w="1495" w:type="dxa"/>
          </w:tcPr>
          <w:p>
            <w:pP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rPr>
                <w:rFonts w:ascii="宋体" w:hAnsi="宋体"/>
                <w:szCs w:val="24"/>
              </w:rPr>
            </w:pPr>
            <w:r>
              <w:rPr>
                <w:rFonts w:ascii="宋体" w:hAnsi="宋体"/>
                <w:szCs w:val="24"/>
              </w:rPr>
              <w:t>……</w:t>
            </w:r>
          </w:p>
        </w:tc>
        <w:tc>
          <w:tcPr>
            <w:tcW w:w="4395" w:type="dxa"/>
            <w:tcBorders>
              <w:top w:val="single" w:color="auto" w:sz="4" w:space="0"/>
              <w:left w:val="single" w:color="auto" w:sz="4" w:space="0"/>
              <w:right w:val="single" w:color="auto" w:sz="4" w:space="0"/>
            </w:tcBorders>
          </w:tcPr>
          <w:p>
            <w:pPr>
              <w:rPr>
                <w:rFonts w:ascii="宋体" w:hAnsi="宋体"/>
                <w:szCs w:val="24"/>
              </w:rPr>
            </w:pPr>
          </w:p>
        </w:tc>
        <w:tc>
          <w:tcPr>
            <w:tcW w:w="1701" w:type="dxa"/>
            <w:tcBorders>
              <w:top w:val="single" w:color="auto" w:sz="4" w:space="0"/>
              <w:left w:val="single" w:color="auto" w:sz="4" w:space="0"/>
              <w:right w:val="single" w:color="auto" w:sz="4" w:space="0"/>
            </w:tcBorders>
          </w:tcPr>
          <w:p>
            <w:pPr>
              <w:rPr>
                <w:rFonts w:ascii="宋体" w:hAnsi="宋体"/>
                <w:szCs w:val="24"/>
              </w:rPr>
            </w:pPr>
          </w:p>
        </w:tc>
        <w:tc>
          <w:tcPr>
            <w:tcW w:w="1495" w:type="dxa"/>
          </w:tcPr>
          <w:p>
            <w:pPr>
              <w:rPr>
                <w:rFonts w:ascii="宋体" w:hAnsi="宋体"/>
                <w:szCs w:val="24"/>
              </w:rPr>
            </w:pPr>
          </w:p>
        </w:tc>
      </w:tr>
    </w:tbl>
    <w:p>
      <w:pPr>
        <w:numPr>
          <w:ilvl w:val="0"/>
          <w:numId w:val="66"/>
        </w:numPr>
        <w:rPr>
          <w:rFonts w:ascii="宋体" w:hAnsi="宋体"/>
          <w:b/>
          <w:szCs w:val="21"/>
        </w:rPr>
      </w:pPr>
      <w:r>
        <w:rPr>
          <w:rFonts w:hint="eastAsia" w:ascii="宋体" w:hAnsi="宋体"/>
          <w:b/>
          <w:szCs w:val="24"/>
        </w:rPr>
        <w:t>参加政府采购活动前三年内，在经营活动中没有重大违法记录的证明文件</w:t>
      </w:r>
    </w:p>
    <w:p>
      <w:pPr>
        <w:ind w:firstLine="600" w:firstLineChars="250"/>
        <w:rPr>
          <w:rFonts w:ascii="宋体" w:hAnsi="宋体"/>
          <w:szCs w:val="24"/>
        </w:rPr>
      </w:pPr>
      <w:r>
        <w:rPr>
          <w:rFonts w:hint="eastAsia" w:ascii="宋体" w:hAnsi="宋体"/>
          <w:szCs w:val="24"/>
        </w:rPr>
        <w:t>提供《供应商资格声明函》。</w:t>
      </w:r>
    </w:p>
    <w:p>
      <w:pPr>
        <w:pStyle w:val="6"/>
        <w:numPr>
          <w:ilvl w:val="1"/>
          <w:numId w:val="65"/>
        </w:numPr>
        <w:tabs>
          <w:tab w:val="left" w:pos="945"/>
        </w:tabs>
        <w:ind w:left="960" w:hanging="960" w:hangingChars="400"/>
        <w:rPr>
          <w:rFonts w:ascii="宋体" w:hAnsi="宋体"/>
          <w:szCs w:val="24"/>
        </w:rPr>
      </w:pPr>
      <w:r>
        <w:rPr>
          <w:rFonts w:hint="eastAsia" w:ascii="宋体" w:hAnsi="宋体"/>
          <w:szCs w:val="24"/>
        </w:rPr>
        <w:t>落实政府采购政策需满足的资格要求的证明文件（如要求）</w:t>
      </w:r>
    </w:p>
    <w:p>
      <w:pPr>
        <w:ind w:firstLine="600" w:firstLineChars="250"/>
      </w:pPr>
      <w:r>
        <w:rPr>
          <w:rFonts w:hint="eastAsia" w:ascii="宋体" w:hAnsi="宋体"/>
          <w:szCs w:val="24"/>
        </w:rPr>
        <w:t>供应商自行查阅本文件《磋商邀请》的“二、申请人的资格要求”，如属于专门面向中小企业采购的项目，须提供中小微企业的相关证明文件，若要求以联合体形式报价的，还须提供《联合协议》（参照格式4.4）；若要求以合同分包形式报价的，还须提供《分包意向协议》（参照格式4.5）。</w:t>
      </w:r>
    </w:p>
    <w:p>
      <w:pPr>
        <w:pStyle w:val="6"/>
        <w:numPr>
          <w:ilvl w:val="1"/>
          <w:numId w:val="65"/>
        </w:numPr>
        <w:tabs>
          <w:tab w:val="left" w:pos="945"/>
        </w:tabs>
        <w:ind w:left="960" w:hanging="960" w:hangingChars="400"/>
        <w:rPr>
          <w:rFonts w:ascii="宋体" w:hAnsi="宋体"/>
          <w:szCs w:val="24"/>
        </w:rPr>
      </w:pPr>
      <w:r>
        <w:rPr>
          <w:rFonts w:hint="eastAsia" w:ascii="宋体" w:hAnsi="宋体"/>
          <w:iCs/>
          <w:szCs w:val="24"/>
        </w:rPr>
        <w:t>本项目的特定资格要求的证明文件</w:t>
      </w:r>
    </w:p>
    <w:p>
      <w:pPr>
        <w:numPr>
          <w:ilvl w:val="0"/>
          <w:numId w:val="67"/>
        </w:numPr>
        <w:rPr>
          <w:rFonts w:ascii="宋体" w:hAnsi="宋体"/>
          <w:b/>
          <w:bCs/>
          <w:szCs w:val="24"/>
        </w:rPr>
      </w:pPr>
      <w:r>
        <w:rPr>
          <w:rFonts w:hint="eastAsia" w:ascii="宋体" w:hAnsi="宋体"/>
          <w:b/>
          <w:bCs/>
          <w:szCs w:val="24"/>
        </w:rPr>
        <w:t>信用记录证明文件</w:t>
      </w:r>
    </w:p>
    <w:p>
      <w:pPr>
        <w:ind w:firstLine="600" w:firstLineChars="250"/>
        <w:rPr>
          <w:rFonts w:ascii="宋体" w:hAnsi="宋体"/>
          <w:szCs w:val="24"/>
        </w:rPr>
      </w:pPr>
      <w:r>
        <w:rPr>
          <w:rFonts w:hint="eastAsia" w:ascii="宋体" w:hAnsi="宋体"/>
          <w:szCs w:val="24"/>
        </w:rPr>
        <w:t>供应商可提供其在提交首次响应文件截止前任何一天自行查询的“信用中国”网站（www.creditchina.gov.cn）中①“记录失信被执行人”和②“</w:t>
      </w:r>
      <w:r>
        <w:rPr>
          <w:rStyle w:val="34"/>
          <w:rFonts w:hint="eastAsia" w:ascii="宋体" w:hAnsi="宋体"/>
          <w:color w:val="auto"/>
          <w:szCs w:val="24"/>
          <w:u w:val="none"/>
        </w:rPr>
        <w:t>重大税收违法失信主体</w:t>
      </w:r>
      <w:r>
        <w:rPr>
          <w:rFonts w:hint="eastAsia" w:ascii="宋体" w:hAnsi="宋体"/>
          <w:szCs w:val="24"/>
        </w:rPr>
        <w:t>”和③“政府采购严重违法失信行为”记录名单，中国政府采购网（www.ccgp.gov.cn）“政府采购严重违法失信行为信息记录”查询结果。如相关失信记录已失效，供应商需提供相关证明材料。</w:t>
      </w:r>
    </w:p>
    <w:p>
      <w:pPr>
        <w:ind w:firstLine="600" w:firstLineChars="250"/>
        <w:rPr>
          <w:rFonts w:ascii="宋体" w:hAnsi="宋体"/>
          <w:szCs w:val="24"/>
        </w:rPr>
      </w:pPr>
      <w:r>
        <w:rPr>
          <w:rFonts w:hint="eastAsia" w:ascii="宋体" w:hAnsi="宋体"/>
          <w:szCs w:val="24"/>
        </w:rPr>
        <w:t>（说明：①由采购人、采购代理机构于提交首次响应文件截止日在“信用中国”网站（www.creditchina.gov.cn）及中国政府采购网(www.ccgp.gov.cn)查询结果为准，如在上述网站查询结果均显示没有相关记录，视为不存在上述不良信用记录。②采购代理机构同时对信用信息查询记录和证据截图或下载存档；</w:t>
      </w:r>
      <w:r>
        <w:rPr>
          <w:rFonts w:hint="eastAsia" w:ascii="宋体" w:hAnsi="宋体"/>
        </w:rPr>
        <w:t>③供应商为联合体或要求供应商以联合体形式参加磋商的，同时对所有联合体成员</w:t>
      </w:r>
      <w:r>
        <w:rPr>
          <w:rStyle w:val="44"/>
          <w:rFonts w:hint="eastAsia" w:hAnsi="宋体"/>
          <w:sz w:val="24"/>
          <w:szCs w:val="24"/>
        </w:rPr>
        <w:t>进行信用记录查询，联合体任何一方</w:t>
      </w:r>
      <w:r>
        <w:rPr>
          <w:rFonts w:ascii="宋体" w:hAnsi="宋体"/>
        </w:rPr>
        <w:t>存在</w:t>
      </w:r>
      <w:r>
        <w:rPr>
          <w:rFonts w:hint="eastAsia" w:ascii="宋体" w:hAnsi="宋体"/>
        </w:rPr>
        <w:t>不良信用</w:t>
      </w:r>
      <w:r>
        <w:rPr>
          <w:rFonts w:ascii="宋体" w:hAnsi="宋体"/>
        </w:rPr>
        <w:t>记录的</w:t>
      </w:r>
      <w:r>
        <w:rPr>
          <w:rFonts w:hint="eastAsia" w:ascii="宋体" w:hAnsi="宋体"/>
        </w:rPr>
        <w:t>，视同供应商存在不良信用记录</w:t>
      </w:r>
      <w:r>
        <w:rPr>
          <w:rFonts w:ascii="宋体" w:hAnsi="宋体"/>
        </w:rPr>
        <w:t>。</w:t>
      </w:r>
      <w:r>
        <w:rPr>
          <w:rFonts w:hint="eastAsia" w:ascii="宋体" w:hAnsi="宋体"/>
        </w:rPr>
        <w:t>④</w:t>
      </w:r>
      <w:r>
        <w:rPr>
          <w:rFonts w:hint="eastAsia" w:ascii="宋体" w:hAnsi="宋体"/>
          <w:szCs w:val="24"/>
        </w:rPr>
        <w:t>供应商为分支机构或联合体有成员为分支机构的，同时对该分支机构所属总公司（总所）进行信用记录查询，该分支机构所属总公司（总所）存在不良信用记录的，视同供应商（联合体）存在不良信用记录。）</w:t>
      </w:r>
    </w:p>
    <w:p>
      <w:pPr>
        <w:numPr>
          <w:ilvl w:val="0"/>
          <w:numId w:val="67"/>
        </w:numPr>
        <w:rPr>
          <w:rFonts w:ascii="宋体" w:hAnsi="宋体"/>
          <w:b/>
          <w:szCs w:val="24"/>
        </w:rPr>
      </w:pPr>
      <w:r>
        <w:rPr>
          <w:rFonts w:hint="eastAsia" w:ascii="宋体" w:hAnsi="宋体"/>
          <w:b/>
          <w:szCs w:val="24"/>
        </w:rPr>
        <w:t>法律、行政法规规定的其他条件的证明文件</w:t>
      </w:r>
    </w:p>
    <w:p>
      <w:pPr>
        <w:numPr>
          <w:ilvl w:val="0"/>
          <w:numId w:val="68"/>
        </w:numPr>
        <w:rPr>
          <w:rFonts w:ascii="宋体" w:hAnsi="宋体"/>
          <w:szCs w:val="24"/>
        </w:rPr>
      </w:pPr>
      <w:r>
        <w:rPr>
          <w:rFonts w:hint="eastAsia" w:ascii="宋体" w:hAnsi="宋体"/>
          <w:szCs w:val="24"/>
        </w:rPr>
        <w:t>单位负责人为同一人或者存在直接控股、管理关系的不同供应商不得同时参加本采购项目（同一采购包）的磋商。（提供《供应商资格声明函》）</w:t>
      </w:r>
    </w:p>
    <w:p>
      <w:pPr>
        <w:numPr>
          <w:ilvl w:val="0"/>
          <w:numId w:val="68"/>
        </w:numPr>
        <w:rPr>
          <w:rFonts w:ascii="宋体" w:hAnsi="宋体"/>
          <w:szCs w:val="24"/>
        </w:rPr>
      </w:pPr>
      <w:r>
        <w:rPr>
          <w:rFonts w:hint="eastAsia" w:ascii="宋体" w:hAnsi="宋体"/>
          <w:szCs w:val="24"/>
        </w:rPr>
        <w:t>为本项目提供整体设计、规范编制或者项目管理、监理、检测等服务的供应商，不得再参加本项目（同一采购包）的磋商。（提供《供应商资格声明函》）。</w:t>
      </w:r>
    </w:p>
    <w:p>
      <w:pPr>
        <w:numPr>
          <w:ilvl w:val="0"/>
          <w:numId w:val="67"/>
        </w:numPr>
      </w:pPr>
      <w:r>
        <w:rPr>
          <w:rFonts w:hint="eastAsia"/>
          <w:b/>
          <w:bCs/>
        </w:rPr>
        <w:t>已按磋商公告及磋商文件的规定获取了磋商文件。</w:t>
      </w:r>
      <w:r>
        <w:rPr>
          <w:rFonts w:hint="eastAsia"/>
        </w:rPr>
        <w:t>（提供《供应商资格声明函》。最终以采购代理机构的记录为准）</w:t>
      </w:r>
    </w:p>
    <w:p>
      <w:pPr>
        <w:numPr>
          <w:ilvl w:val="0"/>
          <w:numId w:val="67"/>
        </w:numPr>
      </w:pPr>
      <w:r>
        <w:rPr>
          <w:rFonts w:hint="eastAsia"/>
          <w:b/>
          <w:bCs/>
        </w:rPr>
        <w:t>关于联合体报价。</w:t>
      </w:r>
      <w:r>
        <w:rPr>
          <w:rFonts w:hint="eastAsia"/>
        </w:rPr>
        <w:t>接受联合体报价且以联合体报价的，提供《联合协议》（参照格式4.4）。</w:t>
      </w:r>
    </w:p>
    <w:p>
      <w:pPr>
        <w:numPr>
          <w:ilvl w:val="0"/>
          <w:numId w:val="67"/>
        </w:numPr>
        <w:rPr>
          <w:rFonts w:ascii="宋体" w:hAnsi="宋体"/>
          <w:szCs w:val="24"/>
        </w:rPr>
      </w:pPr>
      <w:r>
        <w:rPr>
          <w:rFonts w:hint="eastAsia"/>
          <w:b/>
          <w:bCs/>
        </w:rPr>
        <w:t>供应商应当具备的其他资格条件：</w:t>
      </w:r>
      <w:r>
        <w:rPr>
          <w:rFonts w:hint="eastAsia"/>
        </w:rPr>
        <w:t>响应供应商自行查阅本文件《磋商邀请》的“二、申请人的资格要求”，如要求，响应供应商须按磋商文件的规定提供证明文件。</w:t>
      </w:r>
    </w:p>
    <w:p>
      <w:pPr>
        <w:ind w:left="808" w:hanging="808" w:hangingChars="337"/>
        <w:rPr>
          <w:rFonts w:ascii="宋体" w:hAnsi="宋体"/>
          <w:szCs w:val="24"/>
        </w:rPr>
      </w:pPr>
    </w:p>
    <w:p>
      <w:pPr>
        <w:ind w:firstLine="480" w:firstLineChars="200"/>
        <w:rPr>
          <w:rFonts w:ascii="宋体" w:hAnsi="宋体"/>
          <w:szCs w:val="24"/>
        </w:rPr>
      </w:pPr>
    </w:p>
    <w:p>
      <w:pPr>
        <w:ind w:firstLine="600" w:firstLineChars="250"/>
        <w:rPr>
          <w:rFonts w:ascii="宋体" w:hAnsi="宋体"/>
          <w:szCs w:val="24"/>
        </w:rPr>
      </w:pPr>
    </w:p>
    <w:p>
      <w:pPr>
        <w:pStyle w:val="6"/>
        <w:numPr>
          <w:ilvl w:val="1"/>
          <w:numId w:val="65"/>
        </w:numPr>
        <w:tabs>
          <w:tab w:val="left" w:pos="945"/>
        </w:tabs>
        <w:ind w:left="960" w:hanging="960" w:hangingChars="400"/>
        <w:rPr>
          <w:rFonts w:ascii="宋体" w:hAnsi="宋体"/>
          <w:szCs w:val="24"/>
        </w:rPr>
      </w:pPr>
      <w:r>
        <w:rPr>
          <w:rFonts w:hint="eastAsia" w:ascii="宋体" w:hAnsi="宋体"/>
          <w:szCs w:val="24"/>
        </w:rPr>
        <w:br w:type="page"/>
      </w:r>
      <w:r>
        <w:rPr>
          <w:rFonts w:hint="eastAsia" w:ascii="宋体" w:hAnsi="宋体"/>
          <w:szCs w:val="24"/>
        </w:rPr>
        <w:t>关于联合体报价（本项目不适用）</w:t>
      </w:r>
    </w:p>
    <w:p>
      <w:pPr>
        <w:ind w:firstLine="480" w:firstLineChars="200"/>
        <w:rPr>
          <w:rFonts w:ascii="宋体" w:hAnsi="宋体"/>
          <w:szCs w:val="24"/>
        </w:rPr>
      </w:pPr>
      <w:r>
        <w:rPr>
          <w:rFonts w:hint="eastAsia" w:ascii="宋体" w:hAnsi="宋体"/>
          <w:b/>
          <w:szCs w:val="24"/>
        </w:rPr>
        <w:t>备注：</w:t>
      </w:r>
      <w:r>
        <w:rPr>
          <w:rFonts w:hint="eastAsia" w:ascii="宋体" w:hAnsi="宋体"/>
          <w:szCs w:val="24"/>
        </w:rPr>
        <w:t>不接受联合体报价的项目（采购包），以按规定获取采购文件供应商的名单情况为准。供应商也可以提供《供应商资格声明函》，也可以不作声明。接受联合体报价的项目（采购包），且供应商为联合体报价时，参考下列格式提供《联合协议》。</w:t>
      </w:r>
    </w:p>
    <w:p>
      <w:pPr>
        <w:ind w:left="1080" w:leftChars="450" w:firstLine="410" w:firstLineChars="171"/>
        <w:rPr>
          <w:rFonts w:ascii="宋体" w:hAnsi="宋体"/>
          <w:szCs w:val="24"/>
        </w:rPr>
      </w:pPr>
    </w:p>
    <w:p>
      <w:pPr>
        <w:ind w:left="1080" w:leftChars="450" w:firstLine="410" w:firstLineChars="171"/>
        <w:rPr>
          <w:rFonts w:ascii="宋体" w:hAnsi="宋体"/>
          <w:szCs w:val="24"/>
        </w:rPr>
      </w:pPr>
    </w:p>
    <w:p>
      <w:pPr>
        <w:pStyle w:val="6"/>
        <w:numPr>
          <w:ilvl w:val="0"/>
          <w:numId w:val="0"/>
        </w:numPr>
        <w:tabs>
          <w:tab w:val="left" w:pos="945"/>
        </w:tabs>
        <w:ind w:left="964"/>
        <w:rPr>
          <w:rFonts w:ascii="宋体" w:hAnsi="宋体"/>
          <w:szCs w:val="24"/>
        </w:rPr>
      </w:pPr>
      <w:bookmarkStart w:id="410" w:name="_Toc22806205"/>
      <w:r>
        <w:rPr>
          <w:rFonts w:hint="eastAsia" w:ascii="宋体" w:hAnsi="宋体"/>
          <w:szCs w:val="24"/>
        </w:rPr>
        <w:t>联合协议</w:t>
      </w:r>
      <w:bookmarkEnd w:id="410"/>
    </w:p>
    <w:p>
      <w:pPr>
        <w:jc w:val="center"/>
        <w:rPr>
          <w:rFonts w:ascii="宋体" w:hAnsi="宋体"/>
          <w:b/>
          <w:sz w:val="30"/>
          <w:szCs w:val="30"/>
        </w:rPr>
      </w:pPr>
      <w:r>
        <w:rPr>
          <w:rFonts w:hint="eastAsia" w:ascii="宋体" w:hAnsi="宋体"/>
          <w:b/>
          <w:sz w:val="30"/>
          <w:szCs w:val="30"/>
        </w:rPr>
        <w:t>联合协议（略）</w:t>
      </w:r>
    </w:p>
    <w:p>
      <w:r>
        <w:rPr>
          <w:rFonts w:hint="eastAsia"/>
        </w:rPr>
        <w:tab/>
      </w:r>
    </w:p>
    <w:p>
      <w:pPr>
        <w:pStyle w:val="6"/>
        <w:numPr>
          <w:ilvl w:val="1"/>
          <w:numId w:val="65"/>
        </w:numPr>
        <w:tabs>
          <w:tab w:val="left" w:pos="945"/>
        </w:tabs>
        <w:ind w:left="960" w:hanging="960" w:hangingChars="400"/>
        <w:rPr>
          <w:rFonts w:ascii="宋体" w:hAnsi="宋体"/>
          <w:szCs w:val="24"/>
        </w:rPr>
      </w:pPr>
      <w:r>
        <w:rPr>
          <w:rFonts w:hint="eastAsia" w:ascii="宋体" w:hAnsi="宋体"/>
          <w:szCs w:val="24"/>
        </w:rPr>
        <w:br w:type="page"/>
      </w:r>
      <w:r>
        <w:rPr>
          <w:rFonts w:hint="eastAsia" w:ascii="宋体" w:hAnsi="宋体"/>
          <w:szCs w:val="24"/>
        </w:rPr>
        <w:t>分包意向协议（本项目不适用）</w:t>
      </w:r>
    </w:p>
    <w:p>
      <w:pPr>
        <w:ind w:firstLine="600" w:firstLineChars="250"/>
        <w:rPr>
          <w:rFonts w:ascii="宋体" w:hAnsi="宋体"/>
          <w:szCs w:val="24"/>
        </w:rPr>
      </w:pPr>
      <w:r>
        <w:rPr>
          <w:rFonts w:hint="eastAsia" w:ascii="宋体" w:hAnsi="宋体"/>
          <w:szCs w:val="24"/>
        </w:rPr>
        <w:t>备注：若以合同分包形式参加磋商时，参考下列格式提供《分包意向协议》。不要求以分包形式参加磋商的，可不提供本协议。</w:t>
      </w:r>
    </w:p>
    <w:p>
      <w:pPr>
        <w:ind w:firstLine="480" w:firstLineChars="200"/>
        <w:rPr>
          <w:rFonts w:ascii="宋体" w:hAnsi="宋体"/>
          <w:szCs w:val="24"/>
        </w:rPr>
      </w:pPr>
    </w:p>
    <w:p>
      <w:pPr>
        <w:jc w:val="center"/>
        <w:rPr>
          <w:rFonts w:ascii="宋体" w:hAnsi="宋体"/>
        </w:rPr>
      </w:pPr>
      <w:r>
        <w:rPr>
          <w:rFonts w:hint="eastAsia" w:ascii="宋体" w:hAnsi="宋体"/>
          <w:b/>
          <w:sz w:val="30"/>
          <w:szCs w:val="30"/>
        </w:rPr>
        <w:t>分包意向协议（略）</w:t>
      </w:r>
    </w:p>
    <w:p>
      <w:pPr>
        <w:jc w:val="left"/>
        <w:rPr>
          <w:rFonts w:ascii="宋体" w:hAnsi="宋体"/>
        </w:rPr>
      </w:pPr>
    </w:p>
    <w:p>
      <w:pPr>
        <w:pStyle w:val="6"/>
        <w:numPr>
          <w:ilvl w:val="1"/>
          <w:numId w:val="65"/>
        </w:numPr>
        <w:tabs>
          <w:tab w:val="left" w:pos="945"/>
        </w:tabs>
        <w:ind w:left="960" w:hanging="960" w:hangingChars="400"/>
        <w:rPr>
          <w:rFonts w:ascii="宋体" w:hAnsi="宋体"/>
          <w:szCs w:val="24"/>
        </w:rPr>
      </w:pPr>
      <w:bookmarkStart w:id="411" w:name="_Toc22806206"/>
      <w:r>
        <w:rPr>
          <w:rFonts w:hint="eastAsia" w:ascii="宋体" w:hAnsi="宋体"/>
          <w:szCs w:val="24"/>
        </w:rPr>
        <w:br w:type="page"/>
      </w:r>
      <w:r>
        <w:rPr>
          <w:rFonts w:hint="eastAsia" w:ascii="宋体" w:hAnsi="宋体"/>
          <w:szCs w:val="24"/>
        </w:rPr>
        <w:t>供应商认为有必要提供的其他资格、资信证明文件（如有）</w:t>
      </w:r>
      <w:bookmarkEnd w:id="411"/>
    </w:p>
    <w:p>
      <w:pPr>
        <w:ind w:left="720" w:leftChars="300" w:firstLine="150" w:firstLineChars="50"/>
        <w:jc w:val="center"/>
        <w:rPr>
          <w:rFonts w:ascii="宋体" w:hAnsi="宋体"/>
          <w:b/>
          <w:sz w:val="30"/>
          <w:szCs w:val="30"/>
        </w:rPr>
      </w:pPr>
      <w:r>
        <w:rPr>
          <w:rFonts w:hint="eastAsia" w:ascii="宋体" w:hAnsi="宋体"/>
          <w:b/>
          <w:sz w:val="30"/>
          <w:szCs w:val="30"/>
        </w:rPr>
        <w:t>供应商认为有必要提供的其他资格、资信证明文件</w:t>
      </w:r>
    </w:p>
    <w:p>
      <w:pPr>
        <w:ind w:left="808" w:hanging="808" w:hangingChars="337"/>
        <w:rPr>
          <w:rFonts w:ascii="宋体" w:hAnsi="宋体"/>
          <w:szCs w:val="24"/>
        </w:rPr>
      </w:pPr>
      <w:r>
        <w:rPr>
          <w:rFonts w:hint="eastAsia" w:ascii="宋体" w:hAnsi="宋体"/>
          <w:szCs w:val="24"/>
        </w:rPr>
        <w:t>采购项目名称：2026-2027年广州白云机场海关南1、2号楼物业管理服务</w:t>
      </w:r>
    </w:p>
    <w:p>
      <w:pPr>
        <w:ind w:left="808" w:hanging="808" w:hangingChars="337"/>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165"/>
        <w:gridCol w:w="3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wordWrap w:val="0"/>
              <w:autoSpaceDE w:val="0"/>
              <w:autoSpaceDN w:val="0"/>
              <w:jc w:val="center"/>
              <w:rPr>
                <w:rFonts w:ascii="宋体" w:hAnsi="宋体"/>
                <w:szCs w:val="24"/>
              </w:rPr>
            </w:pPr>
            <w:r>
              <w:rPr>
                <w:rFonts w:hint="eastAsia" w:ascii="宋体" w:hAnsi="宋体"/>
                <w:szCs w:val="24"/>
              </w:rPr>
              <w:t>序号</w:t>
            </w:r>
          </w:p>
        </w:tc>
        <w:tc>
          <w:tcPr>
            <w:tcW w:w="5165" w:type="dxa"/>
            <w:vAlign w:val="center"/>
          </w:tcPr>
          <w:p>
            <w:pPr>
              <w:wordWrap w:val="0"/>
              <w:autoSpaceDE w:val="0"/>
              <w:autoSpaceDN w:val="0"/>
              <w:jc w:val="center"/>
              <w:rPr>
                <w:rFonts w:ascii="宋体" w:hAnsi="宋体"/>
                <w:szCs w:val="24"/>
              </w:rPr>
            </w:pPr>
            <w:r>
              <w:rPr>
                <w:rFonts w:hint="eastAsia" w:ascii="宋体" w:hAnsi="宋体"/>
                <w:szCs w:val="24"/>
              </w:rPr>
              <w:t>其他资格、资信证明文件名称</w:t>
            </w:r>
          </w:p>
        </w:tc>
        <w:tc>
          <w:tcPr>
            <w:tcW w:w="3181" w:type="dxa"/>
            <w:vAlign w:val="center"/>
          </w:tcPr>
          <w:p>
            <w:pPr>
              <w:wordWrap w:val="0"/>
              <w:autoSpaceDE w:val="0"/>
              <w:autoSpaceDN w:val="0"/>
              <w:jc w:val="center"/>
              <w:rPr>
                <w:rFonts w:ascii="宋体" w:hAnsi="宋体"/>
                <w:szCs w:val="24"/>
              </w:rPr>
            </w:pPr>
            <w:r>
              <w:rPr>
                <w:rFonts w:hint="eastAsia" w:ascii="宋体" w:hAnsi="宋体"/>
                <w:szCs w:val="24"/>
              </w:rPr>
              <w:t>证明材料所在页码范围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wordWrap w:val="0"/>
              <w:autoSpaceDE w:val="0"/>
              <w:autoSpaceDN w:val="0"/>
              <w:jc w:val="center"/>
              <w:rPr>
                <w:rFonts w:ascii="宋体" w:hAnsi="宋体"/>
                <w:szCs w:val="24"/>
              </w:rPr>
            </w:pPr>
          </w:p>
        </w:tc>
        <w:tc>
          <w:tcPr>
            <w:tcW w:w="51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3181" w:type="dxa"/>
            <w:vAlign w:val="center"/>
          </w:tcPr>
          <w:p>
            <w:pPr>
              <w:wordWrap w:val="0"/>
              <w:autoSpaceDE w:val="0"/>
              <w:autoSpaceDN w:val="0"/>
              <w:jc w:val="center"/>
              <w:rPr>
                <w:rFonts w:ascii="宋体" w:hAnsi="宋体"/>
                <w:szCs w:val="24"/>
              </w:rPr>
            </w:pPr>
          </w:p>
        </w:tc>
      </w:tr>
    </w:tbl>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wordWrap w:val="0"/>
        <w:autoSpaceDE w:val="0"/>
        <w:autoSpaceDN w:val="0"/>
        <w:rPr>
          <w:rFonts w:ascii="宋体" w:hAnsi="宋体"/>
          <w:b/>
          <w:szCs w:val="24"/>
        </w:rPr>
      </w:pPr>
      <w:r>
        <w:rPr>
          <w:rFonts w:hint="eastAsia" w:ascii="宋体" w:hAnsi="宋体"/>
          <w:b/>
          <w:szCs w:val="24"/>
        </w:rPr>
        <w:t>备注：</w:t>
      </w:r>
    </w:p>
    <w:p>
      <w:pPr>
        <w:wordWrap w:val="0"/>
        <w:autoSpaceDE w:val="0"/>
        <w:autoSpaceDN w:val="0"/>
        <w:ind w:firstLine="480" w:firstLineChars="200"/>
        <w:rPr>
          <w:rFonts w:ascii="宋体" w:hAnsi="宋体"/>
          <w:szCs w:val="24"/>
        </w:rPr>
      </w:pPr>
      <w:r>
        <w:rPr>
          <w:rFonts w:hint="eastAsia" w:ascii="宋体" w:hAnsi="宋体"/>
          <w:szCs w:val="24"/>
        </w:rPr>
        <w:t>1.除上述4.1～4.5证明材料外，供应商可根据磋商文件《磋商邀请》的“二、申请人的资格要求”及磋商文件的规定，对其认为有必要提供的其他资格、资信证明文件作出说明并在上表后附相关证明材料。</w:t>
      </w:r>
    </w:p>
    <w:p>
      <w:pPr>
        <w:wordWrap w:val="0"/>
        <w:autoSpaceDE w:val="0"/>
        <w:autoSpaceDN w:val="0"/>
        <w:ind w:firstLine="480" w:firstLineChars="200"/>
        <w:rPr>
          <w:rFonts w:ascii="宋体" w:hAnsi="宋体"/>
          <w:szCs w:val="24"/>
        </w:rPr>
      </w:pPr>
      <w:r>
        <w:rPr>
          <w:rFonts w:hint="eastAsia" w:ascii="宋体" w:hAnsi="宋体"/>
          <w:szCs w:val="24"/>
        </w:rPr>
        <w:t>2.如果供应商认为无其他资格、资信证明文件提供的，请在上表第一行填写“无其他资格、资信文件”</w:t>
      </w:r>
      <w:r>
        <w:rPr>
          <w:rFonts w:hint="eastAsia" w:ascii="宋体" w:hAnsi="宋体"/>
          <w:szCs w:val="24"/>
        </w:rPr>
        <w:tab/>
      </w:r>
      <w:r>
        <w:rPr>
          <w:rFonts w:hint="eastAsia" w:ascii="宋体" w:hAnsi="宋体"/>
          <w:szCs w:val="24"/>
        </w:rPr>
        <w:t>。</w:t>
      </w:r>
    </w:p>
    <w:p>
      <w:pPr>
        <w:wordWrap w:val="0"/>
        <w:autoSpaceDE w:val="0"/>
        <w:autoSpaceDN w:val="0"/>
        <w:ind w:firstLine="480" w:firstLineChars="200"/>
        <w:rPr>
          <w:rFonts w:ascii="宋体" w:hAnsi="宋体"/>
          <w:szCs w:val="24"/>
        </w:rPr>
      </w:pPr>
      <w:r>
        <w:rPr>
          <w:rFonts w:hint="eastAsia" w:ascii="宋体" w:hAnsi="宋体"/>
          <w:szCs w:val="24"/>
        </w:rPr>
        <w:t>3.联合体报价的，涉及各成员方的证明材料分别提供。各成员提供的自身独立的证明材料（如有）均可以由《联合协议》约定的方式加盖公章及签署。</w:t>
      </w:r>
    </w:p>
    <w:p>
      <w:pPr>
        <w:wordWrap w:val="0"/>
        <w:autoSpaceDE w:val="0"/>
        <w:autoSpaceDN w:val="0"/>
        <w:ind w:firstLine="480" w:firstLineChars="200"/>
        <w:rPr>
          <w:rFonts w:ascii="宋体" w:hAnsi="宋体"/>
          <w:szCs w:val="24"/>
        </w:rPr>
      </w:pPr>
      <w:r>
        <w:rPr>
          <w:rFonts w:hint="eastAsia" w:ascii="宋体" w:hAnsi="宋体"/>
          <w:szCs w:val="24"/>
        </w:rPr>
        <w:t>4.分支机构参加磋商的，总公司（总所）、分支机构的证明材料分别提供，均可以由总公司（总所）或分支机构加盖公章及签署。</w:t>
      </w:r>
    </w:p>
    <w:p>
      <w:pPr>
        <w:wordWrap w:val="0"/>
        <w:autoSpaceDE w:val="0"/>
        <w:autoSpaceDN w:val="0"/>
        <w:ind w:firstLine="480" w:firstLineChars="200"/>
        <w:rPr>
          <w:rFonts w:ascii="宋体" w:hAnsi="宋体"/>
          <w:szCs w:val="24"/>
        </w:rPr>
      </w:pPr>
      <w:r>
        <w:rPr>
          <w:rFonts w:hint="eastAsia" w:ascii="宋体" w:hAnsi="宋体"/>
          <w:szCs w:val="24"/>
        </w:rPr>
        <w:t>5.以合同分包形式报价的，各接受分包合同企业提供的自身独立的证明材料（如采购文件有要求），可以由各接受分包合同企业加盖公章及签署，也可以由报价供应商按《分包意向协议》约定的方式加盖公章及签署。</w:t>
      </w:r>
    </w:p>
    <w:p>
      <w:pPr>
        <w:wordWrap w:val="0"/>
        <w:autoSpaceDE w:val="0"/>
        <w:autoSpaceDN w:val="0"/>
        <w:ind w:firstLine="480" w:firstLineChars="200"/>
        <w:rPr>
          <w:rFonts w:ascii="宋体" w:hAnsi="宋体"/>
          <w:szCs w:val="24"/>
        </w:rPr>
      </w:pPr>
    </w:p>
    <w:p>
      <w:pPr>
        <w:pStyle w:val="5"/>
        <w:numPr>
          <w:ilvl w:val="0"/>
          <w:numId w:val="69"/>
        </w:numPr>
        <w:tabs>
          <w:tab w:val="left" w:pos="945"/>
        </w:tabs>
        <w:spacing w:before="0" w:after="0" w:line="360" w:lineRule="auto"/>
        <w:ind w:left="0" w:firstLine="0"/>
        <w:rPr>
          <w:sz w:val="28"/>
          <w:szCs w:val="28"/>
        </w:rPr>
      </w:pPr>
      <w:bookmarkStart w:id="412" w:name="_Toc55398761"/>
      <w:bookmarkStart w:id="413" w:name="_Toc50460249"/>
      <w:bookmarkStart w:id="414" w:name="_Toc22806208"/>
      <w:bookmarkStart w:id="415" w:name="_Toc56180356"/>
      <w:r>
        <w:rPr>
          <w:rFonts w:hint="eastAsia"/>
          <w:sz w:val="28"/>
          <w:szCs w:val="28"/>
        </w:rPr>
        <w:br w:type="page"/>
      </w:r>
      <w:r>
        <w:rPr>
          <w:rFonts w:hint="eastAsia"/>
          <w:sz w:val="28"/>
          <w:szCs w:val="28"/>
        </w:rPr>
        <w:t>法定代表人证明书及授权委托书</w:t>
      </w:r>
      <w:bookmarkEnd w:id="412"/>
      <w:bookmarkEnd w:id="413"/>
      <w:bookmarkEnd w:id="414"/>
      <w:bookmarkEnd w:id="415"/>
    </w:p>
    <w:p>
      <w:pPr>
        <w:pStyle w:val="6"/>
        <w:numPr>
          <w:ilvl w:val="1"/>
          <w:numId w:val="69"/>
        </w:numPr>
        <w:tabs>
          <w:tab w:val="left" w:pos="945"/>
        </w:tabs>
        <w:ind w:left="0" w:firstLine="0"/>
        <w:rPr>
          <w:rFonts w:ascii="宋体" w:hAnsi="宋体"/>
          <w:szCs w:val="24"/>
        </w:rPr>
      </w:pPr>
      <w:bookmarkStart w:id="416" w:name="_Toc22806209"/>
      <w:r>
        <w:rPr>
          <w:rFonts w:hint="eastAsia" w:ascii="宋体" w:hAnsi="宋体"/>
          <w:szCs w:val="24"/>
        </w:rPr>
        <w:t>法定代表人证明书（适用于非自然人供应商）</w:t>
      </w:r>
      <w:bookmarkEnd w:id="416"/>
    </w:p>
    <w:p>
      <w:pPr>
        <w:jc w:val="center"/>
        <w:rPr>
          <w:rFonts w:ascii="宋体" w:hAnsi="宋体"/>
          <w:b/>
          <w:sz w:val="32"/>
          <w:szCs w:val="32"/>
        </w:rPr>
      </w:pPr>
      <w:r>
        <w:rPr>
          <w:rFonts w:hint="eastAsia" w:ascii="宋体" w:hAnsi="宋体"/>
          <w:b/>
          <w:sz w:val="32"/>
          <w:szCs w:val="32"/>
        </w:rPr>
        <w:t>法定代表人证明书</w:t>
      </w:r>
    </w:p>
    <w:p>
      <w:pPr>
        <w:rPr>
          <w:rFonts w:ascii="宋体" w:hAnsi="宋体"/>
          <w:bCs/>
          <w:szCs w:val="24"/>
          <w:u w:val="single"/>
        </w:rPr>
      </w:pPr>
    </w:p>
    <w:p>
      <w:pPr>
        <w:ind w:firstLine="480" w:firstLineChars="200"/>
        <w:rPr>
          <w:rFonts w:ascii="宋体" w:hAnsi="宋体"/>
          <w:bCs/>
          <w:szCs w:val="24"/>
        </w:rPr>
      </w:pPr>
      <w:r>
        <w:rPr>
          <w:rFonts w:hint="eastAsia" w:ascii="宋体" w:hAnsi="宋体"/>
          <w:bCs/>
          <w:i/>
          <w:szCs w:val="24"/>
          <w:u w:val="single"/>
        </w:rPr>
        <w:t>（法定代表人姓名）</w:t>
      </w:r>
      <w:r>
        <w:rPr>
          <w:rFonts w:hint="eastAsia" w:ascii="宋体" w:hAnsi="宋体"/>
          <w:bCs/>
          <w:szCs w:val="24"/>
        </w:rPr>
        <w:t>现任我单位</w:t>
      </w:r>
      <w:r>
        <w:rPr>
          <w:rFonts w:hint="eastAsia" w:ascii="宋体" w:hAnsi="宋体"/>
          <w:bCs/>
          <w:i/>
          <w:szCs w:val="24"/>
          <w:u w:val="single"/>
        </w:rPr>
        <w:t>（法定代表人职务）</w:t>
      </w:r>
      <w:r>
        <w:rPr>
          <w:rFonts w:hint="eastAsia" w:ascii="宋体" w:hAnsi="宋体"/>
          <w:bCs/>
          <w:szCs w:val="24"/>
        </w:rPr>
        <w:t>职务，为法定代表人，特此证明。</w:t>
      </w:r>
    </w:p>
    <w:p>
      <w:pPr>
        <w:ind w:firstLine="480" w:firstLineChars="200"/>
        <w:rPr>
          <w:rFonts w:ascii="宋体" w:hAnsi="宋体"/>
          <w:bCs/>
          <w:szCs w:val="24"/>
        </w:rPr>
      </w:pPr>
      <w:r>
        <w:rPr>
          <w:rFonts w:hint="eastAsia" w:ascii="宋体" w:hAnsi="宋体"/>
          <w:bCs/>
          <w:szCs w:val="24"/>
        </w:rPr>
        <w:t>本证明书自签发之日起生效，有效期与本公司响应文件中标注的响应有效期相同。</w:t>
      </w:r>
    </w:p>
    <w:p>
      <w:pPr>
        <w:rPr>
          <w:rFonts w:ascii="宋体" w:hAnsi="宋体"/>
          <w:bCs/>
          <w:szCs w:val="24"/>
        </w:rPr>
      </w:pPr>
      <w:r>
        <w:rPr>
          <w:rFonts w:hint="eastAsia" w:ascii="宋体" w:hAnsi="宋体"/>
          <w:bCs/>
          <w:szCs w:val="24"/>
        </w:rPr>
        <w:t>附：代表人性别：</w:t>
      </w:r>
      <w:r>
        <w:rPr>
          <w:rFonts w:hint="eastAsia" w:ascii="宋体" w:hAnsi="宋体"/>
          <w:bCs/>
          <w:szCs w:val="24"/>
          <w:u w:val="single"/>
        </w:rPr>
        <w:t xml:space="preserve">  </w:t>
      </w:r>
      <w:r>
        <w:rPr>
          <w:rFonts w:hint="eastAsia" w:ascii="宋体" w:hAnsi="宋体"/>
          <w:bCs/>
          <w:szCs w:val="24"/>
        </w:rPr>
        <w:t xml:space="preserve"> 年龄：</w:t>
      </w:r>
      <w:r>
        <w:rPr>
          <w:rFonts w:hint="eastAsia" w:ascii="宋体" w:hAnsi="宋体"/>
          <w:bCs/>
          <w:szCs w:val="24"/>
          <w:u w:val="single"/>
        </w:rPr>
        <w:t xml:space="preserve">  </w:t>
      </w:r>
      <w:r>
        <w:rPr>
          <w:rFonts w:hint="eastAsia" w:ascii="宋体" w:hAnsi="宋体"/>
          <w:bCs/>
          <w:szCs w:val="24"/>
        </w:rPr>
        <w:t>周岁 身份证件号码：</w:t>
      </w:r>
      <w:r>
        <w:rPr>
          <w:rFonts w:hint="eastAsia" w:ascii="宋体" w:hAnsi="宋体"/>
          <w:bCs/>
          <w:szCs w:val="24"/>
          <w:u w:val="single"/>
        </w:rPr>
        <w:t xml:space="preserve">                             </w:t>
      </w:r>
    </w:p>
    <w:p>
      <w:pPr>
        <w:rPr>
          <w:rFonts w:ascii="宋体" w:hAnsi="宋体"/>
          <w:bCs/>
          <w:szCs w:val="24"/>
        </w:rPr>
      </w:pPr>
      <w:r>
        <w:rPr>
          <w:rFonts w:hint="eastAsia" w:ascii="宋体" w:hAnsi="宋体"/>
          <w:bCs/>
          <w:szCs w:val="24"/>
        </w:rPr>
        <w:t>注册或登记或证书号码：</w:t>
      </w:r>
      <w:r>
        <w:rPr>
          <w:rFonts w:hint="eastAsia" w:ascii="宋体" w:hAnsi="宋体"/>
          <w:bCs/>
          <w:szCs w:val="24"/>
          <w:u w:val="single"/>
        </w:rPr>
        <w:t xml:space="preserve">                       </w:t>
      </w:r>
      <w:r>
        <w:rPr>
          <w:rFonts w:hint="eastAsia" w:ascii="宋体" w:hAnsi="宋体"/>
          <w:bCs/>
          <w:szCs w:val="24"/>
        </w:rPr>
        <w:t xml:space="preserve"> 机构类型：</w:t>
      </w:r>
      <w:r>
        <w:rPr>
          <w:rFonts w:hint="eastAsia" w:ascii="宋体" w:hAnsi="宋体"/>
          <w:bCs/>
          <w:szCs w:val="24"/>
          <w:u w:val="single"/>
        </w:rPr>
        <w:t xml:space="preserve">                   </w:t>
      </w:r>
    </w:p>
    <w:p>
      <w:pPr>
        <w:rPr>
          <w:rFonts w:ascii="宋体" w:hAnsi="宋体"/>
          <w:b/>
          <w:szCs w:val="24"/>
          <w:u w:val="single"/>
        </w:rPr>
      </w:pPr>
      <w:r>
        <w:rPr>
          <w:rFonts w:hint="eastAsia" w:ascii="宋体" w:hAnsi="宋体"/>
          <w:bCs/>
          <w:szCs w:val="24"/>
        </w:rPr>
        <w:t>经营/许可范围：</w:t>
      </w:r>
      <w:r>
        <w:rPr>
          <w:rFonts w:hint="eastAsia" w:ascii="宋体" w:hAnsi="宋体"/>
          <w:bCs/>
          <w:szCs w:val="24"/>
          <w:u w:val="single"/>
        </w:rPr>
        <w:t xml:space="preserve">  </w:t>
      </w:r>
      <w:r>
        <w:rPr>
          <w:rFonts w:hint="eastAsia" w:ascii="宋体" w:hAnsi="宋体"/>
          <w:szCs w:val="24"/>
          <w:u w:val="single"/>
        </w:rPr>
        <w:t xml:space="preserve">                                                          </w:t>
      </w:r>
      <w:r>
        <w:rPr>
          <w:rFonts w:hint="eastAsia" w:ascii="宋体" w:hAnsi="宋体"/>
          <w:szCs w:val="24"/>
        </w:rPr>
        <w:t>。</w:t>
      </w:r>
    </w:p>
    <w:p>
      <w:pPr>
        <w:wordWrap w:val="0"/>
        <w:autoSpaceDE w:val="0"/>
        <w:autoSpaceDN w:val="0"/>
        <w:rPr>
          <w:rFonts w:ascii="宋体" w:hAnsi="宋体"/>
          <w:szCs w:val="24"/>
        </w:rPr>
      </w:pPr>
      <w:r>
        <w:rPr>
          <w:rFonts w:hint="eastAsia" w:ascii="宋体" w:hAnsi="宋体"/>
          <w:szCs w:val="24"/>
        </w:rPr>
        <w:t>供应商法定代表人（签字或盖章）：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u w:val="single"/>
        </w:rPr>
      </w:pPr>
      <w:r>
        <w:rPr>
          <w:rFonts w:hint="eastAsia" w:ascii="宋体" w:hAnsi="宋体"/>
          <w:szCs w:val="24"/>
        </w:rPr>
        <w:t>法定地址：</w:t>
      </w:r>
      <w:r>
        <w:rPr>
          <w:rFonts w:hint="eastAsia" w:ascii="宋体" w:hAnsi="宋体"/>
          <w:szCs w:val="24"/>
          <w:u w:val="single"/>
        </w:rPr>
        <w:t xml:space="preserve">                                                </w:t>
      </w:r>
    </w:p>
    <w:p>
      <w:pPr>
        <w:wordWrap w:val="0"/>
        <w:autoSpaceDE w:val="0"/>
        <w:autoSpaceDN w:val="0"/>
        <w:rPr>
          <w:rFonts w:ascii="宋体" w:hAnsi="宋体"/>
          <w:szCs w:val="24"/>
        </w:rPr>
      </w:pPr>
    </w:p>
    <w:p>
      <w:pPr>
        <w:wordWrap w:val="0"/>
        <w:autoSpaceDE w:val="0"/>
        <w:autoSpaceDN w:val="0"/>
        <w:rPr>
          <w:rFonts w:ascii="宋体" w:hAnsi="宋体"/>
          <w:szCs w:val="24"/>
        </w:rPr>
      </w:pPr>
      <w:r>
        <w:rPr>
          <w:rFonts w:hint="eastAsia" w:ascii="宋体" w:hAnsi="宋体"/>
          <w:szCs w:val="24"/>
        </w:rPr>
        <w:t>签发日期：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rPr>
          <w:rFonts w:ascii="宋体" w:hAnsi="宋体"/>
          <w:bCs/>
          <w:szCs w:val="24"/>
        </w:rPr>
      </w:pPr>
    </w:p>
    <w:p>
      <w:pPr>
        <w:rPr>
          <w:rFonts w:ascii="宋体" w:hAnsi="宋体"/>
          <w:bCs/>
          <w:szCs w:val="24"/>
        </w:rPr>
      </w:pPr>
      <w:r>
        <w:rPr>
          <w:rFonts w:hint="eastAsia" w:ascii="宋体" w:hAnsi="宋体"/>
          <w:bCs/>
          <w:szCs w:val="24"/>
        </w:rPr>
        <w:t>附：供应商法定代表人身份证件扫描件或复印件</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322" w:type="dxa"/>
            <w:vAlign w:val="center"/>
          </w:tcPr>
          <w:p>
            <w:pPr>
              <w:jc w:val="center"/>
              <w:rPr>
                <w:rFonts w:ascii="宋体" w:hAnsi="宋体"/>
                <w:bCs/>
                <w:szCs w:val="24"/>
              </w:rPr>
            </w:pPr>
            <w:r>
              <w:rPr>
                <w:rFonts w:hint="eastAsia" w:ascii="宋体" w:hAnsi="宋体"/>
                <w:bCs/>
                <w:szCs w:val="24"/>
              </w:rPr>
              <w:t>身份证件（正反面）扫描件或粘贴复印件</w:t>
            </w:r>
          </w:p>
        </w:tc>
      </w:tr>
    </w:tbl>
    <w:p>
      <w:pPr>
        <w:ind w:left="720" w:hanging="720" w:hangingChars="300"/>
        <w:rPr>
          <w:rFonts w:ascii="宋体" w:hAnsi="宋体"/>
          <w:b/>
          <w:bCs/>
          <w:szCs w:val="24"/>
        </w:rPr>
      </w:pPr>
      <w:r>
        <w:rPr>
          <w:rFonts w:hint="eastAsia" w:ascii="宋体" w:hAnsi="宋体"/>
          <w:b/>
          <w:bCs/>
          <w:szCs w:val="24"/>
        </w:rPr>
        <w:t>备注：</w:t>
      </w:r>
    </w:p>
    <w:p>
      <w:pPr>
        <w:ind w:firstLine="480" w:firstLineChars="200"/>
        <w:rPr>
          <w:rFonts w:ascii="宋体" w:hAnsi="宋体"/>
          <w:bCs/>
          <w:szCs w:val="24"/>
        </w:rPr>
      </w:pPr>
      <w:r>
        <w:rPr>
          <w:rFonts w:hint="eastAsia" w:ascii="宋体" w:hAnsi="宋体"/>
          <w:bCs/>
          <w:szCs w:val="24"/>
        </w:rPr>
        <w:t>1.供应商可使用上述格式，也可使用政府行政管理部门统一印制的法定代表人证明书格式；</w:t>
      </w:r>
    </w:p>
    <w:p>
      <w:pPr>
        <w:ind w:firstLine="480" w:firstLineChars="200"/>
        <w:rPr>
          <w:rFonts w:ascii="宋体" w:hAnsi="宋体"/>
          <w:bCs/>
          <w:szCs w:val="24"/>
        </w:rPr>
      </w:pPr>
      <w:r>
        <w:rPr>
          <w:rFonts w:hint="eastAsia" w:ascii="宋体" w:hAnsi="宋体"/>
          <w:bCs/>
          <w:szCs w:val="24"/>
        </w:rPr>
        <w:t>2.如供应商机构无法定代表人，可以该机构最高负责人替代。</w:t>
      </w:r>
    </w:p>
    <w:p>
      <w:pPr>
        <w:ind w:firstLine="480" w:firstLineChars="200"/>
        <w:rPr>
          <w:rFonts w:ascii="宋体" w:hAnsi="宋体"/>
          <w:bCs/>
          <w:szCs w:val="24"/>
        </w:rPr>
      </w:pPr>
      <w:r>
        <w:rPr>
          <w:rFonts w:hint="eastAsia" w:ascii="宋体" w:hAnsi="宋体"/>
          <w:bCs/>
          <w:szCs w:val="24"/>
        </w:rPr>
        <w:t>3.联合体报价的，《联合协议》可以作为联合体各成员的法定代表人证明书，不需再重复提供。</w:t>
      </w:r>
    </w:p>
    <w:p>
      <w:pPr>
        <w:ind w:left="720" w:leftChars="200" w:hanging="240" w:hangingChars="100"/>
        <w:rPr>
          <w:rFonts w:ascii="宋体" w:hAnsi="宋体"/>
          <w:bCs/>
          <w:szCs w:val="24"/>
        </w:rPr>
      </w:pPr>
      <w:r>
        <w:rPr>
          <w:rFonts w:hint="eastAsia" w:ascii="宋体" w:hAnsi="宋体"/>
          <w:bCs/>
          <w:szCs w:val="24"/>
        </w:rPr>
        <w:t>4.分支机构参加磋商的，以该机构最高负责人替代。</w:t>
      </w:r>
    </w:p>
    <w:p>
      <w:pPr>
        <w:ind w:firstLine="480" w:firstLineChars="200"/>
        <w:rPr>
          <w:rFonts w:ascii="宋体" w:hAnsi="宋体"/>
          <w:bCs/>
          <w:szCs w:val="24"/>
        </w:rPr>
      </w:pPr>
      <w:r>
        <w:rPr>
          <w:rFonts w:hint="eastAsia" w:ascii="宋体" w:hAnsi="宋体"/>
          <w:bCs/>
          <w:szCs w:val="24"/>
        </w:rPr>
        <w:t>5.</w:t>
      </w:r>
      <w:r>
        <w:rPr>
          <w:rFonts w:hint="eastAsia" w:ascii="宋体" w:hAnsi="宋体"/>
          <w:szCs w:val="24"/>
        </w:rPr>
        <w:t>以合同分包形式报价的，《分包意向协议》可以作为报价供应商的法定代表人证明书，不需再重复提供。</w:t>
      </w:r>
    </w:p>
    <w:p>
      <w:pPr>
        <w:ind w:left="720" w:leftChars="200" w:hanging="240" w:hangingChars="100"/>
        <w:rPr>
          <w:rFonts w:ascii="宋体" w:hAnsi="宋体"/>
          <w:bCs/>
          <w:szCs w:val="24"/>
        </w:rPr>
      </w:pPr>
    </w:p>
    <w:p>
      <w:pPr>
        <w:pStyle w:val="6"/>
        <w:numPr>
          <w:ilvl w:val="1"/>
          <w:numId w:val="69"/>
        </w:numPr>
        <w:tabs>
          <w:tab w:val="left" w:pos="945"/>
        </w:tabs>
        <w:ind w:left="0" w:firstLine="0"/>
        <w:rPr>
          <w:rFonts w:ascii="宋体" w:hAnsi="宋体"/>
          <w:szCs w:val="24"/>
        </w:rPr>
      </w:pPr>
      <w:bookmarkStart w:id="417" w:name="_Toc22806210"/>
      <w:r>
        <w:rPr>
          <w:rFonts w:hint="eastAsia" w:ascii="宋体" w:hAnsi="宋体"/>
          <w:szCs w:val="24"/>
        </w:rPr>
        <w:br w:type="page"/>
      </w:r>
      <w:r>
        <w:rPr>
          <w:rFonts w:hint="eastAsia" w:ascii="宋体" w:hAnsi="宋体"/>
          <w:szCs w:val="24"/>
        </w:rPr>
        <w:t>法定代表人授权委托书（如适用）</w:t>
      </w:r>
      <w:bookmarkEnd w:id="417"/>
    </w:p>
    <w:p>
      <w:pPr>
        <w:pStyle w:val="14"/>
        <w:jc w:val="center"/>
        <w:rPr>
          <w:rFonts w:hAnsi="宋体"/>
          <w:b/>
          <w:sz w:val="32"/>
          <w:szCs w:val="32"/>
        </w:rPr>
      </w:pPr>
      <w:r>
        <w:rPr>
          <w:rFonts w:hint="eastAsia" w:hAnsi="宋体"/>
          <w:b/>
          <w:sz w:val="32"/>
          <w:szCs w:val="32"/>
        </w:rPr>
        <w:t>法定代表人授权委托书</w:t>
      </w:r>
    </w:p>
    <w:p>
      <w:pPr>
        <w:pStyle w:val="14"/>
        <w:rPr>
          <w:rFonts w:hAnsi="宋体"/>
          <w:szCs w:val="24"/>
        </w:rPr>
      </w:pPr>
    </w:p>
    <w:p>
      <w:pPr>
        <w:pStyle w:val="14"/>
        <w:rPr>
          <w:rFonts w:hAnsi="宋体"/>
          <w:b/>
          <w:szCs w:val="24"/>
        </w:rPr>
      </w:pPr>
      <w:r>
        <w:rPr>
          <w:rFonts w:hint="eastAsia" w:hAnsi="宋体"/>
          <w:szCs w:val="24"/>
        </w:rPr>
        <w:t>致：</w:t>
      </w:r>
      <w:r>
        <w:rPr>
          <w:rFonts w:hint="eastAsia" w:hAnsi="宋体"/>
          <w:b/>
          <w:szCs w:val="24"/>
        </w:rPr>
        <w:t>广东华伦招标有限公司</w:t>
      </w:r>
    </w:p>
    <w:p>
      <w:pPr>
        <w:pStyle w:val="14"/>
        <w:ind w:firstLine="480" w:firstLineChars="200"/>
        <w:rPr>
          <w:rFonts w:hAnsi="宋体"/>
          <w:szCs w:val="24"/>
        </w:rPr>
      </w:pPr>
      <w:r>
        <w:rPr>
          <w:rFonts w:hint="eastAsia" w:hAnsi="宋体"/>
          <w:szCs w:val="24"/>
        </w:rPr>
        <w:t>本授权委托书声明：</w:t>
      </w:r>
      <w:r>
        <w:rPr>
          <w:rFonts w:hint="eastAsia" w:hAnsi="宋体"/>
          <w:i/>
          <w:szCs w:val="24"/>
          <w:u w:val="single"/>
        </w:rPr>
        <w:t>（法定代表人姓名）</w:t>
      </w:r>
      <w:r>
        <w:rPr>
          <w:rFonts w:hint="eastAsia" w:hAnsi="宋体"/>
          <w:szCs w:val="24"/>
        </w:rPr>
        <w:t>是注册于</w:t>
      </w:r>
      <w:r>
        <w:rPr>
          <w:rFonts w:hint="eastAsia" w:hAnsi="宋体"/>
          <w:i/>
          <w:szCs w:val="24"/>
          <w:u w:val="single"/>
        </w:rPr>
        <w:t>（国家或地区）</w:t>
      </w:r>
      <w:r>
        <w:rPr>
          <w:rFonts w:hint="eastAsia" w:hAnsi="宋体"/>
          <w:szCs w:val="24"/>
        </w:rPr>
        <w:t>的</w:t>
      </w:r>
      <w:r>
        <w:rPr>
          <w:rFonts w:hint="eastAsia" w:hAnsi="宋体"/>
          <w:i/>
          <w:szCs w:val="24"/>
          <w:u w:val="single"/>
        </w:rPr>
        <w:t>（供应商名称）</w:t>
      </w:r>
      <w:r>
        <w:rPr>
          <w:rFonts w:hint="eastAsia" w:hAnsi="宋体"/>
          <w:szCs w:val="24"/>
        </w:rPr>
        <w:t>的法定代表人，现授权</w:t>
      </w:r>
      <w:r>
        <w:rPr>
          <w:rFonts w:hint="eastAsia" w:hAnsi="宋体"/>
          <w:i/>
          <w:szCs w:val="24"/>
          <w:u w:val="single"/>
        </w:rPr>
        <w:t>（授权代表姓名，职务）</w:t>
      </w:r>
      <w:r>
        <w:rPr>
          <w:rFonts w:hint="eastAsia" w:hAnsi="宋体"/>
          <w:szCs w:val="24"/>
        </w:rPr>
        <w:t>作为我公司的全权代理人，就</w:t>
      </w:r>
      <w:r>
        <w:rPr>
          <w:rFonts w:hint="eastAsia" w:hAnsi="宋体"/>
          <w:szCs w:val="24"/>
          <w:u w:val="single"/>
        </w:rPr>
        <w:t>2026-2027年广州白云机场海关南1、2号楼物业管理服务</w:t>
      </w:r>
      <w:r>
        <w:rPr>
          <w:rFonts w:hint="eastAsia" w:hAnsi="宋体"/>
          <w:szCs w:val="24"/>
        </w:rPr>
        <w:t>采购[采购文件编号为</w:t>
      </w:r>
      <w:r>
        <w:rPr>
          <w:rFonts w:hint="eastAsia" w:hAnsi="宋体"/>
          <w:szCs w:val="24"/>
          <w:u w:val="single"/>
        </w:rPr>
        <w:t>0809-25401GJC302013801</w:t>
      </w:r>
      <w:r>
        <w:rPr>
          <w:rFonts w:hint="eastAsia" w:hAnsi="宋体"/>
          <w:szCs w:val="24"/>
        </w:rPr>
        <w:t>]的报价、合同签署和执行，以我方的名义处理与之相关的一切事宜。</w:t>
      </w:r>
    </w:p>
    <w:p>
      <w:pPr>
        <w:ind w:firstLine="480" w:firstLineChars="200"/>
        <w:rPr>
          <w:rFonts w:ascii="宋体" w:hAnsi="宋体"/>
          <w:szCs w:val="24"/>
        </w:rPr>
      </w:pPr>
      <w:r>
        <w:rPr>
          <w:rFonts w:hint="eastAsia" w:ascii="宋体"/>
        </w:rPr>
        <w:t>本授权书自法定代表人签字（盖个人名章）之日起生效，</w:t>
      </w:r>
      <w:r>
        <w:rPr>
          <w:rFonts w:hint="eastAsia" w:ascii="宋体" w:hAnsi="宋体"/>
          <w:szCs w:val="24"/>
        </w:rPr>
        <w:t>本授权书有效期与我方响应文件中标注的磋商有效期相同。</w:t>
      </w:r>
    </w:p>
    <w:p>
      <w:pPr>
        <w:ind w:firstLine="480" w:firstLineChars="200"/>
        <w:rPr>
          <w:rFonts w:ascii="宋体" w:hAnsi="宋体"/>
          <w:szCs w:val="24"/>
        </w:rPr>
      </w:pPr>
      <w:r>
        <w:rPr>
          <w:rFonts w:hint="eastAsia" w:ascii="宋体" w:hAnsi="宋体"/>
          <w:szCs w:val="24"/>
        </w:rPr>
        <w:t>特此声明。</w:t>
      </w:r>
    </w:p>
    <w:p>
      <w:pPr>
        <w:rPr>
          <w:rFonts w:ascii="宋体" w:hAnsi="宋体"/>
          <w:szCs w:val="24"/>
        </w:rPr>
      </w:pPr>
    </w:p>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法定地址：</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rPr>
          <w:rFonts w:ascii="宋体" w:hAnsi="宋体"/>
          <w:bCs/>
          <w:szCs w:val="24"/>
        </w:rPr>
      </w:pPr>
      <w:r>
        <w:rPr>
          <w:rFonts w:hint="eastAsia" w:ascii="宋体" w:hAnsi="宋体"/>
          <w:bCs/>
          <w:szCs w:val="24"/>
        </w:rPr>
        <w:t>附：供应商授权代表身份证件扫描件或复印件</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jc w:val="center"/>
        </w:trPr>
        <w:tc>
          <w:tcPr>
            <w:tcW w:w="9322" w:type="dxa"/>
            <w:vAlign w:val="center"/>
          </w:tcPr>
          <w:p>
            <w:pPr>
              <w:jc w:val="center"/>
              <w:rPr>
                <w:rFonts w:ascii="宋体" w:hAnsi="宋体"/>
                <w:bCs/>
                <w:szCs w:val="24"/>
              </w:rPr>
            </w:pPr>
            <w:r>
              <w:rPr>
                <w:rFonts w:hint="eastAsia" w:ascii="宋体" w:hAnsi="宋体"/>
                <w:bCs/>
                <w:szCs w:val="24"/>
              </w:rPr>
              <w:t>身份证件（正反面）扫描件或粘贴复印件</w:t>
            </w:r>
          </w:p>
        </w:tc>
      </w:tr>
    </w:tbl>
    <w:p>
      <w:pPr>
        <w:ind w:left="480" w:hanging="480" w:hangingChars="200"/>
        <w:rPr>
          <w:rFonts w:ascii="宋体" w:hAnsi="宋体"/>
          <w:bCs/>
          <w:szCs w:val="24"/>
        </w:rPr>
      </w:pPr>
    </w:p>
    <w:p>
      <w:pPr>
        <w:ind w:left="480" w:hanging="480" w:hangingChars="200"/>
        <w:rPr>
          <w:rFonts w:ascii="宋体" w:hAnsi="宋体"/>
          <w:b/>
          <w:bCs/>
          <w:szCs w:val="24"/>
        </w:rPr>
      </w:pPr>
      <w:r>
        <w:rPr>
          <w:rFonts w:hint="eastAsia" w:ascii="宋体" w:hAnsi="宋体"/>
          <w:b/>
          <w:bCs/>
          <w:szCs w:val="24"/>
        </w:rPr>
        <w:t>备注：</w:t>
      </w:r>
    </w:p>
    <w:p>
      <w:pPr>
        <w:ind w:firstLine="480" w:firstLineChars="200"/>
        <w:rPr>
          <w:rFonts w:ascii="宋体" w:hAnsi="宋体"/>
          <w:bCs/>
          <w:szCs w:val="24"/>
        </w:rPr>
      </w:pPr>
      <w:r>
        <w:rPr>
          <w:rFonts w:hint="eastAsia" w:ascii="宋体" w:hAnsi="宋体"/>
          <w:bCs/>
          <w:szCs w:val="24"/>
        </w:rPr>
        <w:t>1.供应商可使用上述格式，也可使用政府行政管理部门统一印制的法定代表人授权委托书格式。</w:t>
      </w:r>
    </w:p>
    <w:p>
      <w:pPr>
        <w:ind w:firstLine="480" w:firstLineChars="200"/>
        <w:rPr>
          <w:rFonts w:ascii="宋体" w:hAnsi="宋体"/>
          <w:bCs/>
          <w:szCs w:val="24"/>
        </w:rPr>
      </w:pPr>
      <w:r>
        <w:rPr>
          <w:rFonts w:hint="eastAsia" w:ascii="宋体" w:hAnsi="宋体"/>
          <w:bCs/>
          <w:szCs w:val="24"/>
        </w:rPr>
        <w:t>2.联合体报价的，《联合协议》可以作为联合体全部成员的法定代表人授权委托书，不需再重复提供。</w:t>
      </w:r>
    </w:p>
    <w:p>
      <w:pPr>
        <w:ind w:firstLine="480" w:firstLineChars="200"/>
        <w:rPr>
          <w:rFonts w:ascii="宋体" w:hAnsi="宋体"/>
          <w:bCs/>
          <w:szCs w:val="24"/>
        </w:rPr>
      </w:pPr>
      <w:r>
        <w:rPr>
          <w:rFonts w:hint="eastAsia" w:ascii="宋体" w:hAnsi="宋体"/>
          <w:bCs/>
          <w:szCs w:val="24"/>
        </w:rPr>
        <w:t>3.</w:t>
      </w:r>
      <w:r>
        <w:rPr>
          <w:rFonts w:hint="eastAsia" w:ascii="宋体" w:hAnsi="宋体"/>
          <w:szCs w:val="24"/>
        </w:rPr>
        <w:t>以合同分包形式报价的，《分包意向协议》可以作为报价供应商的法定代表人授权委托书，不需再重复提供。</w:t>
      </w:r>
    </w:p>
    <w:p>
      <w:pPr>
        <w:pStyle w:val="5"/>
        <w:numPr>
          <w:ilvl w:val="0"/>
          <w:numId w:val="69"/>
        </w:numPr>
        <w:tabs>
          <w:tab w:val="left" w:pos="945"/>
        </w:tabs>
        <w:spacing w:before="0" w:after="0" w:line="360" w:lineRule="auto"/>
        <w:ind w:left="0" w:firstLine="0"/>
        <w:rPr>
          <w:sz w:val="28"/>
          <w:szCs w:val="28"/>
        </w:rPr>
      </w:pPr>
      <w:r>
        <w:rPr>
          <w:rFonts w:hint="eastAsia"/>
          <w:sz w:val="28"/>
          <w:szCs w:val="28"/>
        </w:rPr>
        <w:tab/>
      </w:r>
      <w:bookmarkStart w:id="418" w:name="_Toc55398762"/>
      <w:bookmarkStart w:id="419" w:name="_Toc56180357"/>
      <w:bookmarkStart w:id="420" w:name="_Toc50460250"/>
      <w:r>
        <w:rPr>
          <w:rFonts w:hint="eastAsia"/>
          <w:sz w:val="28"/>
          <w:szCs w:val="28"/>
        </w:rPr>
        <w:t>供应商综合概况</w:t>
      </w:r>
      <w:bookmarkEnd w:id="418"/>
      <w:bookmarkEnd w:id="419"/>
      <w:bookmarkEnd w:id="420"/>
    </w:p>
    <w:p>
      <w:pPr>
        <w:wordWrap w:val="0"/>
        <w:autoSpaceDE w:val="0"/>
        <w:autoSpaceDN w:val="0"/>
        <w:ind w:left="1930"/>
        <w:jc w:val="center"/>
        <w:rPr>
          <w:rFonts w:ascii="宋体" w:hAnsi="宋体"/>
          <w:b/>
          <w:sz w:val="32"/>
          <w:szCs w:val="32"/>
        </w:rPr>
      </w:pPr>
      <w:r>
        <w:rPr>
          <w:rFonts w:hint="eastAsia" w:ascii="宋体" w:hAnsi="宋体"/>
          <w:b/>
          <w:sz w:val="32"/>
          <w:szCs w:val="32"/>
        </w:rPr>
        <w:t>供应商基本情况表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1418"/>
        <w:gridCol w:w="1066"/>
        <w:gridCol w:w="635"/>
        <w:gridCol w:w="985"/>
        <w:gridCol w:w="716"/>
        <w:gridCol w:w="976"/>
        <w:gridCol w:w="356"/>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单位名称</w:t>
            </w:r>
          </w:p>
        </w:tc>
        <w:tc>
          <w:tcPr>
            <w:tcW w:w="7801" w:type="dxa"/>
            <w:gridSpan w:val="8"/>
            <w:vAlign w:val="center"/>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注册地址</w:t>
            </w:r>
          </w:p>
        </w:tc>
        <w:tc>
          <w:tcPr>
            <w:tcW w:w="7801" w:type="dxa"/>
            <w:gridSpan w:val="8"/>
            <w:vAlign w:val="center"/>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办公地址</w:t>
            </w:r>
          </w:p>
        </w:tc>
        <w:tc>
          <w:tcPr>
            <w:tcW w:w="7801" w:type="dxa"/>
            <w:gridSpan w:val="8"/>
            <w:vAlign w:val="center"/>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04" w:type="dxa"/>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统一信用代码</w:t>
            </w:r>
          </w:p>
        </w:tc>
        <w:tc>
          <w:tcPr>
            <w:tcW w:w="7801" w:type="dxa"/>
            <w:gridSpan w:val="8"/>
            <w:vAlign w:val="center"/>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法人（负责人）</w:t>
            </w:r>
          </w:p>
        </w:tc>
        <w:tc>
          <w:tcPr>
            <w:tcW w:w="1418" w:type="dxa"/>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p>
        </w:tc>
        <w:tc>
          <w:tcPr>
            <w:tcW w:w="1701" w:type="dxa"/>
            <w:gridSpan w:val="2"/>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职务</w:t>
            </w:r>
          </w:p>
        </w:tc>
        <w:tc>
          <w:tcPr>
            <w:tcW w:w="1701" w:type="dxa"/>
            <w:gridSpan w:val="2"/>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p>
        </w:tc>
        <w:tc>
          <w:tcPr>
            <w:tcW w:w="1332" w:type="dxa"/>
            <w:gridSpan w:val="2"/>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电话</w:t>
            </w:r>
          </w:p>
        </w:tc>
        <w:tc>
          <w:tcPr>
            <w:tcW w:w="1649" w:type="dxa"/>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联系人</w:t>
            </w:r>
          </w:p>
        </w:tc>
        <w:tc>
          <w:tcPr>
            <w:tcW w:w="1418" w:type="dxa"/>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p>
        </w:tc>
        <w:tc>
          <w:tcPr>
            <w:tcW w:w="1701" w:type="dxa"/>
            <w:gridSpan w:val="2"/>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职务</w:t>
            </w:r>
          </w:p>
        </w:tc>
        <w:tc>
          <w:tcPr>
            <w:tcW w:w="1701" w:type="dxa"/>
            <w:gridSpan w:val="2"/>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p>
        </w:tc>
        <w:tc>
          <w:tcPr>
            <w:tcW w:w="1332" w:type="dxa"/>
            <w:gridSpan w:val="2"/>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电话</w:t>
            </w:r>
          </w:p>
        </w:tc>
        <w:tc>
          <w:tcPr>
            <w:tcW w:w="1649" w:type="dxa"/>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邮编</w:t>
            </w:r>
          </w:p>
        </w:tc>
        <w:tc>
          <w:tcPr>
            <w:tcW w:w="1418" w:type="dxa"/>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p>
        </w:tc>
        <w:tc>
          <w:tcPr>
            <w:tcW w:w="1701" w:type="dxa"/>
            <w:gridSpan w:val="2"/>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电话</w:t>
            </w:r>
          </w:p>
        </w:tc>
        <w:tc>
          <w:tcPr>
            <w:tcW w:w="1701" w:type="dxa"/>
            <w:gridSpan w:val="2"/>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p>
        </w:tc>
        <w:tc>
          <w:tcPr>
            <w:tcW w:w="1332" w:type="dxa"/>
            <w:gridSpan w:val="2"/>
            <w:tcBorders>
              <w:top w:val="single" w:color="auto" w:sz="4" w:space="0"/>
              <w:left w:val="single" w:color="auto" w:sz="4" w:space="0"/>
              <w:right w:val="single" w:color="auto" w:sz="4" w:space="0"/>
            </w:tcBorders>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传真</w:t>
            </w:r>
          </w:p>
        </w:tc>
        <w:tc>
          <w:tcPr>
            <w:tcW w:w="1649" w:type="dxa"/>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04" w:type="dxa"/>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单位简介及机构设置</w:t>
            </w:r>
          </w:p>
        </w:tc>
        <w:tc>
          <w:tcPr>
            <w:tcW w:w="7801" w:type="dxa"/>
            <w:gridSpan w:val="8"/>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Align w:val="center"/>
          </w:tcPr>
          <w:p>
            <w:pPr>
              <w:tabs>
                <w:tab w:val="left" w:pos="540"/>
              </w:tabs>
              <w:ind w:left="-153" w:leftChars="-64" w:right="-120" w:rightChars="-50"/>
              <w:jc w:val="center"/>
              <w:rPr>
                <w:rFonts w:ascii="宋体" w:hAnsi="宋体"/>
                <w:szCs w:val="24"/>
              </w:rPr>
            </w:pPr>
            <w:r>
              <w:rPr>
                <w:rFonts w:hint="eastAsia" w:ascii="宋体" w:hAnsi="宋体"/>
                <w:szCs w:val="24"/>
              </w:rPr>
              <w:t>供应商关联企业情况</w:t>
            </w:r>
          </w:p>
          <w:p>
            <w:pPr>
              <w:tabs>
                <w:tab w:val="left" w:pos="540"/>
              </w:tabs>
              <w:ind w:left="-151" w:leftChars="-64" w:right="-120" w:rightChars="-50" w:hanging="2"/>
              <w:jc w:val="center"/>
              <w:rPr>
                <w:rFonts w:ascii="宋体" w:hAnsi="宋体"/>
                <w:szCs w:val="24"/>
              </w:rPr>
            </w:pPr>
            <w:r>
              <w:rPr>
                <w:rFonts w:hint="eastAsia" w:ascii="宋体" w:hAnsi="宋体"/>
                <w:szCs w:val="24"/>
              </w:rPr>
              <w:t>（包括但不限于与供应商法定代表人（单位负责人）为同一人或者存在直接控股、管理关系的不同单位）</w:t>
            </w:r>
          </w:p>
        </w:tc>
        <w:tc>
          <w:tcPr>
            <w:tcW w:w="7801" w:type="dxa"/>
            <w:gridSpan w:val="8"/>
          </w:tcPr>
          <w:p>
            <w:pPr>
              <w:tabs>
                <w:tab w:val="left" w:pos="540"/>
              </w:tabs>
              <w:ind w:left="-151" w:leftChars="-64" w:right="-120" w:rightChars="-50" w:hanging="2"/>
              <w:jc w:val="center"/>
              <w:rPr>
                <w:rFonts w:ascii="宋体" w:hAnsi="宋体"/>
                <w:szCs w:val="24"/>
              </w:rPr>
            </w:pPr>
          </w:p>
          <w:p>
            <w:pPr>
              <w:tabs>
                <w:tab w:val="left" w:pos="540"/>
              </w:tabs>
              <w:ind w:left="-151" w:leftChars="-64" w:right="-120" w:rightChars="-50" w:hanging="2"/>
              <w:jc w:val="center"/>
              <w:rPr>
                <w:rFonts w:ascii="宋体" w:hAnsi="宋体"/>
                <w:szCs w:val="24"/>
              </w:rPr>
            </w:pPr>
          </w:p>
          <w:p>
            <w:pPr>
              <w:tabs>
                <w:tab w:val="left" w:pos="540"/>
              </w:tabs>
              <w:ind w:left="-151" w:leftChars="-64" w:right="-120" w:rightChars="-50" w:hanging="2"/>
              <w:jc w:val="center"/>
              <w:rPr>
                <w:rFonts w:ascii="宋体" w:hAnsi="宋体"/>
                <w:szCs w:val="24"/>
              </w:rPr>
            </w:pPr>
            <w:r>
              <w:rPr>
                <w:rFonts w:hint="eastAsia" w:ascii="宋体" w:hAnsi="宋体"/>
                <w:szCs w:val="24"/>
              </w:rPr>
              <w:t>（如有）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Merge w:val="restart"/>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单位概况</w:t>
            </w:r>
          </w:p>
        </w:tc>
        <w:tc>
          <w:tcPr>
            <w:tcW w:w="1418"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注册资本</w:t>
            </w:r>
          </w:p>
        </w:tc>
        <w:tc>
          <w:tcPr>
            <w:tcW w:w="1066" w:type="dxa"/>
            <w:tcBorders>
              <w:top w:val="single" w:color="auto" w:sz="4" w:space="0"/>
              <w:left w:val="single" w:color="auto" w:sz="4" w:space="0"/>
              <w:right w:val="single" w:color="auto" w:sz="4" w:space="0"/>
            </w:tcBorders>
          </w:tcPr>
          <w:p>
            <w:pPr>
              <w:tabs>
                <w:tab w:val="left" w:pos="540"/>
              </w:tabs>
              <w:ind w:left="-151" w:leftChars="-64" w:right="-120" w:rightChars="-50" w:hanging="2"/>
              <w:jc w:val="right"/>
              <w:rPr>
                <w:rFonts w:ascii="宋体" w:hAnsi="宋体"/>
                <w:szCs w:val="24"/>
              </w:rPr>
            </w:pPr>
            <w:r>
              <w:rPr>
                <w:rFonts w:hint="eastAsia" w:ascii="宋体" w:hAnsi="宋体"/>
                <w:szCs w:val="24"/>
              </w:rPr>
              <w:t>万元</w:t>
            </w:r>
          </w:p>
        </w:tc>
        <w:tc>
          <w:tcPr>
            <w:tcW w:w="1620" w:type="dxa"/>
            <w:gridSpan w:val="2"/>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办公场所面积</w:t>
            </w:r>
          </w:p>
        </w:tc>
        <w:tc>
          <w:tcPr>
            <w:tcW w:w="3697" w:type="dxa"/>
            <w:gridSpan w:val="4"/>
          </w:tcPr>
          <w:p>
            <w:pPr>
              <w:tabs>
                <w:tab w:val="left" w:pos="540"/>
              </w:tabs>
              <w:ind w:left="-153" w:leftChars="-64" w:right="-120" w:rightChars="-50" w:firstLine="3480" w:firstLineChars="1450"/>
              <w:jc w:val="center"/>
              <w:rPr>
                <w:rFonts w:ascii="宋体" w:hAnsi="宋体"/>
                <w:szCs w:val="24"/>
              </w:rPr>
            </w:pPr>
            <w:r>
              <w:rPr>
                <w:rFonts w:hint="eastAsia" w:ascii="宋体" w:hAnsi="宋体"/>
                <w:szCs w:val="24"/>
              </w:rPr>
              <w:t>M</w:t>
            </w:r>
            <w:r>
              <w:rPr>
                <w:rFonts w:hint="eastAsia" w:ascii="宋体" w:hAnsi="宋体"/>
                <w:szCs w:val="24"/>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Merge w:val="continue"/>
            <w:vAlign w:val="center"/>
          </w:tcPr>
          <w:p/>
        </w:tc>
        <w:tc>
          <w:tcPr>
            <w:tcW w:w="1418"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职工总数</w:t>
            </w:r>
          </w:p>
        </w:tc>
        <w:tc>
          <w:tcPr>
            <w:tcW w:w="6383" w:type="dxa"/>
            <w:gridSpan w:val="7"/>
          </w:tcPr>
          <w:p>
            <w:pPr>
              <w:tabs>
                <w:tab w:val="left" w:pos="540"/>
              </w:tabs>
              <w:ind w:left="-153" w:leftChars="-64" w:right="-120" w:rightChars="-50"/>
              <w:jc w:val="center"/>
              <w:rPr>
                <w:rFonts w:ascii="宋体" w:hAnsi="宋体"/>
                <w:szCs w:val="24"/>
              </w:rPr>
            </w:pPr>
            <w:r>
              <w:rPr>
                <w:rFonts w:hint="eastAsia" w:ascii="宋体" w:hAnsi="宋体"/>
                <w:szCs w:val="24"/>
              </w:rPr>
              <w:t>共</w:t>
            </w:r>
            <w:r>
              <w:rPr>
                <w:rFonts w:hint="eastAsia" w:ascii="宋体" w:hAnsi="宋体"/>
                <w:szCs w:val="24"/>
                <w:u w:val="single"/>
              </w:rPr>
              <w:t xml:space="preserve">  </w:t>
            </w:r>
            <w:r>
              <w:rPr>
                <w:rFonts w:hint="eastAsia" w:ascii="宋体" w:hAnsi="宋体"/>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04" w:type="dxa"/>
            <w:vMerge w:val="restart"/>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分支机构情况</w:t>
            </w:r>
          </w:p>
          <w:p>
            <w:pPr>
              <w:tabs>
                <w:tab w:val="left" w:pos="540"/>
              </w:tabs>
              <w:ind w:left="-151" w:leftChars="-64" w:right="-120" w:rightChars="-50" w:hanging="2"/>
              <w:jc w:val="center"/>
              <w:rPr>
                <w:rFonts w:ascii="宋体" w:hAnsi="宋体"/>
                <w:szCs w:val="24"/>
              </w:rPr>
            </w:pPr>
            <w:r>
              <w:rPr>
                <w:rFonts w:hint="eastAsia" w:ascii="宋体" w:hAnsi="宋体"/>
                <w:szCs w:val="24"/>
              </w:rPr>
              <w:t>（如有）</w:t>
            </w:r>
          </w:p>
        </w:tc>
        <w:tc>
          <w:tcPr>
            <w:tcW w:w="1418"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机构名称</w:t>
            </w:r>
          </w:p>
        </w:tc>
        <w:tc>
          <w:tcPr>
            <w:tcW w:w="3402" w:type="dxa"/>
            <w:gridSpan w:val="4"/>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p>
        </w:tc>
        <w:tc>
          <w:tcPr>
            <w:tcW w:w="976"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地址</w:t>
            </w:r>
          </w:p>
        </w:tc>
        <w:tc>
          <w:tcPr>
            <w:tcW w:w="2005" w:type="dxa"/>
            <w:gridSpan w:val="2"/>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Merge w:val="continue"/>
            <w:vAlign w:val="center"/>
          </w:tcPr>
          <w:p/>
        </w:tc>
        <w:tc>
          <w:tcPr>
            <w:tcW w:w="1418"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负责人</w:t>
            </w:r>
          </w:p>
        </w:tc>
        <w:tc>
          <w:tcPr>
            <w:tcW w:w="3402" w:type="dxa"/>
            <w:gridSpan w:val="4"/>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p>
        </w:tc>
        <w:tc>
          <w:tcPr>
            <w:tcW w:w="976"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电话</w:t>
            </w:r>
          </w:p>
        </w:tc>
        <w:tc>
          <w:tcPr>
            <w:tcW w:w="2005" w:type="dxa"/>
            <w:gridSpan w:val="2"/>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Merge w:val="restart"/>
            <w:vAlign w:val="center"/>
          </w:tcPr>
          <w:p>
            <w:pPr>
              <w:tabs>
                <w:tab w:val="left" w:pos="540"/>
              </w:tabs>
              <w:ind w:left="-151" w:leftChars="-64" w:right="-120" w:rightChars="-50" w:hanging="2"/>
              <w:jc w:val="center"/>
              <w:rPr>
                <w:rFonts w:ascii="宋体" w:hAnsi="宋体"/>
                <w:szCs w:val="24"/>
              </w:rPr>
            </w:pPr>
            <w:r>
              <w:rPr>
                <w:rFonts w:hint="eastAsia" w:ascii="宋体" w:hAnsi="宋体"/>
                <w:szCs w:val="24"/>
              </w:rPr>
              <w:t>售后服务机构</w:t>
            </w:r>
          </w:p>
          <w:p>
            <w:pPr>
              <w:tabs>
                <w:tab w:val="left" w:pos="540"/>
              </w:tabs>
              <w:ind w:left="-151" w:leftChars="-64" w:right="-120" w:rightChars="-50" w:hanging="2"/>
              <w:jc w:val="center"/>
              <w:rPr>
                <w:rFonts w:ascii="宋体" w:hAnsi="宋体"/>
                <w:szCs w:val="24"/>
              </w:rPr>
            </w:pPr>
            <w:r>
              <w:rPr>
                <w:rFonts w:hint="eastAsia" w:ascii="宋体" w:hAnsi="宋体"/>
                <w:szCs w:val="24"/>
              </w:rPr>
              <w:t>（如有）</w:t>
            </w:r>
          </w:p>
        </w:tc>
        <w:tc>
          <w:tcPr>
            <w:tcW w:w="1418"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机构名称</w:t>
            </w:r>
          </w:p>
        </w:tc>
        <w:tc>
          <w:tcPr>
            <w:tcW w:w="3402" w:type="dxa"/>
            <w:gridSpan w:val="4"/>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p>
        </w:tc>
        <w:tc>
          <w:tcPr>
            <w:tcW w:w="976"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地址</w:t>
            </w:r>
          </w:p>
        </w:tc>
        <w:tc>
          <w:tcPr>
            <w:tcW w:w="2005" w:type="dxa"/>
            <w:gridSpan w:val="2"/>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vMerge w:val="continue"/>
          </w:tcPr>
          <w:p/>
        </w:tc>
        <w:tc>
          <w:tcPr>
            <w:tcW w:w="1418"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负责人</w:t>
            </w:r>
          </w:p>
        </w:tc>
        <w:tc>
          <w:tcPr>
            <w:tcW w:w="3402" w:type="dxa"/>
            <w:gridSpan w:val="4"/>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p>
        </w:tc>
        <w:tc>
          <w:tcPr>
            <w:tcW w:w="976"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电话</w:t>
            </w:r>
          </w:p>
        </w:tc>
        <w:tc>
          <w:tcPr>
            <w:tcW w:w="2005" w:type="dxa"/>
            <w:gridSpan w:val="2"/>
          </w:tcPr>
          <w:p>
            <w:pPr>
              <w:tabs>
                <w:tab w:val="left" w:pos="540"/>
              </w:tabs>
              <w:ind w:left="-151" w:leftChars="-64" w:right="-120" w:rightChars="-50" w:hanging="2"/>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04" w:type="dxa"/>
            <w:vMerge w:val="continue"/>
          </w:tcPr>
          <w:p/>
        </w:tc>
        <w:tc>
          <w:tcPr>
            <w:tcW w:w="1418"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服务机构性质</w:t>
            </w:r>
          </w:p>
        </w:tc>
        <w:tc>
          <w:tcPr>
            <w:tcW w:w="3402" w:type="dxa"/>
            <w:gridSpan w:val="4"/>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r>
              <w:rPr>
                <w:rFonts w:hint="eastAsia" w:ascii="宋体" w:hAnsi="宋体"/>
                <w:szCs w:val="24"/>
              </w:rPr>
              <w:t>供应商自有/委托/合作</w:t>
            </w:r>
          </w:p>
        </w:tc>
        <w:tc>
          <w:tcPr>
            <w:tcW w:w="976" w:type="dxa"/>
            <w:tcBorders>
              <w:top w:val="single" w:color="auto" w:sz="4" w:space="0"/>
              <w:left w:val="single" w:color="auto" w:sz="4" w:space="0"/>
              <w:right w:val="single" w:color="auto" w:sz="4" w:space="0"/>
            </w:tcBorders>
          </w:tcPr>
          <w:p>
            <w:pPr>
              <w:tabs>
                <w:tab w:val="left" w:pos="540"/>
              </w:tabs>
              <w:ind w:left="-151" w:leftChars="-64" w:right="-120" w:rightChars="-50" w:hanging="2"/>
              <w:jc w:val="center"/>
              <w:rPr>
                <w:rFonts w:ascii="宋体" w:hAnsi="宋体"/>
                <w:szCs w:val="24"/>
              </w:rPr>
            </w:pPr>
          </w:p>
        </w:tc>
        <w:tc>
          <w:tcPr>
            <w:tcW w:w="2005" w:type="dxa"/>
            <w:gridSpan w:val="2"/>
          </w:tcPr>
          <w:p>
            <w:pPr>
              <w:tabs>
                <w:tab w:val="left" w:pos="540"/>
              </w:tabs>
              <w:ind w:left="-151" w:leftChars="-64" w:right="-120" w:rightChars="-50" w:hanging="2"/>
              <w:jc w:val="center"/>
              <w:rPr>
                <w:rFonts w:ascii="宋体" w:hAnsi="宋体"/>
                <w:szCs w:val="24"/>
              </w:rPr>
            </w:pPr>
          </w:p>
        </w:tc>
      </w:tr>
    </w:tbl>
    <w:p>
      <w:pPr>
        <w:wordWrap w:val="0"/>
        <w:autoSpaceDE w:val="0"/>
        <w:autoSpaceDN w:val="0"/>
        <w:jc w:val="left"/>
        <w:rPr>
          <w:rFonts w:ascii="宋体" w:hAnsi="宋体"/>
          <w:b/>
          <w:sz w:val="32"/>
          <w:szCs w:val="32"/>
        </w:rPr>
      </w:pPr>
    </w:p>
    <w:p>
      <w:pPr>
        <w:jc w:val="center"/>
        <w:rPr>
          <w:rFonts w:ascii="宋体" w:hAnsi="宋体"/>
          <w:szCs w:val="21"/>
        </w:rPr>
      </w:pPr>
      <w:r>
        <w:rPr>
          <w:rFonts w:hint="eastAsia" w:ascii="宋体" w:hAnsi="宋体"/>
          <w:b/>
          <w:sz w:val="32"/>
          <w:szCs w:val="32"/>
        </w:rPr>
        <w:br w:type="page"/>
      </w:r>
      <w:r>
        <w:rPr>
          <w:rFonts w:hint="eastAsia" w:ascii="宋体" w:hAnsi="宋体"/>
          <w:b/>
          <w:sz w:val="32"/>
          <w:szCs w:val="32"/>
        </w:rPr>
        <w:t>与响应供应商存在关联关系的单位名称说明</w:t>
      </w:r>
    </w:p>
    <w:p>
      <w:pPr>
        <w:rPr>
          <w:u w:val="single"/>
        </w:rPr>
      </w:pPr>
      <w:r>
        <w:rPr>
          <w:rFonts w:hint="eastAsia"/>
        </w:rPr>
        <w:t>我方名称：</w:t>
      </w:r>
      <w:r>
        <w:rPr>
          <w:rFonts w:hint="eastAsia"/>
          <w:u w:val="single"/>
        </w:rPr>
        <w:t xml:space="preserve">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4646"/>
        <w:gridCol w:w="3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tcPr>
          <w:p>
            <w:pPr>
              <w:jc w:val="center"/>
              <w:rPr>
                <w:rFonts w:ascii="宋体" w:hAnsi="宋体" w:cs="Courier New"/>
                <w:b/>
                <w:bCs/>
                <w:szCs w:val="21"/>
              </w:rPr>
            </w:pPr>
            <w:r>
              <w:rPr>
                <w:rFonts w:hint="eastAsia" w:ascii="宋体" w:hAnsi="宋体" w:cs="Courier New"/>
                <w:b/>
                <w:bCs/>
                <w:szCs w:val="21"/>
              </w:rPr>
              <w:t>序号</w:t>
            </w:r>
          </w:p>
        </w:tc>
        <w:tc>
          <w:tcPr>
            <w:tcW w:w="4646" w:type="dxa"/>
          </w:tcPr>
          <w:p>
            <w:pPr>
              <w:jc w:val="center"/>
              <w:rPr>
                <w:rFonts w:ascii="宋体" w:hAnsi="宋体" w:cs="Courier New"/>
                <w:b/>
                <w:bCs/>
                <w:szCs w:val="21"/>
              </w:rPr>
            </w:pPr>
            <w:r>
              <w:rPr>
                <w:rFonts w:hint="eastAsia" w:ascii="宋体" w:hAnsi="宋体" w:cs="Courier New"/>
                <w:b/>
                <w:bCs/>
                <w:szCs w:val="21"/>
              </w:rPr>
              <w:t>关联关系</w:t>
            </w:r>
          </w:p>
        </w:tc>
        <w:tc>
          <w:tcPr>
            <w:tcW w:w="3907" w:type="dxa"/>
          </w:tcPr>
          <w:p>
            <w:pPr>
              <w:jc w:val="center"/>
              <w:rPr>
                <w:rFonts w:ascii="宋体" w:hAnsi="宋体" w:cs="Courier New"/>
                <w:b/>
                <w:bCs/>
                <w:szCs w:val="21"/>
              </w:rPr>
            </w:pPr>
            <w:r>
              <w:rPr>
                <w:rFonts w:hint="eastAsia" w:ascii="宋体" w:hAnsi="宋体" w:cs="Courier New"/>
                <w:b/>
                <w:bCs/>
                <w:szCs w:val="21"/>
              </w:rPr>
              <w:t>与我方存在关联关系的单位名称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vAlign w:val="center"/>
          </w:tcPr>
          <w:p>
            <w:pPr>
              <w:jc w:val="center"/>
              <w:rPr>
                <w:rFonts w:ascii="宋体" w:hAnsi="宋体" w:cs="Courier New"/>
                <w:szCs w:val="21"/>
              </w:rPr>
            </w:pPr>
            <w:r>
              <w:rPr>
                <w:rFonts w:hint="eastAsia" w:ascii="宋体" w:hAnsi="宋体" w:cs="Courier New"/>
                <w:szCs w:val="21"/>
              </w:rPr>
              <w:t>1</w:t>
            </w:r>
          </w:p>
        </w:tc>
        <w:tc>
          <w:tcPr>
            <w:tcW w:w="4646" w:type="dxa"/>
            <w:tcBorders>
              <w:top w:val="single" w:color="auto" w:sz="4" w:space="0"/>
              <w:left w:val="single" w:color="auto" w:sz="4" w:space="0"/>
              <w:right w:val="single" w:color="auto" w:sz="4" w:space="0"/>
            </w:tcBorders>
          </w:tcPr>
          <w:p>
            <w:pPr>
              <w:rPr>
                <w:rFonts w:ascii="宋体" w:hAnsi="宋体" w:cs="Courier New"/>
                <w:szCs w:val="21"/>
              </w:rPr>
            </w:pPr>
            <w:r>
              <w:rPr>
                <w:rFonts w:hint="eastAsia" w:ascii="宋体" w:hAnsi="宋体" w:cs="Courier New"/>
                <w:szCs w:val="21"/>
              </w:rPr>
              <w:t>与我方的法定代表人（单位负责人）为同一人的单位</w:t>
            </w:r>
          </w:p>
        </w:tc>
        <w:tc>
          <w:tcPr>
            <w:tcW w:w="3907" w:type="dxa"/>
          </w:tcPr>
          <w:p>
            <w:pP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vAlign w:val="center"/>
          </w:tcPr>
          <w:p>
            <w:pPr>
              <w:jc w:val="center"/>
              <w:rPr>
                <w:rFonts w:ascii="宋体" w:hAnsi="宋体" w:cs="Courier New"/>
                <w:szCs w:val="21"/>
              </w:rPr>
            </w:pPr>
            <w:r>
              <w:rPr>
                <w:rFonts w:hint="eastAsia" w:ascii="宋体" w:hAnsi="宋体" w:cs="Courier New"/>
                <w:szCs w:val="21"/>
              </w:rPr>
              <w:t>2</w:t>
            </w:r>
          </w:p>
        </w:tc>
        <w:tc>
          <w:tcPr>
            <w:tcW w:w="4646" w:type="dxa"/>
            <w:tcBorders>
              <w:top w:val="single" w:color="auto" w:sz="4" w:space="0"/>
              <w:left w:val="single" w:color="auto" w:sz="4" w:space="0"/>
              <w:right w:val="single" w:color="auto" w:sz="4" w:space="0"/>
            </w:tcBorders>
          </w:tcPr>
          <w:p>
            <w:pPr>
              <w:rPr>
                <w:rFonts w:ascii="宋体" w:hAnsi="宋体" w:cs="Courier New"/>
                <w:szCs w:val="21"/>
              </w:rPr>
            </w:pPr>
            <w:r>
              <w:rPr>
                <w:rFonts w:hint="eastAsia" w:ascii="宋体" w:hAnsi="宋体" w:cs="Courier New"/>
                <w:szCs w:val="21"/>
              </w:rPr>
              <w:t>我方的控股股东（我方</w:t>
            </w:r>
            <w:r>
              <w:rPr>
                <w:rFonts w:ascii="宋体" w:hAnsi="宋体" w:cs="Courier New"/>
                <w:szCs w:val="21"/>
              </w:rPr>
              <w:t>的</w:t>
            </w:r>
            <w:r>
              <w:rPr>
                <w:rFonts w:hint="eastAsia" w:ascii="宋体" w:hAnsi="宋体" w:cs="Courier New"/>
                <w:szCs w:val="21"/>
              </w:rPr>
              <w:t>母公司</w:t>
            </w:r>
            <w:r>
              <w:rPr>
                <w:rFonts w:ascii="宋体" w:hAnsi="宋体" w:cs="Courier New"/>
                <w:szCs w:val="21"/>
              </w:rPr>
              <w:t>、</w:t>
            </w:r>
            <w:r>
              <w:rPr>
                <w:rFonts w:hint="eastAsia" w:ascii="宋体" w:hAnsi="宋体" w:cs="Courier New"/>
                <w:szCs w:val="21"/>
              </w:rPr>
              <w:t>对我方直接或间接持股50％及以上的投资单位）</w:t>
            </w:r>
          </w:p>
        </w:tc>
        <w:tc>
          <w:tcPr>
            <w:tcW w:w="3907" w:type="dxa"/>
          </w:tcPr>
          <w:p>
            <w:pP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7" w:type="dxa"/>
            <w:vAlign w:val="center"/>
          </w:tcPr>
          <w:p>
            <w:pPr>
              <w:jc w:val="center"/>
              <w:rPr>
                <w:rFonts w:ascii="宋体" w:hAnsi="宋体" w:cs="Courier New"/>
                <w:szCs w:val="21"/>
              </w:rPr>
            </w:pPr>
            <w:r>
              <w:rPr>
                <w:rFonts w:hint="eastAsia" w:ascii="宋体" w:hAnsi="宋体" w:cs="Courier New"/>
                <w:szCs w:val="21"/>
              </w:rPr>
              <w:t>3</w:t>
            </w:r>
          </w:p>
        </w:tc>
        <w:tc>
          <w:tcPr>
            <w:tcW w:w="4646" w:type="dxa"/>
            <w:tcBorders>
              <w:top w:val="single" w:color="auto" w:sz="4" w:space="0"/>
              <w:left w:val="single" w:color="auto" w:sz="4" w:space="0"/>
              <w:right w:val="single" w:color="auto" w:sz="4" w:space="0"/>
            </w:tcBorders>
          </w:tcPr>
          <w:p>
            <w:pPr>
              <w:rPr>
                <w:rFonts w:ascii="宋体" w:hAnsi="宋体" w:cs="Courier New"/>
                <w:szCs w:val="21"/>
              </w:rPr>
            </w:pPr>
            <w:r>
              <w:rPr>
                <w:rFonts w:hint="eastAsia" w:ascii="宋体" w:hAnsi="宋体" w:cs="Courier New"/>
                <w:szCs w:val="21"/>
              </w:rPr>
              <w:t>我方直接控股的单位（直接或间接持股50％及以上的被投资单位</w:t>
            </w:r>
          </w:p>
        </w:tc>
        <w:tc>
          <w:tcPr>
            <w:tcW w:w="3907" w:type="dxa"/>
          </w:tcPr>
          <w:p>
            <w:pP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vAlign w:val="center"/>
          </w:tcPr>
          <w:p>
            <w:pPr>
              <w:jc w:val="center"/>
              <w:rPr>
                <w:rFonts w:ascii="宋体" w:hAnsi="宋体" w:cs="Courier New"/>
                <w:szCs w:val="21"/>
              </w:rPr>
            </w:pPr>
            <w:r>
              <w:rPr>
                <w:rFonts w:hint="eastAsia" w:ascii="宋体" w:hAnsi="宋体" w:cs="Courier New"/>
                <w:szCs w:val="21"/>
              </w:rPr>
              <w:t>4</w:t>
            </w:r>
          </w:p>
        </w:tc>
        <w:tc>
          <w:tcPr>
            <w:tcW w:w="4646" w:type="dxa"/>
            <w:tcBorders>
              <w:top w:val="single" w:color="auto" w:sz="4" w:space="0"/>
              <w:left w:val="single" w:color="auto" w:sz="4" w:space="0"/>
              <w:right w:val="single" w:color="auto" w:sz="4" w:space="0"/>
            </w:tcBorders>
          </w:tcPr>
          <w:p>
            <w:pPr>
              <w:rPr>
                <w:rFonts w:ascii="宋体" w:hAnsi="宋体" w:cs="Courier New"/>
                <w:szCs w:val="21"/>
              </w:rPr>
            </w:pPr>
            <w:r>
              <w:rPr>
                <w:rFonts w:hint="eastAsia" w:ascii="宋体" w:hAnsi="宋体" w:cs="Courier New"/>
                <w:szCs w:val="21"/>
              </w:rPr>
              <w:t>与我方存在管理、被管理关系的单位</w:t>
            </w:r>
          </w:p>
        </w:tc>
        <w:tc>
          <w:tcPr>
            <w:tcW w:w="3907" w:type="dxa"/>
          </w:tcPr>
          <w:p>
            <w:pPr>
              <w:rPr>
                <w:rFonts w:ascii="宋体" w:hAnsi="宋体" w:cs="Courier New"/>
                <w:szCs w:val="21"/>
              </w:rPr>
            </w:pPr>
          </w:p>
        </w:tc>
      </w:tr>
    </w:tbl>
    <w:p>
      <w:pPr>
        <w:rPr>
          <w:rFonts w:ascii="宋体" w:hAnsi="宋体"/>
          <w:szCs w:val="21"/>
        </w:rPr>
      </w:pPr>
      <w:r>
        <w:rPr>
          <w:rFonts w:hint="eastAsia" w:ascii="宋体" w:hAnsi="宋体"/>
          <w:szCs w:val="21"/>
        </w:rPr>
        <w:t>注</w:t>
      </w:r>
      <w:r>
        <w:rPr>
          <w:rFonts w:ascii="宋体" w:hAnsi="宋体"/>
          <w:szCs w:val="21"/>
        </w:rPr>
        <w:t>：</w:t>
      </w:r>
      <w:r>
        <w:rPr>
          <w:rFonts w:hint="eastAsia" w:ascii="宋体" w:hAnsi="宋体"/>
          <w:szCs w:val="21"/>
        </w:rPr>
        <w:t>1.有以上情况</w:t>
      </w:r>
      <w:r>
        <w:rPr>
          <w:rFonts w:ascii="宋体" w:hAnsi="宋体"/>
          <w:szCs w:val="21"/>
        </w:rPr>
        <w:t>的单位名称请应列尽</w:t>
      </w:r>
      <w:r>
        <w:rPr>
          <w:rFonts w:hint="eastAsia" w:ascii="宋体" w:hAnsi="宋体"/>
          <w:szCs w:val="21"/>
        </w:rPr>
        <w:t>列，</w:t>
      </w:r>
      <w:r>
        <w:rPr>
          <w:rFonts w:ascii="宋体" w:hAnsi="宋体"/>
          <w:szCs w:val="21"/>
        </w:rPr>
        <w:t>若无相关情况请填写</w:t>
      </w:r>
      <w:r>
        <w:rPr>
          <w:rFonts w:hint="eastAsia" w:ascii="宋体" w:hAnsi="宋体"/>
          <w:szCs w:val="21"/>
        </w:rPr>
        <w:t>“无”。</w:t>
      </w:r>
    </w:p>
    <w:p>
      <w:pPr>
        <w:pStyle w:val="38"/>
        <w:adjustRightInd w:val="0"/>
        <w:ind w:left="480" w:leftChars="200" w:firstLine="0" w:firstLineChars="0"/>
        <w:jc w:val="left"/>
        <w:textAlignment w:val="baseline"/>
        <w:rPr>
          <w:rFonts w:ascii="宋体" w:hAnsi="宋体"/>
          <w:szCs w:val="21"/>
        </w:rPr>
      </w:pPr>
      <w:r>
        <w:rPr>
          <w:rFonts w:hint="eastAsia" w:ascii="宋体" w:hAnsi="宋体"/>
          <w:szCs w:val="21"/>
        </w:rPr>
        <w:t>2.接受联合体响应的，联合体各方分别提供（每个成员独立表格）。</w:t>
      </w:r>
    </w:p>
    <w:p>
      <w:pPr>
        <w:pStyle w:val="38"/>
        <w:adjustRightInd w:val="0"/>
        <w:ind w:left="480" w:leftChars="200" w:firstLine="0" w:firstLineChars="0"/>
        <w:jc w:val="left"/>
        <w:textAlignment w:val="baseline"/>
        <w:rPr>
          <w:rFonts w:ascii="宋体" w:hAnsi="宋体" w:cs="Arial"/>
        </w:rPr>
      </w:pPr>
      <w:r>
        <w:rPr>
          <w:rFonts w:hint="eastAsia" w:ascii="宋体" w:hAnsi="宋体"/>
          <w:szCs w:val="21"/>
        </w:rPr>
        <w:t>3.以合同分包形式参加响应的，响应供应商（即分包方）与各接受分包方分别提供（每个单位独立表格）。</w:t>
      </w:r>
    </w:p>
    <w:p>
      <w:pPr>
        <w:wordWrap w:val="0"/>
        <w:autoSpaceDE w:val="0"/>
        <w:autoSpaceDN w:val="0"/>
        <w:jc w:val="center"/>
        <w:rPr>
          <w:rFonts w:ascii="宋体" w:hAnsi="宋体"/>
          <w:b/>
          <w:sz w:val="32"/>
          <w:szCs w:val="32"/>
        </w:rPr>
      </w:pPr>
    </w:p>
    <w:p>
      <w:pPr>
        <w:wordWrap w:val="0"/>
        <w:autoSpaceDE w:val="0"/>
        <w:autoSpaceDN w:val="0"/>
        <w:jc w:val="center"/>
        <w:rPr>
          <w:rFonts w:ascii="宋体" w:hAnsi="宋体"/>
          <w:b/>
          <w:sz w:val="32"/>
          <w:szCs w:val="32"/>
        </w:rPr>
      </w:pPr>
      <w:r>
        <w:rPr>
          <w:rFonts w:hint="eastAsia" w:ascii="宋体" w:hAnsi="宋体"/>
          <w:b/>
          <w:sz w:val="32"/>
          <w:szCs w:val="32"/>
        </w:rPr>
        <w:br w:type="page"/>
      </w:r>
      <w:r>
        <w:rPr>
          <w:rFonts w:hint="eastAsia" w:ascii="宋体" w:hAnsi="宋体"/>
          <w:b/>
          <w:sz w:val="32"/>
          <w:szCs w:val="32"/>
        </w:rPr>
        <w:t>名称变更、机构并立、分立情况（如有）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4961"/>
        <w:gridCol w:w="127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wordWrap w:val="0"/>
              <w:autoSpaceDE w:val="0"/>
              <w:autoSpaceDN w:val="0"/>
              <w:jc w:val="center"/>
              <w:rPr>
                <w:rFonts w:ascii="宋体" w:hAnsi="宋体"/>
                <w:szCs w:val="24"/>
              </w:rPr>
            </w:pPr>
            <w:r>
              <w:rPr>
                <w:rFonts w:hint="eastAsia" w:ascii="宋体" w:hAnsi="宋体"/>
                <w:szCs w:val="24"/>
              </w:rPr>
              <w:t>发生日期</w:t>
            </w:r>
          </w:p>
        </w:tc>
        <w:tc>
          <w:tcPr>
            <w:tcW w:w="4961" w:type="dxa"/>
            <w:vAlign w:val="center"/>
          </w:tcPr>
          <w:p>
            <w:pPr>
              <w:wordWrap w:val="0"/>
              <w:autoSpaceDE w:val="0"/>
              <w:autoSpaceDN w:val="0"/>
              <w:jc w:val="center"/>
              <w:rPr>
                <w:rFonts w:ascii="宋体" w:hAnsi="宋体"/>
                <w:szCs w:val="24"/>
              </w:rPr>
            </w:pPr>
            <w:r>
              <w:rPr>
                <w:rFonts w:hint="eastAsia" w:ascii="宋体" w:hAnsi="宋体"/>
                <w:szCs w:val="24"/>
              </w:rPr>
              <w:t>事项</w:t>
            </w:r>
          </w:p>
        </w:tc>
        <w:tc>
          <w:tcPr>
            <w:tcW w:w="1276" w:type="dxa"/>
            <w:vAlign w:val="center"/>
          </w:tcPr>
          <w:p>
            <w:pPr>
              <w:wordWrap w:val="0"/>
              <w:autoSpaceDE w:val="0"/>
              <w:autoSpaceDN w:val="0"/>
              <w:jc w:val="center"/>
              <w:rPr>
                <w:rFonts w:ascii="宋体" w:hAnsi="宋体"/>
                <w:szCs w:val="24"/>
              </w:rPr>
            </w:pPr>
            <w:r>
              <w:rPr>
                <w:rFonts w:hint="eastAsia" w:ascii="宋体" w:hAnsi="宋体"/>
                <w:szCs w:val="24"/>
              </w:rPr>
              <w:t>核准机构</w:t>
            </w:r>
          </w:p>
        </w:tc>
        <w:tc>
          <w:tcPr>
            <w:tcW w:w="1134" w:type="dxa"/>
            <w:vAlign w:val="center"/>
          </w:tcPr>
          <w:p>
            <w:pPr>
              <w:wordWrap w:val="0"/>
              <w:autoSpaceDE w:val="0"/>
              <w:autoSpaceDN w:val="0"/>
              <w:jc w:val="center"/>
              <w:rPr>
                <w:rFonts w:ascii="宋体" w:hAnsi="宋体"/>
                <w:szCs w:val="24"/>
              </w:rPr>
            </w:pPr>
            <w:r>
              <w:rPr>
                <w:rFonts w:hint="eastAsia" w:ascii="宋体" w:hAnsi="宋体"/>
                <w:szCs w:val="24"/>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wordWrap w:val="0"/>
              <w:autoSpaceDE w:val="0"/>
              <w:autoSpaceDN w:val="0"/>
              <w:jc w:val="center"/>
              <w:rPr>
                <w:rFonts w:ascii="宋体" w:hAnsi="宋体"/>
                <w:szCs w:val="24"/>
              </w:rPr>
            </w:pPr>
            <w:r>
              <w:rPr>
                <w:rFonts w:hint="eastAsia" w:ascii="宋体" w:hAnsi="宋体"/>
                <w:szCs w:val="24"/>
              </w:rPr>
              <w:t xml:space="preserve">    年  月  日</w:t>
            </w:r>
          </w:p>
        </w:tc>
        <w:tc>
          <w:tcPr>
            <w:tcW w:w="496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276"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wordWrap w:val="0"/>
              <w:autoSpaceDE w:val="0"/>
              <w:autoSpaceDN w:val="0"/>
              <w:jc w:val="center"/>
              <w:rPr>
                <w:rFonts w:ascii="宋体" w:hAnsi="宋体"/>
                <w:szCs w:val="24"/>
              </w:rPr>
            </w:pPr>
            <w:r>
              <w:rPr>
                <w:rFonts w:hint="eastAsia" w:ascii="宋体" w:hAnsi="宋体"/>
                <w:szCs w:val="24"/>
              </w:rPr>
              <w:t xml:space="preserve">    年  月  日</w:t>
            </w:r>
          </w:p>
        </w:tc>
        <w:tc>
          <w:tcPr>
            <w:tcW w:w="496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276"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51" w:type="dxa"/>
            <w:vAlign w:val="center"/>
          </w:tcPr>
          <w:p>
            <w:pPr>
              <w:wordWrap w:val="0"/>
              <w:autoSpaceDE w:val="0"/>
              <w:autoSpaceDN w:val="0"/>
              <w:jc w:val="center"/>
              <w:rPr>
                <w:rFonts w:ascii="宋体" w:hAnsi="宋体"/>
                <w:szCs w:val="24"/>
              </w:rPr>
            </w:pPr>
            <w:r>
              <w:rPr>
                <w:rFonts w:hint="eastAsia" w:ascii="宋体" w:hAnsi="宋体"/>
                <w:szCs w:val="24"/>
              </w:rPr>
              <w:t xml:space="preserve">    年  月  日</w:t>
            </w:r>
          </w:p>
        </w:tc>
        <w:tc>
          <w:tcPr>
            <w:tcW w:w="496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276"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wordWrap w:val="0"/>
              <w:autoSpaceDE w:val="0"/>
              <w:autoSpaceDN w:val="0"/>
              <w:jc w:val="center"/>
              <w:rPr>
                <w:rFonts w:ascii="宋体" w:hAnsi="宋体"/>
                <w:szCs w:val="24"/>
              </w:rPr>
            </w:pPr>
            <w:r>
              <w:rPr>
                <w:rFonts w:hint="eastAsia" w:ascii="宋体" w:hAnsi="宋体"/>
                <w:szCs w:val="24"/>
              </w:rPr>
              <w:t xml:space="preserve">    年  月  日</w:t>
            </w:r>
          </w:p>
        </w:tc>
        <w:tc>
          <w:tcPr>
            <w:tcW w:w="496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276"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wordWrap w:val="0"/>
              <w:autoSpaceDE w:val="0"/>
              <w:autoSpaceDN w:val="0"/>
              <w:jc w:val="center"/>
              <w:rPr>
                <w:rFonts w:ascii="宋体" w:hAnsi="宋体"/>
                <w:szCs w:val="24"/>
              </w:rPr>
            </w:pPr>
            <w:r>
              <w:rPr>
                <w:rFonts w:ascii="宋体" w:hAnsi="宋体"/>
                <w:szCs w:val="24"/>
              </w:rPr>
              <w:t>……</w:t>
            </w:r>
          </w:p>
        </w:tc>
        <w:tc>
          <w:tcPr>
            <w:tcW w:w="496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276"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vAlign w:val="center"/>
          </w:tcPr>
          <w:p>
            <w:pPr>
              <w:wordWrap w:val="0"/>
              <w:autoSpaceDE w:val="0"/>
              <w:autoSpaceDN w:val="0"/>
              <w:jc w:val="center"/>
              <w:rPr>
                <w:rFonts w:ascii="宋体" w:hAnsi="宋体"/>
                <w:szCs w:val="24"/>
              </w:rPr>
            </w:pPr>
          </w:p>
        </w:tc>
      </w:tr>
    </w:tbl>
    <w:p>
      <w:pPr>
        <w:rPr>
          <w:rFonts w:ascii="宋体" w:hAnsi="宋体"/>
          <w:szCs w:val="24"/>
        </w:rPr>
      </w:pPr>
    </w:p>
    <w:p>
      <w:pPr>
        <w:rPr>
          <w:rFonts w:ascii="宋体" w:hAnsi="宋体"/>
          <w:szCs w:val="24"/>
        </w:rPr>
      </w:pPr>
      <w:r>
        <w:rPr>
          <w:rFonts w:hint="eastAsia" w:ascii="宋体" w:hAnsi="宋体"/>
          <w:szCs w:val="24"/>
        </w:rPr>
        <w:t>备注：</w:t>
      </w:r>
    </w:p>
    <w:p>
      <w:pPr>
        <w:ind w:firstLine="480" w:firstLineChars="200"/>
        <w:rPr>
          <w:rFonts w:ascii="宋体" w:hAnsi="宋体"/>
          <w:szCs w:val="24"/>
        </w:rPr>
      </w:pPr>
      <w:r>
        <w:rPr>
          <w:rFonts w:hint="eastAsia" w:ascii="宋体" w:hAnsi="宋体"/>
          <w:szCs w:val="24"/>
        </w:rPr>
        <w:t>1.供应商应如实填写上述各表，不得弄虚作假；</w:t>
      </w:r>
    </w:p>
    <w:p>
      <w:pPr>
        <w:ind w:firstLine="480" w:firstLineChars="200"/>
        <w:rPr>
          <w:rFonts w:ascii="宋体" w:hAnsi="宋体"/>
          <w:szCs w:val="24"/>
        </w:rPr>
      </w:pPr>
      <w:r>
        <w:rPr>
          <w:rFonts w:hint="eastAsia" w:ascii="宋体" w:hAnsi="宋体"/>
          <w:szCs w:val="24"/>
        </w:rPr>
        <w:t>2.供应商可根据实际情况在表后提供相关证明材料；</w:t>
      </w:r>
    </w:p>
    <w:p>
      <w:pPr>
        <w:ind w:firstLine="480" w:firstLineChars="200"/>
        <w:rPr>
          <w:rFonts w:ascii="宋体" w:hAnsi="宋体"/>
          <w:szCs w:val="24"/>
        </w:rPr>
      </w:pPr>
      <w:r>
        <w:rPr>
          <w:rFonts w:hint="eastAsia" w:ascii="宋体" w:hAnsi="宋体"/>
          <w:szCs w:val="24"/>
        </w:rPr>
        <w:t>3.如不具有相应情况，可填写“无”。</w:t>
      </w:r>
    </w:p>
    <w:p>
      <w:pPr>
        <w:ind w:firstLine="480" w:firstLineChars="200"/>
        <w:rPr>
          <w:rFonts w:ascii="宋体" w:hAnsi="宋体"/>
          <w:szCs w:val="24"/>
        </w:rPr>
      </w:pPr>
      <w:r>
        <w:rPr>
          <w:rFonts w:hint="eastAsia" w:ascii="宋体" w:hAnsi="宋体"/>
          <w:szCs w:val="24"/>
        </w:rPr>
        <w:t>4.联合体报价的，如有，各成员分别列表说明。各成员提供的自身独立的证明材料（如有）均可以由《联合协议》约定的方式加盖公章及签署。</w:t>
      </w:r>
    </w:p>
    <w:p>
      <w:pPr>
        <w:ind w:firstLine="480" w:firstLineChars="200"/>
        <w:rPr>
          <w:rFonts w:ascii="宋体" w:hAnsi="宋体"/>
          <w:szCs w:val="24"/>
        </w:rPr>
      </w:pPr>
      <w:r>
        <w:rPr>
          <w:rFonts w:hint="eastAsia" w:ascii="宋体" w:hAnsi="宋体"/>
          <w:szCs w:val="24"/>
        </w:rPr>
        <w:t>5.分支机构参加磋商的，总公司（总所）和分支机构分别列表说明，证明材料均可以由总公司（总所）或分支机构加盖公章及签署。</w:t>
      </w:r>
    </w:p>
    <w:p>
      <w:pPr>
        <w:ind w:firstLine="480" w:firstLineChars="200"/>
        <w:rPr>
          <w:rFonts w:ascii="宋体" w:hAnsi="宋体"/>
          <w:szCs w:val="24"/>
        </w:rPr>
      </w:pPr>
      <w:r>
        <w:rPr>
          <w:rFonts w:hint="eastAsia" w:ascii="宋体" w:hAnsi="宋体"/>
          <w:szCs w:val="24"/>
        </w:rPr>
        <w:t>6.以合同分包形式报价的，除非特别说明，仅需提供报价供应商的证明材料。</w:t>
      </w:r>
    </w:p>
    <w:p>
      <w:pPr>
        <w:rPr>
          <w:rFonts w:ascii="宋体" w:hAnsi="宋体"/>
          <w:szCs w:val="24"/>
        </w:rPr>
      </w:pPr>
    </w:p>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pStyle w:val="5"/>
        <w:numPr>
          <w:ilvl w:val="0"/>
          <w:numId w:val="69"/>
        </w:numPr>
        <w:tabs>
          <w:tab w:val="left" w:pos="0"/>
          <w:tab w:val="left" w:pos="945"/>
        </w:tabs>
        <w:spacing w:before="0" w:after="0" w:line="360" w:lineRule="auto"/>
        <w:ind w:left="0" w:firstLine="0"/>
        <w:rPr>
          <w:sz w:val="28"/>
          <w:szCs w:val="28"/>
        </w:rPr>
      </w:pPr>
      <w:bookmarkStart w:id="421" w:name="_Toc50460252"/>
      <w:bookmarkStart w:id="422" w:name="_Toc56180358"/>
      <w:bookmarkStart w:id="423" w:name="_Toc55398764"/>
      <w:bookmarkStart w:id="424" w:name="_Toc22806216"/>
      <w:r>
        <w:rPr>
          <w:rFonts w:hint="eastAsia"/>
          <w:sz w:val="28"/>
          <w:szCs w:val="28"/>
        </w:rPr>
        <w:t>中小企业、监狱企业及残疾人福利性单位证明文件（如适用）</w:t>
      </w:r>
      <w:bookmarkEnd w:id="421"/>
      <w:bookmarkEnd w:id="422"/>
      <w:bookmarkEnd w:id="423"/>
      <w:bookmarkEnd w:id="424"/>
    </w:p>
    <w:p>
      <w:pPr>
        <w:ind w:firstLine="360" w:firstLineChars="150"/>
      </w:pPr>
      <w:bookmarkStart w:id="425" w:name="_Toc22806217"/>
      <w:r>
        <w:rPr>
          <w:rFonts w:hint="eastAsia" w:ascii="宋体" w:hAnsi="宋体"/>
          <w:b/>
          <w:szCs w:val="24"/>
        </w:rPr>
        <w:t>备注：</w:t>
      </w:r>
      <w:r>
        <w:rPr>
          <w:rFonts w:hint="eastAsia" w:ascii="宋体" w:hAnsi="宋体"/>
          <w:szCs w:val="24"/>
        </w:rPr>
        <w:t>如本项目不属于专门面向中小企业采购的项目,供应商为中小企业或监狱企业或残疾人福利性单位的，应按本部分格式提供证明材料，否则不能享受政府采购政策的评审优惠。如本项目属于专门面向中小企业采购的项目, 参加采购活动的中小微企业或监狱企业或残疾人福利性单位，须按本部分格式提供证明材料。</w:t>
      </w:r>
    </w:p>
    <w:p>
      <w:pPr>
        <w:pStyle w:val="6"/>
        <w:numPr>
          <w:ilvl w:val="1"/>
          <w:numId w:val="69"/>
        </w:numPr>
        <w:tabs>
          <w:tab w:val="left" w:pos="945"/>
        </w:tabs>
        <w:ind w:left="0" w:firstLine="0"/>
        <w:rPr>
          <w:rFonts w:ascii="宋体" w:hAnsi="宋体"/>
          <w:szCs w:val="24"/>
        </w:rPr>
      </w:pPr>
      <w:r>
        <w:rPr>
          <w:rFonts w:hint="eastAsia" w:ascii="宋体" w:hAnsi="宋体"/>
          <w:szCs w:val="24"/>
        </w:rPr>
        <w:t>中小企业声明</w:t>
      </w:r>
      <w:bookmarkEnd w:id="425"/>
      <w:r>
        <w:rPr>
          <w:rFonts w:hint="eastAsia" w:ascii="宋体" w:hAnsi="宋体"/>
          <w:szCs w:val="24"/>
        </w:rPr>
        <w:t>函（服务）（如适用）</w:t>
      </w:r>
    </w:p>
    <w:p>
      <w:pPr>
        <w:jc w:val="center"/>
        <w:rPr>
          <w:rFonts w:ascii="宋体" w:hAnsi="宋体"/>
          <w:b/>
          <w:sz w:val="32"/>
          <w:szCs w:val="32"/>
        </w:rPr>
      </w:pPr>
      <w:r>
        <w:rPr>
          <w:rFonts w:hint="eastAsia" w:ascii="宋体" w:hAnsi="宋体"/>
          <w:b/>
          <w:sz w:val="32"/>
          <w:szCs w:val="32"/>
        </w:rPr>
        <w:t>中小企业声明函（服务）</w:t>
      </w:r>
    </w:p>
    <w:p>
      <w:pPr>
        <w:wordWrap w:val="0"/>
        <w:autoSpaceDE w:val="0"/>
        <w:autoSpaceDN w:val="0"/>
        <w:adjustRightInd w:val="0"/>
        <w:ind w:firstLine="480" w:firstLineChars="200"/>
        <w:rPr>
          <w:rFonts w:ascii="宋体" w:hAnsi="宋体" w:cs="仿宋"/>
          <w:kern w:val="0"/>
          <w:szCs w:val="24"/>
        </w:rPr>
      </w:pPr>
      <w:r>
        <w:rPr>
          <w:rFonts w:hint="eastAsia" w:ascii="宋体" w:hAnsi="宋体" w:cs="仿宋"/>
          <w:kern w:val="0"/>
          <w:szCs w:val="24"/>
        </w:rPr>
        <w:t>本公司（联合体）郑重声明，根据《政府采购促进中小企业发展管理办法》（财库</w:t>
      </w:r>
      <w:r>
        <w:rPr>
          <w:rFonts w:hint="eastAsia" w:ascii="宋体" w:hAnsi="宋体" w:cs="宋体"/>
          <w:kern w:val="0"/>
          <w:szCs w:val="24"/>
        </w:rPr>
        <w:t>﹝</w:t>
      </w:r>
      <w:r>
        <w:rPr>
          <w:rFonts w:ascii="宋体" w:hAnsi="宋体" w:cs="仿宋"/>
          <w:kern w:val="0"/>
          <w:szCs w:val="24"/>
        </w:rPr>
        <w:t>2020</w:t>
      </w:r>
      <w:r>
        <w:rPr>
          <w:rFonts w:hint="eastAsia" w:ascii="宋体" w:hAnsi="宋体" w:cs="宋体"/>
          <w:kern w:val="0"/>
          <w:szCs w:val="24"/>
        </w:rPr>
        <w:t>﹞</w:t>
      </w:r>
      <w:r>
        <w:rPr>
          <w:rFonts w:ascii="宋体" w:hAnsi="宋体" w:cs="仿宋"/>
          <w:kern w:val="0"/>
          <w:szCs w:val="24"/>
        </w:rPr>
        <w:t>46</w:t>
      </w:r>
      <w:r>
        <w:rPr>
          <w:rFonts w:hint="eastAsia" w:ascii="宋体" w:hAnsi="宋体" w:cs="仿宋"/>
          <w:kern w:val="0"/>
          <w:szCs w:val="24"/>
        </w:rPr>
        <w:t>号）的规定，本公司（联合体）参加</w:t>
      </w:r>
      <w:r>
        <w:rPr>
          <w:rFonts w:hint="eastAsia" w:ascii="宋体" w:hAnsi="宋体" w:cs="仿宋"/>
          <w:i/>
          <w:kern w:val="0"/>
          <w:szCs w:val="24"/>
          <w:u w:val="single"/>
        </w:rPr>
        <w:t>（单位名称）</w:t>
      </w:r>
      <w:r>
        <w:rPr>
          <w:rFonts w:hint="eastAsia" w:ascii="宋体" w:hAnsi="宋体" w:cs="仿宋"/>
          <w:kern w:val="0"/>
          <w:szCs w:val="24"/>
        </w:rPr>
        <w:t>的</w:t>
      </w:r>
      <w:r>
        <w:rPr>
          <w:rFonts w:hint="eastAsia" w:ascii="宋体" w:hAnsi="宋体" w:cs="仿宋"/>
          <w:i/>
          <w:kern w:val="0"/>
          <w:szCs w:val="24"/>
          <w:u w:val="single"/>
        </w:rPr>
        <w:t>（项目名称）</w:t>
      </w:r>
      <w:r>
        <w:rPr>
          <w:rFonts w:hint="eastAsia" w:ascii="宋体" w:hAnsi="宋体" w:cs="仿宋"/>
          <w:kern w:val="0"/>
          <w:szCs w:val="24"/>
        </w:rPr>
        <w:t>采购活动，服务全部由符合政策要求的中小企业承接。相关企业（含联合体中的中小企业、签订分包意向协议的中小企业）的具体情况如下：</w:t>
      </w:r>
    </w:p>
    <w:p>
      <w:pPr>
        <w:wordWrap w:val="0"/>
        <w:autoSpaceDE w:val="0"/>
        <w:autoSpaceDN w:val="0"/>
        <w:adjustRightInd w:val="0"/>
        <w:ind w:firstLine="480" w:firstLineChars="200"/>
        <w:rPr>
          <w:rFonts w:ascii="宋体" w:hAnsi="宋体" w:cs="仿宋"/>
          <w:kern w:val="0"/>
          <w:szCs w:val="24"/>
        </w:rPr>
      </w:pPr>
      <w:r>
        <w:rPr>
          <w:rFonts w:ascii="宋体" w:hAnsi="宋体" w:cs="仿宋"/>
          <w:kern w:val="0"/>
          <w:szCs w:val="24"/>
        </w:rPr>
        <w:t>1.</w:t>
      </w:r>
      <w:r>
        <w:rPr>
          <w:rFonts w:hint="eastAsia" w:ascii="宋体" w:hAnsi="宋体" w:cs="仿宋"/>
          <w:i/>
          <w:kern w:val="0"/>
          <w:szCs w:val="24"/>
          <w:u w:val="single"/>
        </w:rPr>
        <w:t>（标的名称）</w:t>
      </w:r>
      <w:r>
        <w:rPr>
          <w:rFonts w:hint="eastAsia" w:ascii="宋体" w:hAnsi="宋体" w:cs="仿宋"/>
          <w:kern w:val="0"/>
          <w:szCs w:val="24"/>
        </w:rPr>
        <w:t>，属于</w:t>
      </w:r>
      <w:r>
        <w:rPr>
          <w:rFonts w:hint="eastAsia" w:ascii="宋体" w:hAnsi="宋体" w:cs="仿宋"/>
          <w:i/>
          <w:kern w:val="0"/>
          <w:szCs w:val="24"/>
          <w:u w:val="single"/>
        </w:rPr>
        <w:t>（采购文件中明确的所属行业）</w:t>
      </w:r>
      <w:r>
        <w:rPr>
          <w:rFonts w:hint="eastAsia" w:ascii="宋体" w:hAnsi="宋体" w:cs="仿宋"/>
          <w:kern w:val="0"/>
          <w:szCs w:val="24"/>
        </w:rPr>
        <w:t>；承建（承接）企业为</w:t>
      </w:r>
      <w:r>
        <w:rPr>
          <w:rFonts w:hint="eastAsia" w:ascii="宋体" w:hAnsi="宋体" w:cs="仿宋"/>
          <w:i/>
          <w:kern w:val="0"/>
          <w:szCs w:val="24"/>
          <w:u w:val="single"/>
        </w:rPr>
        <w:t>（企业名称）</w:t>
      </w:r>
      <w:r>
        <w:rPr>
          <w:rFonts w:hint="eastAsia" w:ascii="宋体" w:hAnsi="宋体" w:cs="仿宋"/>
          <w:kern w:val="0"/>
          <w:szCs w:val="24"/>
        </w:rPr>
        <w:t>，从业人员</w:t>
      </w:r>
      <w:r>
        <w:rPr>
          <w:rFonts w:hint="eastAsia" w:ascii="宋体" w:hAnsi="宋体" w:cs="仿宋"/>
          <w:kern w:val="0"/>
          <w:szCs w:val="24"/>
          <w:u w:val="single"/>
        </w:rPr>
        <w:t xml:space="preserve">     </w:t>
      </w:r>
      <w:r>
        <w:rPr>
          <w:rFonts w:hint="eastAsia" w:ascii="宋体" w:hAnsi="宋体" w:cs="仿宋"/>
          <w:kern w:val="0"/>
          <w:szCs w:val="24"/>
        </w:rPr>
        <w:t>人，营业收入为</w:t>
      </w:r>
      <w:r>
        <w:rPr>
          <w:rFonts w:hint="eastAsia" w:ascii="宋体" w:hAnsi="宋体" w:cs="仿宋"/>
          <w:kern w:val="0"/>
          <w:szCs w:val="24"/>
          <w:u w:val="single"/>
        </w:rPr>
        <w:t xml:space="preserve">     </w:t>
      </w:r>
      <w:r>
        <w:rPr>
          <w:rFonts w:hint="eastAsia" w:ascii="宋体" w:hAnsi="宋体" w:cs="仿宋"/>
          <w:kern w:val="0"/>
          <w:szCs w:val="24"/>
        </w:rPr>
        <w:t>万元，资产总额为</w:t>
      </w:r>
      <w:r>
        <w:rPr>
          <w:rFonts w:hint="eastAsia" w:ascii="宋体" w:hAnsi="宋体" w:cs="仿宋"/>
          <w:kern w:val="0"/>
          <w:szCs w:val="24"/>
          <w:u w:val="single"/>
        </w:rPr>
        <w:t xml:space="preserve">     </w:t>
      </w:r>
      <w:r>
        <w:rPr>
          <w:rFonts w:hint="eastAsia" w:ascii="宋体" w:hAnsi="宋体" w:cs="仿宋"/>
          <w:kern w:val="0"/>
          <w:szCs w:val="24"/>
        </w:rPr>
        <w:t>万元，属于</w:t>
      </w:r>
      <w:r>
        <w:rPr>
          <w:rFonts w:hint="eastAsia" w:ascii="宋体" w:hAnsi="宋体" w:cs="仿宋"/>
          <w:i/>
          <w:kern w:val="0"/>
          <w:szCs w:val="24"/>
          <w:u w:val="single"/>
        </w:rPr>
        <w:t>（中型企业、小型企业、微型企业）</w:t>
      </w:r>
      <w:r>
        <w:rPr>
          <w:rFonts w:hint="eastAsia" w:ascii="宋体" w:hAnsi="宋体" w:cs="仿宋"/>
          <w:kern w:val="0"/>
          <w:szCs w:val="24"/>
        </w:rPr>
        <w:t>；</w:t>
      </w:r>
    </w:p>
    <w:p>
      <w:pPr>
        <w:wordWrap w:val="0"/>
        <w:autoSpaceDE w:val="0"/>
        <w:autoSpaceDN w:val="0"/>
        <w:adjustRightInd w:val="0"/>
        <w:ind w:firstLine="480" w:firstLineChars="200"/>
        <w:rPr>
          <w:rFonts w:ascii="宋体" w:hAnsi="宋体" w:cs="仿宋"/>
          <w:kern w:val="0"/>
          <w:szCs w:val="24"/>
        </w:rPr>
      </w:pPr>
      <w:r>
        <w:rPr>
          <w:rFonts w:ascii="宋体" w:hAnsi="宋体" w:cs="仿宋"/>
          <w:kern w:val="0"/>
          <w:szCs w:val="24"/>
        </w:rPr>
        <w:t>2.</w:t>
      </w:r>
      <w:r>
        <w:rPr>
          <w:rFonts w:hint="eastAsia" w:ascii="宋体" w:hAnsi="宋体" w:cs="仿宋"/>
          <w:i/>
          <w:kern w:val="0"/>
          <w:szCs w:val="24"/>
          <w:u w:val="single"/>
        </w:rPr>
        <w:t>（标的名称）</w:t>
      </w:r>
      <w:r>
        <w:rPr>
          <w:rFonts w:hint="eastAsia" w:ascii="宋体" w:hAnsi="宋体" w:cs="仿宋"/>
          <w:kern w:val="0"/>
          <w:szCs w:val="24"/>
        </w:rPr>
        <w:t>，属于</w:t>
      </w:r>
      <w:r>
        <w:rPr>
          <w:rFonts w:hint="eastAsia" w:ascii="宋体" w:hAnsi="宋体" w:cs="仿宋"/>
          <w:i/>
          <w:kern w:val="0"/>
          <w:szCs w:val="24"/>
          <w:u w:val="single"/>
        </w:rPr>
        <w:t>（采购文件中明确的所属行业）</w:t>
      </w:r>
      <w:r>
        <w:rPr>
          <w:rFonts w:hint="eastAsia" w:ascii="宋体" w:hAnsi="宋体" w:cs="仿宋"/>
          <w:kern w:val="0"/>
          <w:szCs w:val="24"/>
        </w:rPr>
        <w:t>；承建（承接）企业为</w:t>
      </w:r>
      <w:r>
        <w:rPr>
          <w:rFonts w:hint="eastAsia" w:ascii="宋体" w:hAnsi="宋体" w:cs="仿宋"/>
          <w:i/>
          <w:kern w:val="0"/>
          <w:szCs w:val="24"/>
          <w:u w:val="single"/>
        </w:rPr>
        <w:t>（企业名称）</w:t>
      </w:r>
      <w:r>
        <w:rPr>
          <w:rFonts w:hint="eastAsia" w:ascii="宋体" w:hAnsi="宋体" w:cs="仿宋"/>
          <w:kern w:val="0"/>
          <w:szCs w:val="24"/>
        </w:rPr>
        <w:t>，从业人员</w:t>
      </w:r>
      <w:r>
        <w:rPr>
          <w:rFonts w:hint="eastAsia" w:ascii="宋体" w:hAnsi="宋体" w:cs="仿宋"/>
          <w:kern w:val="0"/>
          <w:szCs w:val="24"/>
          <w:u w:val="single"/>
        </w:rPr>
        <w:t xml:space="preserve">     </w:t>
      </w:r>
      <w:r>
        <w:rPr>
          <w:rFonts w:hint="eastAsia" w:ascii="宋体" w:hAnsi="宋体" w:cs="仿宋"/>
          <w:kern w:val="0"/>
          <w:szCs w:val="24"/>
        </w:rPr>
        <w:t>人，营业收入为</w:t>
      </w:r>
      <w:r>
        <w:rPr>
          <w:rFonts w:hint="eastAsia" w:ascii="宋体" w:hAnsi="宋体" w:cs="仿宋"/>
          <w:kern w:val="0"/>
          <w:szCs w:val="24"/>
          <w:u w:val="single"/>
        </w:rPr>
        <w:t xml:space="preserve">     </w:t>
      </w:r>
      <w:r>
        <w:rPr>
          <w:rFonts w:hint="eastAsia" w:ascii="宋体" w:hAnsi="宋体" w:cs="仿宋"/>
          <w:kern w:val="0"/>
          <w:szCs w:val="24"/>
        </w:rPr>
        <w:t>万元，资产总额为</w:t>
      </w:r>
      <w:r>
        <w:rPr>
          <w:rFonts w:hint="eastAsia" w:ascii="宋体" w:hAnsi="宋体" w:cs="仿宋"/>
          <w:kern w:val="0"/>
          <w:szCs w:val="24"/>
          <w:u w:val="single"/>
        </w:rPr>
        <w:t xml:space="preserve">     </w:t>
      </w:r>
      <w:r>
        <w:rPr>
          <w:rFonts w:hint="eastAsia" w:ascii="宋体" w:hAnsi="宋体" w:cs="仿宋"/>
          <w:kern w:val="0"/>
          <w:szCs w:val="24"/>
        </w:rPr>
        <w:t>万元，属于</w:t>
      </w:r>
      <w:r>
        <w:rPr>
          <w:rFonts w:hint="eastAsia" w:ascii="宋体" w:hAnsi="宋体" w:cs="仿宋"/>
          <w:i/>
          <w:kern w:val="0"/>
          <w:szCs w:val="24"/>
          <w:u w:val="single"/>
        </w:rPr>
        <w:t>（中型企业、小型企业、微型企业）</w:t>
      </w:r>
      <w:r>
        <w:rPr>
          <w:rFonts w:hint="eastAsia" w:ascii="宋体" w:hAnsi="宋体" w:cs="仿宋"/>
          <w:kern w:val="0"/>
          <w:szCs w:val="24"/>
        </w:rPr>
        <w:t>；</w:t>
      </w:r>
    </w:p>
    <w:p>
      <w:pPr>
        <w:wordWrap w:val="0"/>
        <w:autoSpaceDE w:val="0"/>
        <w:autoSpaceDN w:val="0"/>
        <w:adjustRightInd w:val="0"/>
        <w:ind w:firstLine="480" w:firstLineChars="200"/>
        <w:rPr>
          <w:rFonts w:ascii="宋体" w:hAnsi="宋体" w:cs="仿宋"/>
          <w:kern w:val="0"/>
          <w:szCs w:val="24"/>
        </w:rPr>
      </w:pPr>
      <w:r>
        <w:rPr>
          <w:rFonts w:hint="eastAsia" w:ascii="宋体" w:hAnsi="宋体" w:cs="仿宋"/>
          <w:kern w:val="0"/>
          <w:szCs w:val="24"/>
        </w:rPr>
        <w:t>……</w:t>
      </w:r>
    </w:p>
    <w:p>
      <w:pPr>
        <w:wordWrap w:val="0"/>
        <w:autoSpaceDE w:val="0"/>
        <w:autoSpaceDN w:val="0"/>
        <w:adjustRightInd w:val="0"/>
        <w:ind w:firstLine="480" w:firstLineChars="200"/>
        <w:rPr>
          <w:rFonts w:ascii="宋体" w:hAnsi="宋体" w:cs="仿宋"/>
          <w:kern w:val="0"/>
          <w:szCs w:val="24"/>
        </w:rPr>
      </w:pPr>
      <w:r>
        <w:rPr>
          <w:rFonts w:hint="eastAsia" w:ascii="宋体" w:hAnsi="宋体" w:cs="仿宋"/>
          <w:kern w:val="0"/>
          <w:szCs w:val="24"/>
        </w:rPr>
        <w:t>以上企业，不属于大企业的分支机构，不存在控股股东为大企业的情形，也不存在与大企业的负责人为同一人的情形。</w:t>
      </w:r>
    </w:p>
    <w:p>
      <w:pPr>
        <w:wordWrap w:val="0"/>
        <w:autoSpaceDE w:val="0"/>
        <w:autoSpaceDN w:val="0"/>
        <w:adjustRightInd w:val="0"/>
        <w:ind w:firstLine="480" w:firstLineChars="200"/>
        <w:rPr>
          <w:rFonts w:ascii="宋体" w:hAnsi="宋体" w:cs="仿宋"/>
          <w:kern w:val="0"/>
          <w:szCs w:val="24"/>
        </w:rPr>
      </w:pPr>
      <w:r>
        <w:rPr>
          <w:rFonts w:hint="eastAsia" w:ascii="宋体" w:hAnsi="宋体" w:cs="仿宋"/>
          <w:kern w:val="0"/>
          <w:szCs w:val="24"/>
        </w:rPr>
        <w:t>本企业对上述声明内容的真实性负责。如有虚假，将依法承担相应责任。</w:t>
      </w:r>
    </w:p>
    <w:p>
      <w:pPr>
        <w:wordWrap w:val="0"/>
        <w:autoSpaceDE w:val="0"/>
        <w:autoSpaceDN w:val="0"/>
        <w:adjustRightInd w:val="0"/>
        <w:ind w:firstLine="4080" w:firstLineChars="1700"/>
        <w:rPr>
          <w:rFonts w:ascii="宋体" w:hAnsi="宋体" w:cs="仿宋"/>
          <w:kern w:val="0"/>
          <w:szCs w:val="24"/>
        </w:rPr>
      </w:pPr>
      <w:r>
        <w:rPr>
          <w:rFonts w:hint="eastAsia" w:ascii="宋体" w:hAnsi="宋体" w:cs="仿宋"/>
          <w:kern w:val="0"/>
          <w:szCs w:val="24"/>
        </w:rPr>
        <w:t>企业名称（盖章）：</w:t>
      </w:r>
      <w:r>
        <w:rPr>
          <w:rFonts w:hint="eastAsia" w:ascii="宋体" w:hAnsi="宋体" w:cs="仿宋"/>
          <w:i/>
          <w:kern w:val="0"/>
          <w:szCs w:val="24"/>
          <w:u w:val="single"/>
        </w:rPr>
        <w:t>（报价供应商）</w:t>
      </w:r>
      <w:r>
        <w:rPr>
          <w:rFonts w:hint="eastAsia" w:ascii="宋体" w:hAnsi="宋体" w:cs="仿宋"/>
          <w:kern w:val="0"/>
          <w:szCs w:val="24"/>
        </w:rPr>
        <w:t xml:space="preserve"> </w:t>
      </w:r>
    </w:p>
    <w:p>
      <w:pPr>
        <w:wordWrap w:val="0"/>
        <w:autoSpaceDE w:val="0"/>
        <w:autoSpaceDN w:val="0"/>
        <w:adjustRightInd w:val="0"/>
        <w:ind w:firstLine="4080" w:firstLineChars="1700"/>
        <w:rPr>
          <w:rFonts w:ascii="宋体" w:hAnsi="宋体" w:cs="仿宋"/>
          <w:kern w:val="0"/>
          <w:szCs w:val="24"/>
        </w:rPr>
      </w:pPr>
      <w:r>
        <w:rPr>
          <w:rFonts w:hint="eastAsia" w:ascii="宋体" w:hAnsi="宋体" w:cs="仿宋"/>
          <w:kern w:val="0"/>
          <w:szCs w:val="24"/>
        </w:rPr>
        <w:t>日期：</w:t>
      </w:r>
    </w:p>
    <w:p>
      <w:pPr>
        <w:wordWrap w:val="0"/>
        <w:autoSpaceDE w:val="0"/>
        <w:autoSpaceDN w:val="0"/>
        <w:adjustRightInd w:val="0"/>
        <w:ind w:left="480" w:hanging="480" w:hangingChars="200"/>
        <w:rPr>
          <w:rFonts w:ascii="宋体" w:hAnsi="宋体" w:cs="宋体"/>
          <w:kern w:val="0"/>
          <w:szCs w:val="24"/>
        </w:rPr>
      </w:pPr>
      <w:r>
        <w:rPr>
          <w:rFonts w:hint="eastAsia" w:ascii="宋体" w:hAnsi="宋体" w:cs="宋体"/>
          <w:kern w:val="0"/>
          <w:szCs w:val="24"/>
        </w:rPr>
        <w:t>备注：</w:t>
      </w:r>
    </w:p>
    <w:p>
      <w:pPr>
        <w:wordWrap w:val="0"/>
        <w:autoSpaceDE w:val="0"/>
        <w:autoSpaceDN w:val="0"/>
        <w:adjustRightInd w:val="0"/>
        <w:ind w:left="480" w:hanging="480" w:hangingChars="200"/>
        <w:rPr>
          <w:rFonts w:ascii="宋体" w:hAnsi="宋体" w:cs="宋体"/>
          <w:kern w:val="0"/>
          <w:szCs w:val="24"/>
        </w:rPr>
      </w:pPr>
      <w:r>
        <w:rPr>
          <w:rFonts w:hint="eastAsia" w:ascii="宋体" w:hAnsi="宋体" w:cs="宋体"/>
          <w:kern w:val="0"/>
          <w:szCs w:val="24"/>
        </w:rPr>
        <w:t>1.  从业人员、营业收入、资产总额填报上一年度数据，无上一年度数据的新成立企业可不填报。</w:t>
      </w:r>
    </w:p>
    <w:p>
      <w:pPr>
        <w:wordWrap w:val="0"/>
        <w:autoSpaceDE w:val="0"/>
        <w:autoSpaceDN w:val="0"/>
        <w:adjustRightInd w:val="0"/>
        <w:ind w:left="480" w:hanging="480" w:hangingChars="200"/>
        <w:rPr>
          <w:rFonts w:ascii="宋体" w:hAnsi="宋体" w:cs="宋体"/>
          <w:kern w:val="0"/>
          <w:szCs w:val="24"/>
        </w:rPr>
      </w:pPr>
      <w:r>
        <w:rPr>
          <w:rFonts w:hint="eastAsia" w:ascii="宋体" w:hAnsi="宋体" w:cs="宋体"/>
          <w:kern w:val="0"/>
          <w:szCs w:val="24"/>
        </w:rPr>
        <w:t>2. 《中小企业声明函》由参加本项目（采购包）政府采购活动的报价供应商出具。声明函的企业名称为报价供应商的名称，以联合体形式报价的，企业名称可表述为“成员1全称、成员2全称、……、成员……全称联合体”，并由《联合协议》约定的方式加盖公章及签署；以合同分包形式报价的，企业名称可表述为“报价供应商全称”，并由报价供应商加盖公章及签署。</w:t>
      </w:r>
    </w:p>
    <w:p>
      <w:pPr>
        <w:wordWrap w:val="0"/>
        <w:autoSpaceDE w:val="0"/>
        <w:autoSpaceDN w:val="0"/>
        <w:adjustRightInd w:val="0"/>
        <w:ind w:left="480" w:hanging="480" w:hangingChars="200"/>
        <w:rPr>
          <w:rFonts w:ascii="宋体" w:hAnsi="宋体" w:cs="宋体"/>
          <w:kern w:val="0"/>
          <w:szCs w:val="24"/>
        </w:rPr>
      </w:pPr>
      <w:r>
        <w:rPr>
          <w:rFonts w:hint="eastAsia" w:ascii="宋体" w:hAnsi="宋体" w:cs="宋体"/>
          <w:kern w:val="0"/>
          <w:szCs w:val="24"/>
        </w:rPr>
        <w:t>3.  要求以联合体形式（或合同分包形式）参加政府采购活动的，《中小企业声明函》中需填写联合体中的中小企业或签订分包意向协议的中小企业相关信息。对于联合体中由中小企业承担的部分，或者分包给中小企业的部分，必须全部由中小企业制造（货物类项目）【承建（工程类项目）或者承接（服务类项目）】。供应商应当在声明函“（标的名称）”处标明联合体中中小企业承担的具体内容或者中小企业的具体分包内容。</w:t>
      </w:r>
    </w:p>
    <w:p>
      <w:pPr>
        <w:wordWrap w:val="0"/>
        <w:autoSpaceDE w:val="0"/>
        <w:autoSpaceDN w:val="0"/>
        <w:adjustRightInd w:val="0"/>
        <w:ind w:left="480" w:hanging="480" w:hangingChars="200"/>
        <w:rPr>
          <w:rFonts w:ascii="宋体" w:hAnsi="宋体" w:cs="宋体"/>
          <w:kern w:val="0"/>
          <w:szCs w:val="24"/>
        </w:rPr>
      </w:pPr>
      <w:r>
        <w:rPr>
          <w:rFonts w:hint="eastAsia" w:ascii="宋体" w:hAnsi="宋体" w:cs="宋体"/>
          <w:kern w:val="0"/>
          <w:szCs w:val="24"/>
        </w:rPr>
        <w:t>4.  新成立企业应参照国务院批准的中小企业划分标准，根据企业自身情况如实判断。认为该企业属于中小企业的，可按照《政府采购促进中小企业发展管理办法》（财库﹝</w:t>
      </w:r>
      <w:r>
        <w:rPr>
          <w:rFonts w:ascii="宋体" w:hAnsi="宋体" w:cs="宋体"/>
          <w:kern w:val="0"/>
          <w:szCs w:val="24"/>
        </w:rPr>
        <w:t>2020</w:t>
      </w:r>
      <w:r>
        <w:rPr>
          <w:rFonts w:hint="eastAsia" w:ascii="宋体" w:hAnsi="宋体" w:cs="宋体"/>
          <w:kern w:val="0"/>
          <w:szCs w:val="24"/>
        </w:rPr>
        <w:t>﹞</w:t>
      </w:r>
      <w:r>
        <w:rPr>
          <w:rFonts w:ascii="宋体" w:hAnsi="宋体" w:cs="宋体"/>
          <w:kern w:val="0"/>
          <w:szCs w:val="24"/>
        </w:rPr>
        <w:t xml:space="preserve">46 </w:t>
      </w:r>
      <w:r>
        <w:rPr>
          <w:rFonts w:hint="eastAsia" w:ascii="宋体" w:hAnsi="宋体" w:cs="宋体"/>
          <w:kern w:val="0"/>
          <w:szCs w:val="24"/>
        </w:rPr>
        <w:t>号）的规定出具《中小企业声明函》，享受相关扶持政策。</w:t>
      </w:r>
    </w:p>
    <w:p>
      <w:pPr>
        <w:wordWrap/>
        <w:autoSpaceDE w:val="0"/>
        <w:autoSpaceDN w:val="0"/>
        <w:adjustRightInd w:val="0"/>
        <w:ind w:left="480" w:hanging="480" w:hangingChars="200"/>
        <w:rPr>
          <w:rFonts w:ascii="宋体" w:hAnsi="宋体" w:cs="宋体"/>
          <w:kern w:val="0"/>
          <w:szCs w:val="24"/>
        </w:rPr>
      </w:pPr>
      <w:r>
        <w:rPr>
          <w:rFonts w:hint="eastAsia" w:ascii="宋体" w:hAnsi="宋体" w:cs="宋体"/>
          <w:kern w:val="0"/>
          <w:szCs w:val="24"/>
        </w:rPr>
        <w:t>5.  报价供应商应当对其出具的《中小企业声明函》真实性负责，报价供应商出具的《中小企业声明函》内容不实的，属于提供虚假材料谋取中标（成交）。报价供应商提供其他小微企业制造的货物（货物类项目）【/承建的工程（工程类项目）或者承接的服务（服务类项目）】，希望获得《办法》规定政策支持的，应从相关其他小微企业处获得充分、准确的信息，确保出具的《中小企业声明函》真实、准确。</w:t>
      </w:r>
      <w:r>
        <w:rPr>
          <w:rFonts w:hint="eastAsia" w:ascii="宋体" w:hAnsi="宋体"/>
          <w:szCs w:val="24"/>
        </w:rPr>
        <w:t>如为货物采购项目，《中小企业声明函》应当充分、准确反映货物制造商的信息。《中小企业声明函》中相关企业[制造商、承建（承接）企业]所属行业应当与采购标的的所属行业相一致。</w:t>
      </w:r>
    </w:p>
    <w:p>
      <w:pPr>
        <w:wordWrap/>
        <w:autoSpaceDE w:val="0"/>
        <w:autoSpaceDN w:val="0"/>
        <w:adjustRightInd w:val="0"/>
        <w:ind w:left="480" w:hanging="480" w:hangingChars="200"/>
        <w:rPr>
          <w:rFonts w:ascii="宋体" w:hAnsi="宋体"/>
          <w:szCs w:val="24"/>
        </w:rPr>
      </w:pPr>
      <w:r>
        <w:rPr>
          <w:rFonts w:hint="eastAsia" w:ascii="宋体" w:hAnsi="宋体"/>
          <w:szCs w:val="24"/>
        </w:rPr>
        <w:t>6.  温馨提示：响应供应商对其出具的《中小企业声明函》的信息可以参照以下内容进行完善和规范。</w:t>
      </w:r>
    </w:p>
    <w:p>
      <w:pPr>
        <w:wordWrap/>
        <w:autoSpaceDE w:val="0"/>
        <w:autoSpaceDN w:val="0"/>
        <w:adjustRightInd w:val="0"/>
        <w:ind w:left="480" w:hanging="480" w:hangingChars="200"/>
        <w:rPr>
          <w:rFonts w:ascii="宋体" w:hAnsi="宋体"/>
          <w:szCs w:val="24"/>
        </w:rPr>
      </w:pPr>
      <w:r>
        <w:rPr>
          <w:rFonts w:hint="eastAsia" w:ascii="宋体" w:hAnsi="宋体"/>
          <w:szCs w:val="24"/>
        </w:rPr>
        <w:t>（1）对于已纳入统计部门统计范围的企业，所属行业、从业人员、营业收入、资产总额、规模类型应与统计部门报表保持一致。</w:t>
      </w:r>
    </w:p>
    <w:p>
      <w:pPr>
        <w:wordWrap/>
        <w:autoSpaceDE w:val="0"/>
        <w:autoSpaceDN w:val="0"/>
        <w:adjustRightInd w:val="0"/>
        <w:ind w:left="480" w:hanging="480" w:hangingChars="200"/>
        <w:rPr>
          <w:rFonts w:ascii="宋体" w:hAnsi="宋体"/>
          <w:szCs w:val="24"/>
        </w:rPr>
      </w:pPr>
      <w:r>
        <w:rPr>
          <w:rFonts w:hint="eastAsia" w:ascii="宋体" w:hAnsi="宋体"/>
          <w:szCs w:val="24"/>
        </w:rPr>
        <w:t>（2）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wordWrap w:val="0"/>
        <w:autoSpaceDE w:val="0"/>
        <w:autoSpaceDN w:val="0"/>
        <w:adjustRightInd w:val="0"/>
        <w:ind w:left="480" w:hanging="480" w:hangingChars="200"/>
        <w:rPr>
          <w:rFonts w:ascii="宋体" w:hAnsi="宋体"/>
          <w:b/>
          <w:spacing w:val="6"/>
          <w:szCs w:val="24"/>
        </w:rPr>
      </w:pPr>
      <w:r>
        <w:rPr>
          <w:rFonts w:hint="eastAsia" w:ascii="宋体" w:hAnsi="宋体"/>
          <w:szCs w:val="24"/>
        </w:rPr>
        <w:t>（3）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ind w:firstLine="504" w:firstLineChars="200"/>
        <w:rPr>
          <w:rFonts w:ascii="宋体" w:hAnsi="宋体"/>
          <w:spacing w:val="6"/>
          <w:szCs w:val="24"/>
        </w:rPr>
      </w:pPr>
    </w:p>
    <w:p>
      <w:pPr>
        <w:pStyle w:val="6"/>
        <w:numPr>
          <w:ilvl w:val="1"/>
          <w:numId w:val="69"/>
        </w:numPr>
        <w:tabs>
          <w:tab w:val="left" w:pos="945"/>
        </w:tabs>
        <w:ind w:left="0" w:firstLine="0"/>
        <w:rPr>
          <w:rFonts w:ascii="宋体" w:hAnsi="宋体"/>
          <w:szCs w:val="24"/>
        </w:rPr>
      </w:pPr>
      <w:bookmarkStart w:id="426" w:name="_Toc22806218"/>
      <w:r>
        <w:rPr>
          <w:rFonts w:hint="eastAsia" w:ascii="宋体" w:hAnsi="宋体"/>
          <w:szCs w:val="24"/>
        </w:rPr>
        <w:br w:type="page"/>
      </w:r>
      <w:r>
        <w:rPr>
          <w:rFonts w:hint="eastAsia" w:ascii="宋体" w:hAnsi="宋体"/>
          <w:szCs w:val="24"/>
        </w:rPr>
        <w:t>监狱企业证明文件</w:t>
      </w:r>
      <w:bookmarkEnd w:id="426"/>
      <w:r>
        <w:rPr>
          <w:rFonts w:hint="eastAsia" w:ascii="宋体" w:hAnsi="宋体"/>
          <w:szCs w:val="24"/>
        </w:rPr>
        <w:t>（如适用）</w:t>
      </w:r>
    </w:p>
    <w:p>
      <w:pPr>
        <w:jc w:val="center"/>
        <w:rPr>
          <w:rFonts w:ascii="宋体" w:hAnsi="宋体"/>
          <w:b/>
          <w:sz w:val="32"/>
          <w:szCs w:val="32"/>
        </w:rPr>
      </w:pPr>
      <w:r>
        <w:rPr>
          <w:rFonts w:hint="eastAsia" w:ascii="宋体" w:hAnsi="宋体"/>
          <w:b/>
          <w:sz w:val="32"/>
          <w:szCs w:val="32"/>
        </w:rPr>
        <w:t>监狱企业证明文件</w:t>
      </w:r>
    </w:p>
    <w:p>
      <w:pPr>
        <w:ind w:firstLine="360" w:firstLineChars="150"/>
        <w:rPr>
          <w:rFonts w:ascii="宋体" w:hAnsi="宋体"/>
          <w:szCs w:val="24"/>
        </w:rPr>
      </w:pPr>
      <w:r>
        <w:rPr>
          <w:rFonts w:hint="eastAsia" w:ascii="宋体" w:hAnsi="宋体"/>
          <w:szCs w:val="24"/>
        </w:rPr>
        <w:t>根据《财政部 司法部关于政府采购支持监狱企业发展有关问题的通知》（财库〔2014〕68号），监狱企业参加政府采购活动时，应当提供由省级以上监狱管理局、戒毒管理局（含新疆生产建设兵团）出具的属于监狱企业的证明文件复印件（加盖</w:t>
      </w:r>
      <w:r>
        <w:rPr>
          <w:rFonts w:hint="eastAsia" w:ascii="宋体" w:hAnsi="宋体"/>
          <w:b/>
          <w:szCs w:val="24"/>
        </w:rPr>
        <w:t>响应供应商</w:t>
      </w:r>
      <w:r>
        <w:rPr>
          <w:rFonts w:hint="eastAsia" w:ascii="宋体" w:hAnsi="宋体"/>
          <w:szCs w:val="24"/>
        </w:rPr>
        <w:t>公章），否则不能享受政府采购政策评审优惠。</w:t>
      </w:r>
    </w:p>
    <w:p>
      <w:pPr>
        <w:ind w:left="360"/>
        <w:rPr>
          <w:rFonts w:ascii="宋体" w:hAnsi="宋体"/>
          <w:b/>
          <w:szCs w:val="24"/>
        </w:rPr>
      </w:pPr>
      <w:r>
        <w:rPr>
          <w:rFonts w:hint="eastAsia" w:ascii="宋体" w:hAnsi="宋体"/>
          <w:b/>
          <w:szCs w:val="24"/>
        </w:rPr>
        <w:t>备注：</w:t>
      </w:r>
    </w:p>
    <w:p>
      <w:pPr>
        <w:ind w:firstLine="480" w:firstLineChars="200"/>
        <w:rPr>
          <w:rFonts w:ascii="宋体" w:hAnsi="宋体"/>
          <w:spacing w:val="6"/>
          <w:szCs w:val="24"/>
        </w:rPr>
      </w:pPr>
      <w:r>
        <w:rPr>
          <w:rFonts w:hint="eastAsia" w:ascii="宋体" w:hAnsi="宋体"/>
          <w:b/>
          <w:szCs w:val="24"/>
        </w:rPr>
        <w:t>1.</w:t>
      </w:r>
      <w:r>
        <w:rPr>
          <w:rFonts w:hint="eastAsia" w:ascii="宋体" w:hAnsi="宋体"/>
          <w:spacing w:val="6"/>
          <w:szCs w:val="24"/>
        </w:rPr>
        <w:t>联合体参加磋商的，联合体成员中有多个</w:t>
      </w:r>
      <w:r>
        <w:rPr>
          <w:rFonts w:hint="eastAsia" w:ascii="宋体" w:hAnsi="宋体"/>
          <w:szCs w:val="24"/>
        </w:rPr>
        <w:t>监狱企业的</w:t>
      </w:r>
      <w:r>
        <w:rPr>
          <w:rFonts w:hint="eastAsia" w:ascii="宋体" w:hAnsi="宋体"/>
          <w:spacing w:val="6"/>
          <w:szCs w:val="24"/>
        </w:rPr>
        <w:t>，各</w:t>
      </w:r>
      <w:r>
        <w:rPr>
          <w:rFonts w:hint="eastAsia" w:ascii="宋体" w:hAnsi="宋体"/>
          <w:szCs w:val="24"/>
        </w:rPr>
        <w:t>监狱企业</w:t>
      </w:r>
      <w:r>
        <w:rPr>
          <w:rFonts w:hint="eastAsia" w:ascii="宋体" w:hAnsi="宋体"/>
          <w:spacing w:val="6"/>
          <w:szCs w:val="24"/>
        </w:rPr>
        <w:t>分别提供证明文件复印件，均加盖供应商</w:t>
      </w:r>
      <w:r>
        <w:rPr>
          <w:rFonts w:hint="eastAsia" w:ascii="宋体" w:hAnsi="宋体"/>
          <w:szCs w:val="24"/>
        </w:rPr>
        <w:t>公章</w:t>
      </w:r>
      <w:r>
        <w:rPr>
          <w:rFonts w:hint="eastAsia" w:ascii="宋体" w:hAnsi="宋体"/>
          <w:spacing w:val="6"/>
          <w:szCs w:val="24"/>
        </w:rPr>
        <w:t>确认。</w:t>
      </w:r>
    </w:p>
    <w:p>
      <w:pPr>
        <w:ind w:firstLine="480" w:firstLineChars="200"/>
        <w:rPr>
          <w:rFonts w:ascii="宋体" w:hAnsi="宋体"/>
          <w:spacing w:val="6"/>
          <w:szCs w:val="24"/>
        </w:rPr>
      </w:pPr>
      <w:r>
        <w:rPr>
          <w:rFonts w:hint="eastAsia" w:ascii="宋体" w:hAnsi="宋体"/>
          <w:szCs w:val="24"/>
        </w:rPr>
        <w:t>2.以合同分包形式参加磋商的，成员中有多个监狱企业的，</w:t>
      </w:r>
      <w:r>
        <w:rPr>
          <w:rFonts w:hint="eastAsia" w:ascii="宋体" w:hAnsi="宋体"/>
          <w:spacing w:val="6"/>
          <w:szCs w:val="24"/>
        </w:rPr>
        <w:t>各</w:t>
      </w:r>
      <w:r>
        <w:rPr>
          <w:rFonts w:hint="eastAsia" w:ascii="宋体" w:hAnsi="宋体"/>
          <w:szCs w:val="24"/>
        </w:rPr>
        <w:t>监狱企业</w:t>
      </w:r>
      <w:r>
        <w:rPr>
          <w:rFonts w:hint="eastAsia" w:ascii="宋体" w:hAnsi="宋体"/>
          <w:spacing w:val="6"/>
          <w:szCs w:val="24"/>
        </w:rPr>
        <w:t>分别提供证明文件复印件，再按《分包意向协议》的约定加盖报价供应商</w:t>
      </w:r>
      <w:r>
        <w:rPr>
          <w:rFonts w:hint="eastAsia" w:ascii="宋体" w:hAnsi="宋体"/>
          <w:szCs w:val="24"/>
        </w:rPr>
        <w:t>公章</w:t>
      </w:r>
      <w:r>
        <w:rPr>
          <w:rFonts w:hint="eastAsia" w:ascii="宋体" w:hAnsi="宋体"/>
          <w:spacing w:val="6"/>
          <w:szCs w:val="24"/>
        </w:rPr>
        <w:t>确认。</w:t>
      </w:r>
    </w:p>
    <w:p>
      <w:pPr>
        <w:rPr>
          <w:rFonts w:ascii="宋体" w:hAnsi="宋体"/>
          <w:szCs w:val="24"/>
        </w:rPr>
      </w:pPr>
    </w:p>
    <w:p>
      <w:pPr>
        <w:pStyle w:val="6"/>
        <w:numPr>
          <w:ilvl w:val="1"/>
          <w:numId w:val="69"/>
        </w:numPr>
        <w:tabs>
          <w:tab w:val="left" w:pos="945"/>
        </w:tabs>
        <w:ind w:left="0" w:firstLine="0"/>
        <w:rPr>
          <w:rFonts w:ascii="宋体" w:hAnsi="宋体"/>
          <w:szCs w:val="24"/>
        </w:rPr>
      </w:pPr>
      <w:bookmarkStart w:id="427" w:name="_Toc22806219"/>
      <w:r>
        <w:rPr>
          <w:rFonts w:hint="eastAsia" w:ascii="宋体" w:hAnsi="宋体"/>
          <w:szCs w:val="24"/>
        </w:rPr>
        <w:t>残疾人福利性单位声明</w:t>
      </w:r>
      <w:bookmarkEnd w:id="427"/>
      <w:r>
        <w:rPr>
          <w:rFonts w:hint="eastAsia" w:ascii="宋体" w:hAnsi="宋体"/>
          <w:szCs w:val="24"/>
        </w:rPr>
        <w:t>（如适用）</w:t>
      </w:r>
    </w:p>
    <w:p>
      <w:pPr>
        <w:jc w:val="center"/>
        <w:rPr>
          <w:rFonts w:ascii="宋体" w:hAnsi="宋体"/>
          <w:b/>
          <w:sz w:val="32"/>
          <w:szCs w:val="32"/>
        </w:rPr>
      </w:pPr>
      <w:r>
        <w:rPr>
          <w:rFonts w:hint="eastAsia" w:ascii="宋体" w:hAnsi="宋体"/>
          <w:b/>
          <w:sz w:val="32"/>
          <w:szCs w:val="32"/>
        </w:rPr>
        <w:t>残疾人福利性单位声明函</w:t>
      </w:r>
    </w:p>
    <w:p>
      <w:pPr>
        <w:ind w:firstLine="480" w:firstLineChars="200"/>
        <w:rPr>
          <w:rFonts w:ascii="宋体" w:hAnsi="宋体"/>
          <w:szCs w:val="24"/>
        </w:rPr>
      </w:pPr>
      <w:r>
        <w:rPr>
          <w:rFonts w:hint="eastAsia" w:ascii="宋体" w:hAnsi="宋体"/>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i/>
          <w:szCs w:val="24"/>
          <w:u w:val="single"/>
        </w:rPr>
        <w:t>（采购人名称）</w:t>
      </w:r>
      <w:r>
        <w:rPr>
          <w:rFonts w:hint="eastAsia" w:ascii="宋体" w:hAnsi="宋体"/>
          <w:szCs w:val="24"/>
        </w:rPr>
        <w:t>单位的</w:t>
      </w:r>
      <w:r>
        <w:rPr>
          <w:rFonts w:hint="eastAsia" w:ascii="宋体" w:hAnsi="宋体"/>
          <w:szCs w:val="24"/>
          <w:u w:val="single"/>
        </w:rPr>
        <w:t>2026-2027年广州白云机场海关南1、2号楼物业管理服务</w:t>
      </w:r>
      <w:r>
        <w:rPr>
          <w:rFonts w:hint="eastAsia" w:ascii="宋体" w:hAnsi="宋体"/>
          <w:szCs w:val="24"/>
        </w:rPr>
        <w:t>采购活动提供本单位制造的货物（由本单位承担工程/提供服务），或者提供其他残疾人福利性单位制造的货物（不包括使用非残疾人福利性单位注册商标的货物）。</w:t>
      </w:r>
    </w:p>
    <w:p>
      <w:pPr>
        <w:ind w:firstLine="480" w:firstLineChars="200"/>
        <w:rPr>
          <w:rFonts w:ascii="宋体" w:hAnsi="宋体"/>
          <w:szCs w:val="24"/>
        </w:rPr>
      </w:pPr>
      <w:r>
        <w:rPr>
          <w:rFonts w:hint="eastAsia" w:ascii="宋体" w:hAnsi="宋体"/>
          <w:szCs w:val="24"/>
        </w:rPr>
        <w:t>本单位对上述声明的真实性负责。如有虚假，将依法承担相应责任。</w:t>
      </w:r>
    </w:p>
    <w:p>
      <w:pPr>
        <w:wordWrap w:val="0"/>
        <w:autoSpaceDE w:val="0"/>
        <w:autoSpaceDN w:val="0"/>
        <w:rPr>
          <w:rFonts w:ascii="宋体" w:hAnsi="宋体"/>
          <w:szCs w:val="24"/>
        </w:rPr>
      </w:pPr>
      <w:r>
        <w:rPr>
          <w:rFonts w:hint="eastAsia" w:ascii="宋体" w:hAnsi="宋体"/>
          <w:szCs w:val="24"/>
        </w:rPr>
        <w:t>单位名称（加盖公章）：</w:t>
      </w:r>
      <w:r>
        <w:rPr>
          <w:rFonts w:hint="eastAsia" w:ascii="宋体" w:hAnsi="宋体"/>
          <w:szCs w:val="24"/>
          <w:u w:val="single"/>
        </w:rPr>
        <w:t xml:space="preserve">  </w:t>
      </w:r>
      <w:r>
        <w:rPr>
          <w:rFonts w:hint="eastAsia" w:ascii="宋体" w:hAnsi="宋体"/>
          <w:i/>
          <w:szCs w:val="24"/>
          <w:u w:val="single"/>
        </w:rPr>
        <w:t>（单位名称为出具声明函的单位名称，并盖该单位公章）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wordWrap/>
        <w:autoSpaceDE w:val="0"/>
        <w:autoSpaceDN w:val="0"/>
        <w:spacing w:line="240" w:lineRule="auto"/>
        <w:rPr>
          <w:rFonts w:ascii="宋体" w:hAnsi="宋体"/>
          <w:b/>
          <w:szCs w:val="24"/>
        </w:rPr>
      </w:pPr>
      <w:r>
        <w:rPr>
          <w:rFonts w:hint="eastAsia" w:ascii="宋体" w:hAnsi="宋体"/>
          <w:b/>
          <w:szCs w:val="24"/>
        </w:rPr>
        <w:t>备注：</w:t>
      </w:r>
    </w:p>
    <w:p>
      <w:pPr>
        <w:wordWrap/>
        <w:autoSpaceDE w:val="0"/>
        <w:autoSpaceDN w:val="0"/>
        <w:spacing w:line="240" w:lineRule="auto"/>
        <w:ind w:firstLine="480" w:firstLineChars="200"/>
        <w:rPr>
          <w:rFonts w:ascii="宋体" w:hAnsi="宋体"/>
          <w:szCs w:val="24"/>
        </w:rPr>
      </w:pPr>
      <w:r>
        <w:rPr>
          <w:rFonts w:hint="eastAsia" w:ascii="宋体" w:hAnsi="宋体"/>
          <w:szCs w:val="24"/>
        </w:rPr>
        <w:t xml:space="preserve">1.成交候选供应商为残疾人福利性单位的，将会随成交结果同时公告其《残疾人福利性单位声明函》，接受社会监督。 </w:t>
      </w:r>
    </w:p>
    <w:p>
      <w:pPr>
        <w:wordWrap/>
        <w:autoSpaceDE w:val="0"/>
        <w:autoSpaceDN w:val="0"/>
        <w:spacing w:line="240" w:lineRule="auto"/>
        <w:ind w:firstLine="480" w:firstLineChars="200"/>
        <w:rPr>
          <w:rFonts w:ascii="宋体" w:hAnsi="宋体"/>
          <w:szCs w:val="24"/>
        </w:rPr>
      </w:pPr>
      <w:r>
        <w:rPr>
          <w:rFonts w:hint="eastAsia" w:ascii="宋体" w:hAnsi="宋体"/>
          <w:szCs w:val="24"/>
        </w:rPr>
        <w:t>2.提供的《残疾人福利性单位声明函》与事实不符的，依照《中华人民共和国政府采购法》第七十七条第一款的规定追究法律责任。</w:t>
      </w:r>
    </w:p>
    <w:p>
      <w:pPr>
        <w:wordWrap/>
        <w:autoSpaceDE w:val="0"/>
        <w:autoSpaceDN w:val="0"/>
        <w:spacing w:line="240" w:lineRule="auto"/>
        <w:ind w:firstLine="480" w:firstLineChars="200"/>
        <w:rPr>
          <w:rFonts w:ascii="宋体" w:hAnsi="宋体"/>
          <w:spacing w:val="6"/>
          <w:szCs w:val="24"/>
        </w:rPr>
      </w:pPr>
      <w:r>
        <w:rPr>
          <w:rFonts w:hint="eastAsia" w:ascii="宋体" w:hAnsi="宋体"/>
          <w:szCs w:val="24"/>
        </w:rPr>
        <w:t>3.</w:t>
      </w:r>
      <w:r>
        <w:rPr>
          <w:rFonts w:hint="eastAsia" w:ascii="宋体" w:hAnsi="宋体"/>
          <w:spacing w:val="6"/>
          <w:szCs w:val="24"/>
        </w:rPr>
        <w:t>联合体参加磋商的，联合体成员中有多个</w:t>
      </w:r>
      <w:r>
        <w:rPr>
          <w:rFonts w:hint="eastAsia" w:ascii="宋体" w:hAnsi="宋体"/>
          <w:szCs w:val="24"/>
        </w:rPr>
        <w:t>残疾人福利性单位</w:t>
      </w:r>
      <w:r>
        <w:rPr>
          <w:rFonts w:hint="eastAsia" w:ascii="宋体" w:hAnsi="宋体"/>
          <w:spacing w:val="6"/>
          <w:szCs w:val="24"/>
        </w:rPr>
        <w:t>的，各</w:t>
      </w:r>
      <w:r>
        <w:rPr>
          <w:rFonts w:hint="eastAsia" w:ascii="宋体" w:hAnsi="宋体"/>
          <w:szCs w:val="24"/>
        </w:rPr>
        <w:t>残疾人福利性单位</w:t>
      </w:r>
      <w:r>
        <w:rPr>
          <w:rFonts w:hint="eastAsia" w:ascii="宋体" w:hAnsi="宋体"/>
          <w:spacing w:val="6"/>
          <w:szCs w:val="24"/>
        </w:rPr>
        <w:t>分别提供《残疾人福利性单位声明函》（由各</w:t>
      </w:r>
      <w:r>
        <w:rPr>
          <w:rFonts w:hint="eastAsia" w:ascii="宋体" w:hAnsi="宋体"/>
          <w:szCs w:val="24"/>
        </w:rPr>
        <w:t>残疾人福利性单位</w:t>
      </w:r>
      <w:r>
        <w:rPr>
          <w:rFonts w:hint="eastAsia" w:ascii="宋体" w:hAnsi="宋体"/>
          <w:spacing w:val="6"/>
          <w:szCs w:val="24"/>
        </w:rPr>
        <w:t>盖章确认）。</w:t>
      </w:r>
    </w:p>
    <w:p>
      <w:pPr>
        <w:wordWrap/>
        <w:autoSpaceDE w:val="0"/>
        <w:autoSpaceDN w:val="0"/>
        <w:spacing w:line="240" w:lineRule="auto"/>
        <w:ind w:firstLine="480" w:firstLineChars="200"/>
        <w:rPr>
          <w:rFonts w:ascii="宋体" w:hAnsi="宋体"/>
          <w:szCs w:val="24"/>
        </w:rPr>
      </w:pPr>
      <w:r>
        <w:rPr>
          <w:rFonts w:hint="eastAsia" w:ascii="宋体" w:hAnsi="宋体"/>
          <w:szCs w:val="24"/>
        </w:rPr>
        <w:t>4.以合同分包形式报价</w:t>
      </w:r>
      <w:r>
        <w:rPr>
          <w:rFonts w:hint="eastAsia" w:ascii="宋体" w:hAnsi="宋体"/>
          <w:spacing w:val="6"/>
          <w:szCs w:val="24"/>
        </w:rPr>
        <w:t>的，成员中有多个</w:t>
      </w:r>
      <w:r>
        <w:rPr>
          <w:rFonts w:hint="eastAsia" w:ascii="宋体" w:hAnsi="宋体"/>
          <w:szCs w:val="24"/>
        </w:rPr>
        <w:t>残疾人福利性单位</w:t>
      </w:r>
      <w:r>
        <w:rPr>
          <w:rFonts w:hint="eastAsia" w:ascii="宋体" w:hAnsi="宋体"/>
          <w:spacing w:val="6"/>
          <w:szCs w:val="24"/>
        </w:rPr>
        <w:t>的，各</w:t>
      </w:r>
      <w:r>
        <w:rPr>
          <w:rFonts w:hint="eastAsia" w:ascii="宋体" w:hAnsi="宋体"/>
          <w:szCs w:val="24"/>
        </w:rPr>
        <w:t>残疾人福利性单位</w:t>
      </w:r>
      <w:r>
        <w:rPr>
          <w:rFonts w:hint="eastAsia" w:ascii="宋体" w:hAnsi="宋体"/>
          <w:spacing w:val="6"/>
          <w:szCs w:val="24"/>
        </w:rPr>
        <w:t>分别提供《残疾人福利性单位声明函》（由各</w:t>
      </w:r>
      <w:r>
        <w:rPr>
          <w:rFonts w:hint="eastAsia" w:ascii="宋体" w:hAnsi="宋体"/>
          <w:szCs w:val="24"/>
        </w:rPr>
        <w:t>残疾人福利性单位</w:t>
      </w:r>
      <w:r>
        <w:rPr>
          <w:rFonts w:hint="eastAsia" w:ascii="宋体" w:hAnsi="宋体"/>
          <w:spacing w:val="6"/>
          <w:szCs w:val="24"/>
        </w:rPr>
        <w:t>盖章确认）。</w:t>
      </w:r>
    </w:p>
    <w:p>
      <w:pPr>
        <w:pStyle w:val="5"/>
        <w:numPr>
          <w:ilvl w:val="0"/>
          <w:numId w:val="69"/>
        </w:numPr>
        <w:tabs>
          <w:tab w:val="left" w:pos="945"/>
        </w:tabs>
        <w:spacing w:before="0" w:after="0" w:line="360" w:lineRule="auto"/>
        <w:ind w:left="0" w:firstLine="0"/>
        <w:rPr>
          <w:sz w:val="28"/>
          <w:szCs w:val="28"/>
        </w:rPr>
      </w:pPr>
      <w:bookmarkStart w:id="428" w:name="_Toc55398765"/>
      <w:bookmarkStart w:id="429" w:name="_Toc22806220"/>
      <w:bookmarkStart w:id="430" w:name="_Toc56180359"/>
      <w:bookmarkStart w:id="431" w:name="_Toc50460253"/>
      <w:r>
        <w:rPr>
          <w:rFonts w:hint="eastAsia"/>
          <w:sz w:val="28"/>
          <w:szCs w:val="28"/>
        </w:rPr>
        <w:br w:type="page"/>
      </w:r>
      <w:r>
        <w:rPr>
          <w:rFonts w:hint="eastAsia"/>
          <w:sz w:val="28"/>
          <w:szCs w:val="28"/>
        </w:rPr>
        <w:t>采购代理服务费支付承诺书</w:t>
      </w:r>
      <w:bookmarkEnd w:id="428"/>
      <w:bookmarkEnd w:id="429"/>
      <w:bookmarkEnd w:id="430"/>
      <w:bookmarkEnd w:id="431"/>
    </w:p>
    <w:p>
      <w:pPr>
        <w:jc w:val="center"/>
        <w:rPr>
          <w:rFonts w:ascii="宋体" w:hAnsi="宋体"/>
          <w:b/>
          <w:sz w:val="32"/>
          <w:szCs w:val="32"/>
        </w:rPr>
      </w:pPr>
      <w:r>
        <w:rPr>
          <w:rFonts w:hint="eastAsia" w:ascii="宋体" w:hAnsi="宋体"/>
          <w:b/>
          <w:sz w:val="32"/>
          <w:szCs w:val="32"/>
        </w:rPr>
        <w:t>采购代理服务费支付承诺书</w:t>
      </w:r>
    </w:p>
    <w:p>
      <w:pPr>
        <w:rPr>
          <w:rFonts w:ascii="宋体" w:hAnsi="宋体"/>
          <w:szCs w:val="24"/>
        </w:rPr>
      </w:pPr>
    </w:p>
    <w:p>
      <w:pPr>
        <w:rPr>
          <w:rFonts w:ascii="宋体" w:hAnsi="宋体"/>
          <w:b/>
          <w:szCs w:val="24"/>
        </w:rPr>
      </w:pPr>
      <w:r>
        <w:rPr>
          <w:rFonts w:hint="eastAsia" w:ascii="宋体" w:hAnsi="宋体"/>
          <w:szCs w:val="24"/>
        </w:rPr>
        <w:t>致：</w:t>
      </w:r>
      <w:r>
        <w:rPr>
          <w:rFonts w:hint="eastAsia" w:ascii="宋体" w:hAnsi="宋体"/>
          <w:b/>
          <w:szCs w:val="24"/>
        </w:rPr>
        <w:t>广东华伦招标有限公司</w:t>
      </w:r>
    </w:p>
    <w:p>
      <w:pPr>
        <w:rPr>
          <w:rFonts w:ascii="宋体" w:hAnsi="宋体"/>
          <w:szCs w:val="24"/>
        </w:rPr>
      </w:pPr>
    </w:p>
    <w:p>
      <w:pPr>
        <w:ind w:firstLine="480" w:firstLineChars="200"/>
        <w:rPr>
          <w:rFonts w:ascii="宋体" w:hAnsi="宋体"/>
          <w:szCs w:val="24"/>
        </w:rPr>
      </w:pPr>
      <w:r>
        <w:rPr>
          <w:rFonts w:hint="eastAsia" w:ascii="宋体" w:hAnsi="宋体"/>
          <w:szCs w:val="24"/>
        </w:rPr>
        <w:t>如果我方在贵公司组织的</w:t>
      </w:r>
      <w:r>
        <w:rPr>
          <w:rFonts w:hint="eastAsia" w:ascii="宋体" w:hAnsi="宋体"/>
          <w:kern w:val="28"/>
          <w:szCs w:val="24"/>
          <w:u w:val="single"/>
        </w:rPr>
        <w:t>2026-2027年广州白云机场海关南1、2号楼物业管理服务竞争性磋商</w:t>
      </w:r>
      <w:r>
        <w:rPr>
          <w:rFonts w:hint="eastAsia" w:ascii="宋体" w:hAnsi="宋体"/>
          <w:szCs w:val="24"/>
        </w:rPr>
        <w:t>中获成交（采购文件编号：</w:t>
      </w:r>
      <w:r>
        <w:rPr>
          <w:rFonts w:hint="eastAsia" w:ascii="宋体" w:hAnsi="宋体"/>
          <w:szCs w:val="24"/>
          <w:u w:val="single"/>
        </w:rPr>
        <w:t>0809-25401GJC302013801</w:t>
      </w:r>
      <w:r>
        <w:rPr>
          <w:rFonts w:hint="eastAsia" w:ascii="宋体" w:hAnsi="宋体"/>
          <w:szCs w:val="24"/>
        </w:rPr>
        <w:t>），我方保证在收取《成交通知书》前，按磋商文件规定向贵公司交纳采购代理服务费。</w:t>
      </w:r>
    </w:p>
    <w:p>
      <w:pPr>
        <w:ind w:firstLine="480" w:firstLineChars="200"/>
        <w:rPr>
          <w:rFonts w:ascii="宋体" w:hAnsi="宋体"/>
          <w:szCs w:val="24"/>
        </w:rPr>
      </w:pPr>
      <w:r>
        <w:rPr>
          <w:rFonts w:hint="eastAsia" w:ascii="宋体" w:hAnsi="宋体"/>
          <w:szCs w:val="24"/>
        </w:rPr>
        <w:t>我方如违约，愿凭贵公司开出的违约通知，由采购人从我方提交的磋商保证金中支付，不足部分由采购人在支付我方的成交合同款中代为扣付；以响应保函或担保函或保证保险函方式提交磋商保证金时，我方同意和要求相应的</w:t>
      </w:r>
      <w:r>
        <w:rPr>
          <w:rFonts w:hint="eastAsia" w:ascii="宋体" w:hAnsi="宋体" w:cs="宋体"/>
          <w:kern w:val="0"/>
          <w:szCs w:val="24"/>
        </w:rPr>
        <w:t>金融机构、担保公司或保险机构</w:t>
      </w:r>
      <w:r>
        <w:rPr>
          <w:rFonts w:hint="eastAsia" w:ascii="宋体" w:hAnsi="宋体"/>
          <w:szCs w:val="24"/>
        </w:rPr>
        <w:t>应</w:t>
      </w:r>
      <w:r>
        <w:rPr>
          <w:rFonts w:hint="eastAsia" w:ascii="宋体" w:hAnsi="宋体"/>
          <w:b/>
          <w:szCs w:val="24"/>
        </w:rPr>
        <w:t>广东华伦招标有限公司</w:t>
      </w:r>
      <w:r>
        <w:rPr>
          <w:rFonts w:hint="eastAsia" w:ascii="宋体" w:hAnsi="宋体"/>
          <w:szCs w:val="24"/>
        </w:rPr>
        <w:t>的要求办理支付手续；如项目不需要缴纳磋商保证金的，由采购人在支付我方的成交合同款中代为扣付。</w:t>
      </w:r>
    </w:p>
    <w:p>
      <w:pPr>
        <w:ind w:firstLine="405"/>
        <w:rPr>
          <w:rFonts w:ascii="宋体" w:hAnsi="宋体"/>
          <w:szCs w:val="24"/>
        </w:rPr>
      </w:pPr>
      <w:r>
        <w:rPr>
          <w:rFonts w:hint="eastAsia" w:ascii="宋体" w:hAnsi="宋体"/>
          <w:szCs w:val="24"/>
        </w:rPr>
        <w:t>特此承诺！</w:t>
      </w:r>
    </w:p>
    <w:p>
      <w:pPr>
        <w:rPr>
          <w:rFonts w:ascii="宋体" w:hAnsi="宋体"/>
          <w:szCs w:val="24"/>
        </w:rPr>
      </w:pPr>
    </w:p>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pStyle w:val="4"/>
        <w:numPr>
          <w:ilvl w:val="0"/>
          <w:numId w:val="59"/>
        </w:numPr>
        <w:tabs>
          <w:tab w:val="left" w:pos="945"/>
        </w:tabs>
        <w:spacing w:before="0" w:after="0" w:line="360" w:lineRule="auto"/>
        <w:ind w:left="980" w:hanging="980" w:hangingChars="350"/>
        <w:rPr>
          <w:rFonts w:ascii="宋体" w:hAnsi="宋体"/>
          <w:sz w:val="28"/>
          <w:szCs w:val="28"/>
        </w:rPr>
      </w:pPr>
      <w:bookmarkStart w:id="432" w:name="_Toc56180360"/>
      <w:bookmarkStart w:id="433" w:name="_Toc22806221"/>
      <w:bookmarkStart w:id="434" w:name="_Toc55398766"/>
      <w:bookmarkStart w:id="435" w:name="_Toc50460254"/>
      <w:r>
        <w:rPr>
          <w:rFonts w:hint="eastAsia" w:ascii="宋体" w:hAnsi="宋体"/>
          <w:sz w:val="28"/>
          <w:szCs w:val="28"/>
        </w:rPr>
        <w:t>技术/服务文件</w:t>
      </w:r>
      <w:bookmarkEnd w:id="432"/>
      <w:bookmarkEnd w:id="433"/>
      <w:bookmarkEnd w:id="434"/>
      <w:bookmarkEnd w:id="435"/>
    </w:p>
    <w:p>
      <w:pPr>
        <w:pStyle w:val="5"/>
        <w:numPr>
          <w:ilvl w:val="0"/>
          <w:numId w:val="69"/>
        </w:numPr>
        <w:tabs>
          <w:tab w:val="left" w:pos="945"/>
        </w:tabs>
        <w:spacing w:before="0" w:after="0" w:line="360" w:lineRule="auto"/>
        <w:ind w:left="0" w:firstLine="0"/>
        <w:rPr>
          <w:sz w:val="28"/>
          <w:szCs w:val="28"/>
        </w:rPr>
      </w:pPr>
      <w:bookmarkStart w:id="436" w:name="_Toc55398767"/>
      <w:bookmarkStart w:id="437" w:name="_Toc22806222"/>
      <w:bookmarkStart w:id="438" w:name="_Toc50460255"/>
      <w:bookmarkStart w:id="439" w:name="_Toc56180361"/>
      <w:r>
        <w:rPr>
          <w:rFonts w:hint="eastAsia"/>
          <w:sz w:val="28"/>
          <w:szCs w:val="28"/>
        </w:rPr>
        <w:t>技术/服务条款响应表</w:t>
      </w:r>
      <w:bookmarkEnd w:id="436"/>
      <w:bookmarkEnd w:id="437"/>
      <w:bookmarkEnd w:id="438"/>
      <w:bookmarkEnd w:id="439"/>
    </w:p>
    <w:p>
      <w:pPr>
        <w:wordWrap w:val="0"/>
        <w:autoSpaceDE w:val="0"/>
        <w:autoSpaceDN w:val="0"/>
        <w:jc w:val="center"/>
        <w:rPr>
          <w:rFonts w:ascii="宋体" w:hAnsi="宋体"/>
          <w:b/>
          <w:sz w:val="32"/>
          <w:szCs w:val="32"/>
        </w:rPr>
      </w:pPr>
      <w:r>
        <w:rPr>
          <w:rFonts w:hint="eastAsia" w:ascii="宋体" w:hAnsi="宋体"/>
          <w:b/>
          <w:sz w:val="32"/>
          <w:szCs w:val="32"/>
        </w:rPr>
        <w:t>技术/服务条款响应表</w:t>
      </w:r>
    </w:p>
    <w:p>
      <w:pPr>
        <w:wordWrap w:val="0"/>
        <w:autoSpaceDE w:val="0"/>
        <w:autoSpaceDN w:val="0"/>
        <w:rPr>
          <w:rFonts w:ascii="宋体" w:hAnsi="宋体"/>
          <w:szCs w:val="24"/>
        </w:rPr>
      </w:pPr>
    </w:p>
    <w:p>
      <w:pPr>
        <w:ind w:left="808" w:hanging="808" w:hangingChars="337"/>
        <w:rPr>
          <w:rFonts w:ascii="宋体" w:hAnsi="宋体"/>
          <w:szCs w:val="24"/>
        </w:rPr>
      </w:pPr>
      <w:r>
        <w:rPr>
          <w:rFonts w:hint="eastAsia" w:ascii="宋体" w:hAnsi="宋体"/>
          <w:szCs w:val="24"/>
        </w:rPr>
        <w:t>采购项目名称：2026-2027年广州白云机场海关南1、2号楼物业管理服务</w:t>
      </w:r>
    </w:p>
    <w:p>
      <w:pPr>
        <w:ind w:left="808" w:hanging="808" w:hangingChars="337"/>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377"/>
        <w:gridCol w:w="2126"/>
        <w:gridCol w:w="1560"/>
        <w:gridCol w:w="1417"/>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wordWrap w:val="0"/>
              <w:autoSpaceDE w:val="0"/>
              <w:autoSpaceDN w:val="0"/>
              <w:jc w:val="center"/>
              <w:rPr>
                <w:rFonts w:ascii="宋体" w:hAnsi="宋体"/>
                <w:szCs w:val="24"/>
              </w:rPr>
            </w:pPr>
            <w:r>
              <w:rPr>
                <w:rFonts w:hint="eastAsia" w:ascii="宋体" w:hAnsi="宋体"/>
                <w:szCs w:val="24"/>
              </w:rPr>
              <w:t>序号</w:t>
            </w:r>
          </w:p>
        </w:tc>
        <w:tc>
          <w:tcPr>
            <w:tcW w:w="2377" w:type="dxa"/>
            <w:vAlign w:val="center"/>
          </w:tcPr>
          <w:p>
            <w:pPr>
              <w:wordWrap w:val="0"/>
              <w:autoSpaceDE w:val="0"/>
              <w:autoSpaceDN w:val="0"/>
              <w:jc w:val="center"/>
              <w:rPr>
                <w:rFonts w:ascii="宋体" w:hAnsi="宋体"/>
                <w:szCs w:val="24"/>
              </w:rPr>
            </w:pPr>
            <w:r>
              <w:rPr>
                <w:rFonts w:hint="eastAsia" w:ascii="宋体" w:hAnsi="宋体"/>
                <w:szCs w:val="24"/>
              </w:rPr>
              <w:t>磋商文件技术/服务条款要求</w:t>
            </w:r>
          </w:p>
        </w:tc>
        <w:tc>
          <w:tcPr>
            <w:tcW w:w="2126" w:type="dxa"/>
            <w:vAlign w:val="center"/>
          </w:tcPr>
          <w:p>
            <w:pPr>
              <w:wordWrap w:val="0"/>
              <w:autoSpaceDE w:val="0"/>
              <w:autoSpaceDN w:val="0"/>
              <w:jc w:val="center"/>
              <w:rPr>
                <w:rFonts w:ascii="宋体" w:hAnsi="宋体"/>
                <w:szCs w:val="24"/>
              </w:rPr>
            </w:pPr>
            <w:r>
              <w:rPr>
                <w:rFonts w:hint="eastAsia" w:ascii="宋体" w:hAnsi="宋体"/>
                <w:szCs w:val="24"/>
              </w:rPr>
              <w:t>响应文件技术/服务条款响应</w:t>
            </w:r>
          </w:p>
        </w:tc>
        <w:tc>
          <w:tcPr>
            <w:tcW w:w="1560" w:type="dxa"/>
            <w:vAlign w:val="center"/>
          </w:tcPr>
          <w:p>
            <w:pPr>
              <w:wordWrap w:val="0"/>
              <w:autoSpaceDE w:val="0"/>
              <w:autoSpaceDN w:val="0"/>
              <w:jc w:val="center"/>
              <w:rPr>
                <w:rFonts w:ascii="宋体" w:hAnsi="宋体"/>
                <w:szCs w:val="24"/>
              </w:rPr>
            </w:pPr>
            <w:r>
              <w:rPr>
                <w:rFonts w:hint="eastAsia" w:ascii="宋体" w:hAnsi="宋体"/>
                <w:szCs w:val="24"/>
              </w:rPr>
              <w:t>响应状态（正/负/无偏离）</w:t>
            </w:r>
          </w:p>
        </w:tc>
        <w:tc>
          <w:tcPr>
            <w:tcW w:w="1417" w:type="dxa"/>
            <w:vAlign w:val="center"/>
          </w:tcPr>
          <w:p>
            <w:pPr>
              <w:wordWrap w:val="0"/>
              <w:autoSpaceDE w:val="0"/>
              <w:autoSpaceDN w:val="0"/>
              <w:jc w:val="center"/>
              <w:rPr>
                <w:rFonts w:ascii="宋体" w:hAnsi="宋体"/>
                <w:szCs w:val="24"/>
              </w:rPr>
            </w:pPr>
            <w:r>
              <w:rPr>
                <w:rFonts w:hint="eastAsia" w:ascii="宋体" w:hAnsi="宋体"/>
                <w:szCs w:val="24"/>
              </w:rPr>
              <w:t>偏离说明</w:t>
            </w:r>
          </w:p>
        </w:tc>
        <w:tc>
          <w:tcPr>
            <w:tcW w:w="1212" w:type="dxa"/>
          </w:tcPr>
          <w:p>
            <w:pPr>
              <w:wordWrap w:val="0"/>
              <w:autoSpaceDE w:val="0"/>
              <w:autoSpaceDN w:val="0"/>
              <w:jc w:val="center"/>
              <w:rPr>
                <w:rFonts w:ascii="宋体" w:hAnsi="宋体"/>
                <w:szCs w:val="21"/>
              </w:rPr>
            </w:pPr>
            <w:r>
              <w:rPr>
                <w:rFonts w:hint="eastAsia" w:ascii="宋体" w:hAnsi="宋体"/>
                <w:szCs w:val="21"/>
              </w:rPr>
              <w:t>响应文件响应页码（如有）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wordWrap w:val="0"/>
              <w:autoSpaceDE w:val="0"/>
              <w:autoSpaceDN w:val="0"/>
              <w:jc w:val="center"/>
              <w:rPr>
                <w:rFonts w:ascii="宋体" w:hAnsi="宋体"/>
                <w:szCs w:val="24"/>
              </w:rPr>
            </w:pPr>
          </w:p>
        </w:tc>
        <w:tc>
          <w:tcPr>
            <w:tcW w:w="237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126"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6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212" w:type="dxa"/>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wordWrap w:val="0"/>
              <w:autoSpaceDE w:val="0"/>
              <w:autoSpaceDN w:val="0"/>
              <w:jc w:val="center"/>
              <w:rPr>
                <w:rFonts w:ascii="宋体" w:hAnsi="宋体"/>
                <w:szCs w:val="24"/>
              </w:rPr>
            </w:pPr>
          </w:p>
        </w:tc>
        <w:tc>
          <w:tcPr>
            <w:tcW w:w="237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126"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6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212" w:type="dxa"/>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vAlign w:val="center"/>
          </w:tcPr>
          <w:p>
            <w:pPr>
              <w:wordWrap w:val="0"/>
              <w:autoSpaceDE w:val="0"/>
              <w:autoSpaceDN w:val="0"/>
              <w:jc w:val="center"/>
              <w:rPr>
                <w:rFonts w:ascii="宋体" w:hAnsi="宋体"/>
                <w:szCs w:val="24"/>
              </w:rPr>
            </w:pPr>
          </w:p>
        </w:tc>
        <w:tc>
          <w:tcPr>
            <w:tcW w:w="237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126"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6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212" w:type="dxa"/>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wordWrap w:val="0"/>
              <w:autoSpaceDE w:val="0"/>
              <w:autoSpaceDN w:val="0"/>
              <w:jc w:val="center"/>
              <w:rPr>
                <w:rFonts w:ascii="宋体" w:hAnsi="宋体"/>
                <w:szCs w:val="24"/>
              </w:rPr>
            </w:pPr>
          </w:p>
        </w:tc>
        <w:tc>
          <w:tcPr>
            <w:tcW w:w="237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126"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6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212" w:type="dxa"/>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wordWrap w:val="0"/>
              <w:autoSpaceDE w:val="0"/>
              <w:autoSpaceDN w:val="0"/>
              <w:jc w:val="center"/>
              <w:rPr>
                <w:rFonts w:ascii="宋体" w:hAnsi="宋体"/>
                <w:szCs w:val="24"/>
              </w:rPr>
            </w:pPr>
          </w:p>
        </w:tc>
        <w:tc>
          <w:tcPr>
            <w:tcW w:w="237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126"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6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212" w:type="dxa"/>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wordWrap w:val="0"/>
              <w:autoSpaceDE w:val="0"/>
              <w:autoSpaceDN w:val="0"/>
              <w:jc w:val="center"/>
              <w:rPr>
                <w:rFonts w:ascii="宋体" w:hAnsi="宋体"/>
                <w:szCs w:val="24"/>
              </w:rPr>
            </w:pPr>
            <w:r>
              <w:rPr>
                <w:rFonts w:ascii="宋体" w:hAnsi="宋体"/>
                <w:szCs w:val="24"/>
              </w:rPr>
              <w:t>……</w:t>
            </w:r>
          </w:p>
        </w:tc>
        <w:tc>
          <w:tcPr>
            <w:tcW w:w="237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126"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60"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212" w:type="dxa"/>
          </w:tcPr>
          <w:p>
            <w:pPr>
              <w:wordWrap w:val="0"/>
              <w:autoSpaceDE w:val="0"/>
              <w:autoSpaceDN w:val="0"/>
              <w:jc w:val="center"/>
              <w:rPr>
                <w:rFonts w:ascii="宋体" w:hAnsi="宋体"/>
                <w:szCs w:val="24"/>
              </w:rPr>
            </w:pPr>
          </w:p>
        </w:tc>
      </w:tr>
    </w:tbl>
    <w:p>
      <w:pPr>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rPr>
          <w:rFonts w:ascii="宋体" w:hAnsi="宋体"/>
          <w:szCs w:val="24"/>
        </w:rPr>
      </w:pPr>
    </w:p>
    <w:p>
      <w:pPr>
        <w:rPr>
          <w:rFonts w:ascii="宋体" w:hAnsi="宋体"/>
          <w:b/>
          <w:szCs w:val="24"/>
        </w:rPr>
      </w:pPr>
      <w:r>
        <w:rPr>
          <w:rFonts w:hint="eastAsia" w:ascii="宋体" w:hAnsi="宋体"/>
          <w:b/>
          <w:szCs w:val="24"/>
        </w:rPr>
        <w:t>备注：</w:t>
      </w:r>
    </w:p>
    <w:p>
      <w:pPr>
        <w:ind w:firstLine="480" w:firstLineChars="200"/>
        <w:rPr>
          <w:rFonts w:ascii="宋体" w:hAnsi="宋体"/>
          <w:szCs w:val="24"/>
        </w:rPr>
      </w:pPr>
      <w:r>
        <w:rPr>
          <w:rFonts w:hint="eastAsia" w:ascii="宋体" w:hAnsi="宋体"/>
          <w:szCs w:val="24"/>
        </w:rPr>
        <w:t>1.供应商应对磋商文件第二部分《采购需求》中各技术/服务条款逐一如实填写上表，供应商应当如实填写上表“响应文件技术（服务）条款响应”处内容，对采购文件提出的要求和条件作出明确响应，并列明具体响应数值或内容，不能照搬采购文件的内容，仅注明符合、满足等无具体内容表述的，将可能被视为未实质性满足采购文件要求。供应商需要说明的内容若需特殊表达，应先在本表中进行相应说明，再另页应答。</w:t>
      </w:r>
    </w:p>
    <w:p>
      <w:pPr>
        <w:ind w:firstLine="480" w:firstLineChars="200"/>
        <w:rPr>
          <w:rFonts w:ascii="宋体" w:hAnsi="宋体"/>
          <w:szCs w:val="24"/>
        </w:rPr>
      </w:pPr>
      <w:r>
        <w:rPr>
          <w:rFonts w:hint="eastAsia" w:ascii="宋体" w:hAnsi="宋体"/>
          <w:szCs w:val="24"/>
        </w:rPr>
        <w:t>2.上表中“响应状态”应按下列规定填写：优于的，填写“正偏离”；符合的，填写“无偏离”；低于的，填写“负偏离”。“正偏离”或“负偏离”应在“偏离说明”列中进行说明。</w:t>
      </w:r>
    </w:p>
    <w:p>
      <w:pPr>
        <w:ind w:firstLine="480" w:firstLineChars="200"/>
        <w:rPr>
          <w:rFonts w:ascii="宋体" w:hAnsi="宋体"/>
          <w:b/>
          <w:szCs w:val="24"/>
        </w:rPr>
      </w:pPr>
      <w:r>
        <w:rPr>
          <w:rFonts w:hint="eastAsia" w:ascii="宋体" w:hAnsi="宋体"/>
          <w:b/>
          <w:szCs w:val="24"/>
        </w:rPr>
        <w:t>3.磋商文件中带“▲”的重要性条款（如有），供应商须标识清楚。带“★”的条款（如有）在《实质性响应一览表》中罗列，本表不需要重复。</w:t>
      </w:r>
    </w:p>
    <w:p>
      <w:pPr>
        <w:pStyle w:val="5"/>
        <w:numPr>
          <w:ilvl w:val="0"/>
          <w:numId w:val="69"/>
        </w:numPr>
        <w:tabs>
          <w:tab w:val="left" w:pos="945"/>
        </w:tabs>
        <w:spacing w:before="0" w:after="0" w:line="360" w:lineRule="auto"/>
        <w:ind w:left="0" w:firstLine="0"/>
        <w:rPr>
          <w:sz w:val="28"/>
          <w:szCs w:val="28"/>
        </w:rPr>
      </w:pPr>
      <w:bookmarkStart w:id="440" w:name="_Toc56180362"/>
      <w:bookmarkStart w:id="441" w:name="_Toc50460256"/>
      <w:bookmarkStart w:id="442" w:name="_Toc55398768"/>
      <w:bookmarkStart w:id="443" w:name="_Toc22806223"/>
      <w:r>
        <w:rPr>
          <w:rFonts w:hint="eastAsia"/>
          <w:sz w:val="28"/>
          <w:szCs w:val="28"/>
        </w:rPr>
        <w:t>技术/服务方案</w:t>
      </w:r>
      <w:bookmarkEnd w:id="440"/>
      <w:bookmarkEnd w:id="441"/>
      <w:bookmarkEnd w:id="442"/>
      <w:bookmarkEnd w:id="443"/>
    </w:p>
    <w:p>
      <w:pPr>
        <w:pStyle w:val="6"/>
        <w:numPr>
          <w:ilvl w:val="1"/>
          <w:numId w:val="69"/>
        </w:numPr>
        <w:tabs>
          <w:tab w:val="left" w:pos="945"/>
        </w:tabs>
        <w:ind w:left="0" w:firstLine="0"/>
        <w:rPr>
          <w:rFonts w:ascii="宋体" w:hAnsi="宋体"/>
          <w:szCs w:val="24"/>
        </w:rPr>
      </w:pPr>
      <w:r>
        <w:rPr>
          <w:rFonts w:hint="eastAsia" w:ascii="宋体" w:hAnsi="宋体"/>
          <w:szCs w:val="24"/>
        </w:rPr>
        <w:t>技术/服务方案</w:t>
      </w:r>
    </w:p>
    <w:p>
      <w:pPr>
        <w:wordWrap w:val="0"/>
        <w:autoSpaceDE w:val="0"/>
        <w:autoSpaceDN w:val="0"/>
        <w:jc w:val="center"/>
        <w:rPr>
          <w:rFonts w:ascii="宋体" w:hAnsi="宋体"/>
          <w:b/>
          <w:sz w:val="32"/>
          <w:szCs w:val="32"/>
        </w:rPr>
      </w:pPr>
      <w:r>
        <w:rPr>
          <w:rFonts w:hint="eastAsia" w:ascii="宋体" w:hAnsi="宋体"/>
          <w:b/>
          <w:sz w:val="32"/>
          <w:szCs w:val="32"/>
        </w:rPr>
        <w:t>技术/服务方案</w:t>
      </w:r>
    </w:p>
    <w:p>
      <w:pPr>
        <w:ind w:left="808" w:hanging="808" w:hangingChars="337"/>
        <w:rPr>
          <w:rFonts w:ascii="宋体" w:hAnsi="宋体"/>
          <w:szCs w:val="24"/>
        </w:rPr>
      </w:pPr>
      <w:r>
        <w:rPr>
          <w:rFonts w:hint="eastAsia" w:ascii="宋体" w:hAnsi="宋体"/>
          <w:szCs w:val="24"/>
        </w:rPr>
        <w:t>采购项目名称：2026-2027年广州白云机场海关南1、2号楼物业管理服务</w:t>
      </w:r>
    </w:p>
    <w:p>
      <w:pPr>
        <w:ind w:left="808" w:hanging="808" w:hangingChars="337"/>
        <w:rPr>
          <w:rFonts w:ascii="宋体" w:hAnsi="宋体"/>
          <w:szCs w:val="24"/>
        </w:rPr>
      </w:pPr>
      <w:r>
        <w:rPr>
          <w:rFonts w:hint="eastAsia" w:ascii="宋体" w:hAnsi="宋体"/>
          <w:szCs w:val="24"/>
        </w:rPr>
        <w:t>采购包号：</w:t>
      </w:r>
    </w:p>
    <w:p>
      <w:pPr>
        <w:wordWrap w:val="0"/>
        <w:autoSpaceDE w:val="0"/>
        <w:autoSpaceDN w:val="0"/>
        <w:ind w:firstLine="480" w:firstLineChars="200"/>
        <w:rPr>
          <w:rFonts w:ascii="宋体" w:hAnsi="宋体"/>
          <w:szCs w:val="24"/>
        </w:rPr>
      </w:pPr>
      <w:r>
        <w:rPr>
          <w:rFonts w:hint="eastAsia" w:ascii="宋体" w:hAnsi="宋体"/>
          <w:szCs w:val="24"/>
        </w:rPr>
        <w:t>请供应商根据《采购需求》、《技术评审表》、《商务评审表》的相关要求提出完成整个项目相应的实施计划及技术/服务方案（包括售后服务方案，格式及内容自定），必要时请在本方案后附相关证明材料。</w:t>
      </w:r>
    </w:p>
    <w:p>
      <w:pPr>
        <w:wordWrap w:val="0"/>
        <w:autoSpaceDE w:val="0"/>
        <w:autoSpaceDN w:val="0"/>
        <w:rPr>
          <w:rFonts w:ascii="宋体" w:hAnsi="宋体"/>
          <w:szCs w:val="24"/>
        </w:rPr>
      </w:pPr>
    </w:p>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wordWrap w:val="0"/>
        <w:autoSpaceDE w:val="0"/>
        <w:autoSpaceDN w:val="0"/>
        <w:rPr>
          <w:rFonts w:ascii="宋体" w:hAnsi="宋体"/>
          <w:szCs w:val="24"/>
        </w:rPr>
      </w:pPr>
    </w:p>
    <w:p>
      <w:pPr>
        <w:wordWrap w:val="0"/>
        <w:autoSpaceDE w:val="0"/>
        <w:autoSpaceDN w:val="0"/>
        <w:rPr>
          <w:rFonts w:ascii="宋体" w:hAnsi="宋体"/>
          <w:szCs w:val="24"/>
        </w:rPr>
      </w:pPr>
    </w:p>
    <w:p>
      <w:pPr>
        <w:pStyle w:val="6"/>
        <w:numPr>
          <w:ilvl w:val="1"/>
          <w:numId w:val="69"/>
        </w:numPr>
        <w:tabs>
          <w:tab w:val="left" w:pos="945"/>
        </w:tabs>
        <w:ind w:left="0" w:firstLine="0"/>
        <w:rPr>
          <w:rFonts w:ascii="宋体" w:hAnsi="宋体"/>
          <w:szCs w:val="24"/>
        </w:rPr>
      </w:pPr>
      <w:bookmarkStart w:id="444" w:name="_Toc22806225"/>
      <w:r>
        <w:rPr>
          <w:rFonts w:hint="eastAsia" w:ascii="宋体" w:hAnsi="宋体"/>
          <w:szCs w:val="24"/>
        </w:rPr>
        <w:t>服务承诺</w:t>
      </w:r>
      <w:bookmarkEnd w:id="444"/>
      <w:r>
        <w:rPr>
          <w:rFonts w:hint="eastAsia" w:ascii="宋体" w:hAnsi="宋体"/>
          <w:szCs w:val="24"/>
        </w:rPr>
        <w:t>（如有）</w:t>
      </w:r>
    </w:p>
    <w:p>
      <w:pPr>
        <w:wordWrap w:val="0"/>
        <w:autoSpaceDE w:val="0"/>
        <w:autoSpaceDN w:val="0"/>
        <w:jc w:val="center"/>
        <w:rPr>
          <w:rFonts w:ascii="宋体" w:hAnsi="宋体"/>
          <w:b/>
          <w:sz w:val="32"/>
          <w:szCs w:val="32"/>
        </w:rPr>
      </w:pPr>
      <w:r>
        <w:rPr>
          <w:rFonts w:hint="eastAsia" w:ascii="宋体" w:hAnsi="宋体"/>
          <w:b/>
          <w:sz w:val="28"/>
          <w:szCs w:val="28"/>
        </w:rPr>
        <w:t>服务承诺</w:t>
      </w:r>
    </w:p>
    <w:p>
      <w:pPr>
        <w:ind w:left="808" w:hanging="808" w:hangingChars="337"/>
        <w:rPr>
          <w:rFonts w:ascii="宋体" w:hAnsi="宋体"/>
          <w:szCs w:val="24"/>
        </w:rPr>
      </w:pPr>
      <w:r>
        <w:rPr>
          <w:rFonts w:hint="eastAsia" w:ascii="宋体" w:hAnsi="宋体"/>
          <w:szCs w:val="24"/>
        </w:rPr>
        <w:t>采购项目名称：2026-2027年广州白云机场海关南1、2号楼物业管理服务</w:t>
      </w:r>
    </w:p>
    <w:p>
      <w:pPr>
        <w:ind w:left="808" w:hanging="808" w:hangingChars="337"/>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835"/>
        <w:gridCol w:w="1701"/>
        <w:gridCol w:w="3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wordWrap w:val="0"/>
              <w:autoSpaceDE w:val="0"/>
              <w:autoSpaceDN w:val="0"/>
              <w:jc w:val="center"/>
              <w:rPr>
                <w:rFonts w:ascii="宋体" w:hAnsi="宋体"/>
                <w:szCs w:val="24"/>
              </w:rPr>
            </w:pPr>
            <w:r>
              <w:rPr>
                <w:rFonts w:hint="eastAsia" w:ascii="宋体" w:hAnsi="宋体"/>
                <w:szCs w:val="24"/>
              </w:rPr>
              <w:t>序号</w:t>
            </w:r>
          </w:p>
        </w:tc>
        <w:tc>
          <w:tcPr>
            <w:tcW w:w="2835" w:type="dxa"/>
            <w:vAlign w:val="center"/>
          </w:tcPr>
          <w:p>
            <w:pPr>
              <w:wordWrap w:val="0"/>
              <w:autoSpaceDE w:val="0"/>
              <w:autoSpaceDN w:val="0"/>
              <w:jc w:val="center"/>
              <w:rPr>
                <w:rFonts w:ascii="宋体" w:hAnsi="宋体"/>
                <w:szCs w:val="24"/>
              </w:rPr>
            </w:pPr>
            <w:r>
              <w:rPr>
                <w:rFonts w:ascii="宋体" w:hAnsi="宋体"/>
                <w:szCs w:val="24"/>
              </w:rPr>
              <w:t>磋商</w:t>
            </w:r>
            <w:r>
              <w:rPr>
                <w:rFonts w:hint="eastAsia" w:ascii="宋体" w:hAnsi="宋体"/>
                <w:szCs w:val="24"/>
              </w:rPr>
              <w:t>文件要求承诺</w:t>
            </w:r>
          </w:p>
        </w:tc>
        <w:tc>
          <w:tcPr>
            <w:tcW w:w="1701" w:type="dxa"/>
            <w:vAlign w:val="center"/>
          </w:tcPr>
          <w:p>
            <w:pPr>
              <w:wordWrap w:val="0"/>
              <w:autoSpaceDE w:val="0"/>
              <w:autoSpaceDN w:val="0"/>
              <w:jc w:val="center"/>
              <w:rPr>
                <w:rFonts w:ascii="宋体" w:hAnsi="宋体"/>
                <w:szCs w:val="24"/>
              </w:rPr>
            </w:pPr>
            <w:r>
              <w:rPr>
                <w:rFonts w:ascii="宋体" w:hAnsi="宋体" w:cs="宋体"/>
                <w:szCs w:val="24"/>
              </w:rPr>
              <w:t>响应</w:t>
            </w:r>
            <w:r>
              <w:rPr>
                <w:rFonts w:hint="eastAsia" w:ascii="宋体" w:hAnsi="宋体"/>
                <w:szCs w:val="24"/>
              </w:rPr>
              <w:t>文件响应</w:t>
            </w:r>
          </w:p>
        </w:tc>
        <w:tc>
          <w:tcPr>
            <w:tcW w:w="3406" w:type="dxa"/>
          </w:tcPr>
          <w:p>
            <w:pPr>
              <w:wordWrap w:val="0"/>
              <w:autoSpaceDE w:val="0"/>
              <w:autoSpaceDN w:val="0"/>
              <w:jc w:val="center"/>
              <w:rPr>
                <w:rFonts w:ascii="宋体" w:hAnsi="宋体"/>
                <w:szCs w:val="24"/>
              </w:rPr>
            </w:pPr>
            <w:r>
              <w:rPr>
                <w:rFonts w:ascii="宋体" w:hAnsi="宋体" w:cs="宋体"/>
                <w:szCs w:val="24"/>
              </w:rPr>
              <w:t>响应</w:t>
            </w:r>
            <w:r>
              <w:rPr>
                <w:rFonts w:hint="eastAsia" w:ascii="宋体" w:hAnsi="宋体"/>
                <w:szCs w:val="24"/>
              </w:rPr>
              <w:t>文件响应页码（如有）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wordWrap w:val="0"/>
              <w:autoSpaceDE w:val="0"/>
              <w:autoSpaceDN w:val="0"/>
              <w:jc w:val="center"/>
              <w:rPr>
                <w:rFonts w:ascii="宋体" w:hAnsi="宋体"/>
                <w:szCs w:val="24"/>
              </w:rPr>
            </w:pPr>
          </w:p>
        </w:tc>
        <w:tc>
          <w:tcPr>
            <w:tcW w:w="283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3406" w:type="dxa"/>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wordWrap w:val="0"/>
              <w:autoSpaceDE w:val="0"/>
              <w:autoSpaceDN w:val="0"/>
              <w:jc w:val="center"/>
              <w:rPr>
                <w:rFonts w:ascii="宋体" w:hAnsi="宋体"/>
                <w:szCs w:val="24"/>
              </w:rPr>
            </w:pPr>
          </w:p>
        </w:tc>
        <w:tc>
          <w:tcPr>
            <w:tcW w:w="283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3406" w:type="dxa"/>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4" w:type="dxa"/>
            <w:vAlign w:val="center"/>
          </w:tcPr>
          <w:p>
            <w:pPr>
              <w:wordWrap w:val="0"/>
              <w:autoSpaceDE w:val="0"/>
              <w:autoSpaceDN w:val="0"/>
              <w:jc w:val="center"/>
              <w:rPr>
                <w:rFonts w:ascii="宋体" w:hAnsi="宋体"/>
                <w:szCs w:val="24"/>
              </w:rPr>
            </w:pPr>
            <w:r>
              <w:rPr>
                <w:rFonts w:ascii="宋体" w:hAnsi="宋体"/>
                <w:szCs w:val="24"/>
              </w:rPr>
              <w:t>……</w:t>
            </w:r>
          </w:p>
        </w:tc>
        <w:tc>
          <w:tcPr>
            <w:tcW w:w="283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3406" w:type="dxa"/>
          </w:tcPr>
          <w:p>
            <w:pPr>
              <w:wordWrap w:val="0"/>
              <w:autoSpaceDE w:val="0"/>
              <w:autoSpaceDN w:val="0"/>
              <w:jc w:val="center"/>
              <w:rPr>
                <w:rFonts w:ascii="宋体" w:hAnsi="宋体"/>
                <w:szCs w:val="24"/>
              </w:rPr>
            </w:pPr>
          </w:p>
        </w:tc>
      </w:tr>
    </w:tbl>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wordWrap w:val="0"/>
        <w:autoSpaceDE w:val="0"/>
        <w:autoSpaceDN w:val="0"/>
        <w:ind w:firstLine="360" w:firstLineChars="150"/>
        <w:rPr>
          <w:rFonts w:ascii="宋体" w:hAnsi="宋体"/>
          <w:szCs w:val="24"/>
        </w:rPr>
      </w:pPr>
      <w:r>
        <w:rPr>
          <w:rFonts w:hint="eastAsia" w:ascii="宋体" w:hAnsi="宋体"/>
          <w:b/>
          <w:szCs w:val="24"/>
        </w:rPr>
        <w:t>备注：</w:t>
      </w:r>
      <w:r>
        <w:rPr>
          <w:rFonts w:hint="eastAsia" w:ascii="宋体" w:hAnsi="宋体"/>
          <w:szCs w:val="24"/>
        </w:rPr>
        <w:t>请供应商根据《采购需求》、《技术评审表》、《商务评审表》的相关要求提出本次服务承诺（包括但不限于售后服务承诺，格式及内容自定），必要时请在本承诺后附相关证明材料。在</w:t>
      </w:r>
      <w:r>
        <w:rPr>
          <w:rFonts w:ascii="宋体" w:hAnsi="宋体" w:cs="宋体"/>
          <w:szCs w:val="24"/>
        </w:rPr>
        <w:t>响应</w:t>
      </w:r>
      <w:r>
        <w:rPr>
          <w:rFonts w:hint="eastAsia" w:ascii="宋体" w:hAnsi="宋体"/>
          <w:szCs w:val="24"/>
        </w:rPr>
        <w:t>文件其他部分内容中已经提供的材料，可不重复提供，可仅列明页码。</w:t>
      </w:r>
    </w:p>
    <w:p>
      <w:pPr>
        <w:wordWrap w:val="0"/>
        <w:autoSpaceDE w:val="0"/>
        <w:autoSpaceDN w:val="0"/>
        <w:ind w:firstLine="360" w:firstLineChars="150"/>
        <w:rPr>
          <w:rFonts w:ascii="宋体" w:hAnsi="宋体"/>
          <w:szCs w:val="24"/>
        </w:rPr>
      </w:pPr>
    </w:p>
    <w:p>
      <w:pPr>
        <w:pStyle w:val="6"/>
        <w:numPr>
          <w:ilvl w:val="1"/>
          <w:numId w:val="69"/>
        </w:numPr>
        <w:tabs>
          <w:tab w:val="left" w:pos="945"/>
        </w:tabs>
        <w:ind w:left="0" w:firstLine="0"/>
        <w:rPr>
          <w:rFonts w:ascii="宋体" w:hAnsi="宋体"/>
          <w:szCs w:val="24"/>
        </w:rPr>
      </w:pPr>
      <w:bookmarkStart w:id="445" w:name="_Toc22806227"/>
      <w:r>
        <w:rPr>
          <w:rFonts w:hint="eastAsia" w:ascii="宋体" w:hAnsi="宋体"/>
          <w:szCs w:val="24"/>
        </w:rPr>
        <w:t>拟派人员情况</w:t>
      </w:r>
      <w:bookmarkEnd w:id="445"/>
    </w:p>
    <w:p>
      <w:pPr>
        <w:wordWrap w:val="0"/>
        <w:autoSpaceDE w:val="0"/>
        <w:autoSpaceDN w:val="0"/>
        <w:jc w:val="center"/>
        <w:rPr>
          <w:rFonts w:ascii="宋体" w:hAnsi="宋体"/>
          <w:b/>
          <w:sz w:val="32"/>
          <w:szCs w:val="32"/>
        </w:rPr>
      </w:pPr>
      <w:r>
        <w:rPr>
          <w:rFonts w:hint="eastAsia" w:ascii="宋体" w:hAnsi="宋体"/>
          <w:b/>
          <w:sz w:val="32"/>
          <w:szCs w:val="32"/>
        </w:rPr>
        <w:t>拟派人员情况</w:t>
      </w:r>
    </w:p>
    <w:p>
      <w:pPr>
        <w:ind w:left="808" w:hanging="808" w:hangingChars="337"/>
        <w:rPr>
          <w:rFonts w:ascii="宋体" w:hAnsi="宋体"/>
          <w:szCs w:val="24"/>
        </w:rPr>
      </w:pPr>
      <w:r>
        <w:rPr>
          <w:rFonts w:hint="eastAsia" w:ascii="宋体" w:hAnsi="宋体"/>
          <w:szCs w:val="24"/>
        </w:rPr>
        <w:t>采购项目名称：2026-2027年广州白云机场海关南1、2号楼物业管理服务</w:t>
      </w:r>
    </w:p>
    <w:p>
      <w:pPr>
        <w:ind w:left="808" w:hanging="808" w:hangingChars="337"/>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493"/>
        <w:gridCol w:w="1052"/>
        <w:gridCol w:w="933"/>
        <w:gridCol w:w="1559"/>
        <w:gridCol w:w="992"/>
        <w:gridCol w:w="993"/>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01" w:type="dxa"/>
            <w:vAlign w:val="center"/>
          </w:tcPr>
          <w:p>
            <w:pPr>
              <w:wordWrap w:val="0"/>
              <w:autoSpaceDE w:val="0"/>
              <w:autoSpaceDN w:val="0"/>
              <w:jc w:val="center"/>
              <w:rPr>
                <w:rFonts w:ascii="宋体" w:hAnsi="宋体"/>
                <w:szCs w:val="21"/>
              </w:rPr>
            </w:pPr>
            <w:r>
              <w:rPr>
                <w:rFonts w:hint="eastAsia" w:ascii="宋体" w:hAnsi="宋体"/>
                <w:szCs w:val="21"/>
              </w:rPr>
              <w:t>姓名</w:t>
            </w:r>
          </w:p>
        </w:tc>
        <w:tc>
          <w:tcPr>
            <w:tcW w:w="1493" w:type="dxa"/>
            <w:vAlign w:val="center"/>
          </w:tcPr>
          <w:p>
            <w:pPr>
              <w:wordWrap w:val="0"/>
              <w:autoSpaceDE w:val="0"/>
              <w:autoSpaceDN w:val="0"/>
              <w:jc w:val="center"/>
              <w:rPr>
                <w:rFonts w:ascii="宋体" w:hAnsi="宋体"/>
                <w:szCs w:val="21"/>
              </w:rPr>
            </w:pPr>
            <w:r>
              <w:rPr>
                <w:rFonts w:hint="eastAsia" w:ascii="宋体" w:hAnsi="宋体"/>
                <w:szCs w:val="21"/>
              </w:rPr>
              <w:t>拟在本项目中担任的职务或职责</w:t>
            </w:r>
          </w:p>
        </w:tc>
        <w:tc>
          <w:tcPr>
            <w:tcW w:w="1052" w:type="dxa"/>
            <w:vAlign w:val="center"/>
          </w:tcPr>
          <w:p>
            <w:pPr>
              <w:wordWrap w:val="0"/>
              <w:autoSpaceDE w:val="0"/>
              <w:autoSpaceDN w:val="0"/>
              <w:jc w:val="center"/>
              <w:rPr>
                <w:rFonts w:ascii="宋体" w:hAnsi="宋体"/>
                <w:szCs w:val="21"/>
              </w:rPr>
            </w:pPr>
            <w:r>
              <w:rPr>
                <w:rFonts w:hint="eastAsia" w:ascii="宋体" w:hAnsi="宋体"/>
                <w:szCs w:val="21"/>
              </w:rPr>
              <w:t>最高学历</w:t>
            </w:r>
          </w:p>
        </w:tc>
        <w:tc>
          <w:tcPr>
            <w:tcW w:w="933" w:type="dxa"/>
            <w:vAlign w:val="center"/>
          </w:tcPr>
          <w:p>
            <w:pPr>
              <w:wordWrap w:val="0"/>
              <w:autoSpaceDE w:val="0"/>
              <w:autoSpaceDN w:val="0"/>
              <w:jc w:val="center"/>
              <w:rPr>
                <w:rFonts w:ascii="宋体" w:hAnsi="宋体"/>
                <w:szCs w:val="21"/>
              </w:rPr>
            </w:pPr>
            <w:r>
              <w:rPr>
                <w:rFonts w:hint="eastAsia" w:ascii="宋体" w:hAnsi="宋体"/>
                <w:szCs w:val="21"/>
              </w:rPr>
              <w:t>毕业专业</w:t>
            </w:r>
          </w:p>
        </w:tc>
        <w:tc>
          <w:tcPr>
            <w:tcW w:w="1559" w:type="dxa"/>
            <w:vAlign w:val="center"/>
          </w:tcPr>
          <w:p>
            <w:pPr>
              <w:wordWrap w:val="0"/>
              <w:autoSpaceDE w:val="0"/>
              <w:autoSpaceDN w:val="0"/>
              <w:jc w:val="center"/>
              <w:rPr>
                <w:rFonts w:ascii="宋体" w:hAnsi="宋体"/>
                <w:szCs w:val="21"/>
              </w:rPr>
            </w:pPr>
            <w:r>
              <w:rPr>
                <w:rFonts w:hint="eastAsia" w:ascii="宋体" w:hAnsi="宋体"/>
                <w:szCs w:val="21"/>
              </w:rPr>
              <w:t>获得认证资质证书名称</w:t>
            </w:r>
          </w:p>
        </w:tc>
        <w:tc>
          <w:tcPr>
            <w:tcW w:w="992" w:type="dxa"/>
            <w:vAlign w:val="center"/>
          </w:tcPr>
          <w:p>
            <w:pPr>
              <w:wordWrap w:val="0"/>
              <w:autoSpaceDE w:val="0"/>
              <w:autoSpaceDN w:val="0"/>
              <w:jc w:val="center"/>
              <w:rPr>
                <w:rFonts w:ascii="宋体" w:hAnsi="宋体"/>
                <w:szCs w:val="21"/>
              </w:rPr>
            </w:pPr>
            <w:r>
              <w:rPr>
                <w:rFonts w:hint="eastAsia" w:ascii="宋体" w:hAnsi="宋体"/>
                <w:szCs w:val="21"/>
              </w:rPr>
              <w:t>从业年限</w:t>
            </w:r>
          </w:p>
        </w:tc>
        <w:tc>
          <w:tcPr>
            <w:tcW w:w="993" w:type="dxa"/>
            <w:vAlign w:val="center"/>
          </w:tcPr>
          <w:p>
            <w:pPr>
              <w:wordWrap w:val="0"/>
              <w:autoSpaceDE w:val="0"/>
              <w:autoSpaceDN w:val="0"/>
              <w:jc w:val="center"/>
              <w:rPr>
                <w:rFonts w:ascii="宋体" w:hAnsi="宋体"/>
                <w:szCs w:val="21"/>
              </w:rPr>
            </w:pPr>
            <w:r>
              <w:rPr>
                <w:rFonts w:hint="eastAsia" w:ascii="宋体" w:hAnsi="宋体"/>
                <w:szCs w:val="21"/>
              </w:rPr>
              <w:t>同类项目经验</w:t>
            </w:r>
          </w:p>
        </w:tc>
        <w:tc>
          <w:tcPr>
            <w:tcW w:w="1412" w:type="dxa"/>
            <w:vAlign w:val="center"/>
          </w:tcPr>
          <w:p>
            <w:pPr>
              <w:wordWrap w:val="0"/>
              <w:autoSpaceDE w:val="0"/>
              <w:autoSpaceDN w:val="0"/>
              <w:jc w:val="center"/>
              <w:rPr>
                <w:rFonts w:ascii="宋体" w:hAnsi="宋体"/>
                <w:szCs w:val="21"/>
              </w:rPr>
            </w:pPr>
            <w:r>
              <w:rPr>
                <w:rFonts w:hint="eastAsia" w:ascii="宋体" w:hAnsi="宋体"/>
                <w:szCs w:val="21"/>
              </w:rPr>
              <w:t>证明材料（如有，注明所在页码）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01" w:type="dxa"/>
            <w:vAlign w:val="center"/>
          </w:tcPr>
          <w:p>
            <w:pPr>
              <w:wordWrap w:val="0"/>
              <w:autoSpaceDE w:val="0"/>
              <w:autoSpaceDN w:val="0"/>
              <w:jc w:val="center"/>
              <w:rPr>
                <w:rFonts w:ascii="宋体" w:hAnsi="宋体"/>
                <w:szCs w:val="24"/>
              </w:rPr>
            </w:pPr>
          </w:p>
        </w:tc>
        <w:tc>
          <w:tcPr>
            <w:tcW w:w="1493"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052"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933"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9"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992"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993"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2" w:type="dxa"/>
            <w:vAlign w:val="center"/>
          </w:tcPr>
          <w:p>
            <w:pPr>
              <w:wordWrap w:val="0"/>
              <w:autoSpaceDE w:val="0"/>
              <w:autoSpaceDN w:val="0"/>
              <w:jc w:val="center"/>
              <w:rPr>
                <w:rFonts w:ascii="宋体" w:hAnsi="宋体"/>
                <w:szCs w:val="24"/>
              </w:rPr>
            </w:pPr>
            <w:r>
              <w:rPr>
                <w:rFonts w:hint="eastAsia" w:ascii="宋体" w:hAnsi="宋体"/>
                <w:szCs w:val="24"/>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01" w:type="dxa"/>
            <w:vAlign w:val="center"/>
          </w:tcPr>
          <w:p>
            <w:pPr>
              <w:wordWrap w:val="0"/>
              <w:autoSpaceDE w:val="0"/>
              <w:autoSpaceDN w:val="0"/>
              <w:jc w:val="center"/>
              <w:rPr>
                <w:rFonts w:ascii="宋体" w:hAnsi="宋体"/>
                <w:szCs w:val="24"/>
              </w:rPr>
            </w:pPr>
            <w:r>
              <w:rPr>
                <w:rFonts w:ascii="宋体" w:hAnsi="宋体"/>
                <w:szCs w:val="24"/>
              </w:rPr>
              <w:t>……</w:t>
            </w:r>
          </w:p>
        </w:tc>
        <w:tc>
          <w:tcPr>
            <w:tcW w:w="1493"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052"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933"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9"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992"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993"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2" w:type="dxa"/>
            <w:vAlign w:val="center"/>
          </w:tcPr>
          <w:p>
            <w:pPr>
              <w:wordWrap w:val="0"/>
              <w:autoSpaceDE w:val="0"/>
              <w:autoSpaceDN w:val="0"/>
              <w:jc w:val="center"/>
              <w:rPr>
                <w:rFonts w:ascii="宋体" w:hAnsi="宋体"/>
                <w:szCs w:val="24"/>
              </w:rPr>
            </w:pPr>
          </w:p>
        </w:tc>
      </w:tr>
    </w:tbl>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rPr>
          <w:rFonts w:ascii="宋体" w:hAnsi="宋体"/>
          <w:szCs w:val="24"/>
        </w:rPr>
      </w:pPr>
      <w:r>
        <w:rPr>
          <w:rFonts w:hint="eastAsia" w:ascii="宋体" w:hAnsi="宋体"/>
          <w:b/>
          <w:szCs w:val="24"/>
        </w:rPr>
        <w:t>备注：</w:t>
      </w:r>
      <w:r>
        <w:rPr>
          <w:rFonts w:hint="eastAsia" w:ascii="宋体" w:hAnsi="宋体"/>
          <w:szCs w:val="24"/>
        </w:rPr>
        <w:t>1.供应商应如实填写拟派人员情况，不得弄虚作假；“毕业专业”可填写最高学历专业或其他资格证书上的专业。</w:t>
      </w:r>
    </w:p>
    <w:p>
      <w:pPr>
        <w:ind w:firstLine="480" w:firstLineChars="200"/>
        <w:rPr>
          <w:rFonts w:ascii="宋体" w:hAnsi="宋体"/>
          <w:szCs w:val="24"/>
        </w:rPr>
      </w:pPr>
      <w:r>
        <w:rPr>
          <w:rFonts w:hint="eastAsia" w:ascii="宋体" w:hAnsi="宋体"/>
          <w:szCs w:val="24"/>
        </w:rPr>
        <w:t>2.请在上表后附拟派人员的相关材料</w:t>
      </w:r>
      <w:r>
        <w:rPr>
          <w:rFonts w:hint="eastAsia" w:ascii="宋体" w:hAnsi="宋体"/>
          <w:b/>
          <w:szCs w:val="24"/>
        </w:rPr>
        <w:t>（如评分表中对相关材料作出要求的，按其要求提供；</w:t>
      </w:r>
      <w:r>
        <w:rPr>
          <w:rFonts w:hint="eastAsia" w:ascii="宋体" w:hAnsi="宋体"/>
          <w:szCs w:val="24"/>
        </w:rPr>
        <w:t>如评分表中未对相关材料作出要求的，可以根据《采购需求》的要求（如有）提供人员资料不限于身份证明、毕业证、职称证、注册执业证、职业资格证、其他资格证（如培训证、上岗证、操作证等）、依法缴纳社会保障资金或个人所得税证明等）。</w:t>
      </w:r>
    </w:p>
    <w:p>
      <w:pPr>
        <w:ind w:firstLine="480" w:firstLineChars="200"/>
        <w:rPr>
          <w:rFonts w:ascii="宋体" w:hAnsi="宋体"/>
          <w:szCs w:val="24"/>
        </w:rPr>
      </w:pPr>
      <w:r>
        <w:rPr>
          <w:rFonts w:hint="eastAsia" w:ascii="宋体" w:hAnsi="宋体"/>
          <w:szCs w:val="24"/>
        </w:rPr>
        <w:t>3.对项目经理（项目负责人或主要团队人员）（如要求），供应商可以分别以履历表形式具体说明情况（格式自定）。</w:t>
      </w:r>
    </w:p>
    <w:p>
      <w:pPr>
        <w:wordWrap w:val="0"/>
        <w:autoSpaceDE w:val="0"/>
        <w:autoSpaceDN w:val="0"/>
        <w:rPr>
          <w:rFonts w:ascii="宋体" w:hAnsi="宋体"/>
          <w:szCs w:val="24"/>
        </w:rPr>
      </w:pPr>
    </w:p>
    <w:p>
      <w:pPr>
        <w:wordWrap w:val="0"/>
        <w:autoSpaceDE w:val="0"/>
        <w:autoSpaceDN w:val="0"/>
        <w:ind w:firstLine="480" w:firstLineChars="200"/>
        <w:rPr>
          <w:rFonts w:ascii="宋体" w:hAnsi="宋体"/>
          <w:szCs w:val="24"/>
        </w:rPr>
      </w:pPr>
    </w:p>
    <w:p>
      <w:pPr>
        <w:wordWrap w:val="0"/>
        <w:autoSpaceDE w:val="0"/>
        <w:autoSpaceDN w:val="0"/>
        <w:ind w:firstLine="480" w:firstLineChars="200"/>
        <w:rPr>
          <w:rFonts w:ascii="宋体" w:hAnsi="宋体"/>
          <w:szCs w:val="24"/>
        </w:rPr>
      </w:pPr>
    </w:p>
    <w:p>
      <w:pPr>
        <w:wordWrap w:val="0"/>
        <w:autoSpaceDE w:val="0"/>
        <w:autoSpaceDN w:val="0"/>
        <w:ind w:firstLine="480" w:firstLineChars="200"/>
        <w:rPr>
          <w:rFonts w:ascii="宋体" w:hAnsi="宋体"/>
          <w:szCs w:val="24"/>
        </w:rPr>
      </w:pPr>
    </w:p>
    <w:p>
      <w:pPr>
        <w:pStyle w:val="5"/>
        <w:numPr>
          <w:ilvl w:val="0"/>
          <w:numId w:val="69"/>
        </w:numPr>
        <w:tabs>
          <w:tab w:val="left" w:pos="945"/>
        </w:tabs>
        <w:spacing w:before="0" w:after="0" w:line="360" w:lineRule="auto"/>
        <w:ind w:left="0" w:firstLine="0"/>
        <w:rPr>
          <w:sz w:val="28"/>
          <w:szCs w:val="28"/>
        </w:rPr>
      </w:pPr>
      <w:bookmarkStart w:id="446" w:name="_Toc56180364"/>
      <w:bookmarkStart w:id="447" w:name="_Toc55398770"/>
      <w:bookmarkStart w:id="448" w:name="_Toc22806230"/>
      <w:bookmarkStart w:id="449" w:name="_Toc50460258"/>
      <w:r>
        <w:rPr>
          <w:rFonts w:hint="eastAsia"/>
          <w:sz w:val="28"/>
          <w:szCs w:val="28"/>
        </w:rPr>
        <w:br w:type="page"/>
      </w:r>
      <w:r>
        <w:rPr>
          <w:rFonts w:hint="eastAsia"/>
          <w:sz w:val="28"/>
          <w:szCs w:val="28"/>
        </w:rPr>
        <w:t>供应商认为有必要说明或提供的其他技术</w:t>
      </w:r>
      <w:r>
        <w:rPr>
          <w:sz w:val="28"/>
          <w:szCs w:val="28"/>
        </w:rPr>
        <w:t>/服务</w:t>
      </w:r>
      <w:r>
        <w:rPr>
          <w:rFonts w:hint="eastAsia"/>
          <w:sz w:val="28"/>
          <w:szCs w:val="28"/>
        </w:rPr>
        <w:t>文件（如有）</w:t>
      </w:r>
      <w:bookmarkEnd w:id="446"/>
      <w:bookmarkEnd w:id="447"/>
      <w:bookmarkEnd w:id="448"/>
      <w:bookmarkEnd w:id="449"/>
    </w:p>
    <w:p>
      <w:pPr>
        <w:ind w:left="1078" w:hanging="1078" w:hangingChars="337"/>
        <w:jc w:val="center"/>
        <w:rPr>
          <w:rFonts w:ascii="宋体" w:hAnsi="宋体"/>
          <w:b/>
          <w:sz w:val="32"/>
          <w:szCs w:val="32"/>
        </w:rPr>
      </w:pPr>
      <w:r>
        <w:rPr>
          <w:rFonts w:hint="eastAsia" w:ascii="宋体" w:hAnsi="宋体"/>
          <w:b/>
          <w:sz w:val="32"/>
          <w:szCs w:val="32"/>
        </w:rPr>
        <w:t>供应商认为有必要说明或提供的其他技术</w:t>
      </w:r>
      <w:r>
        <w:rPr>
          <w:rFonts w:ascii="宋体" w:hAnsi="宋体"/>
          <w:b/>
          <w:sz w:val="32"/>
          <w:szCs w:val="32"/>
        </w:rPr>
        <w:t>/服务</w:t>
      </w:r>
      <w:r>
        <w:rPr>
          <w:rFonts w:hint="eastAsia" w:ascii="宋体" w:hAnsi="宋体"/>
          <w:b/>
          <w:sz w:val="32"/>
          <w:szCs w:val="32"/>
        </w:rPr>
        <w:t>文件</w:t>
      </w:r>
    </w:p>
    <w:p>
      <w:pPr>
        <w:ind w:left="808" w:hanging="808" w:hangingChars="337"/>
        <w:rPr>
          <w:rFonts w:ascii="宋体" w:hAnsi="宋体"/>
          <w:szCs w:val="24"/>
        </w:rPr>
      </w:pPr>
      <w:r>
        <w:rPr>
          <w:rFonts w:hint="eastAsia" w:ascii="宋体" w:hAnsi="宋体"/>
          <w:szCs w:val="24"/>
        </w:rPr>
        <w:t>采购项目名称：2026-2027年广州白云机场海关南1、2号楼物业管理服务</w:t>
      </w:r>
    </w:p>
    <w:p>
      <w:pPr>
        <w:ind w:left="808" w:hanging="808" w:hangingChars="337"/>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165"/>
        <w:gridCol w:w="3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wordWrap w:val="0"/>
              <w:autoSpaceDE w:val="0"/>
              <w:autoSpaceDN w:val="0"/>
              <w:jc w:val="center"/>
              <w:rPr>
                <w:rFonts w:ascii="宋体" w:hAnsi="宋体"/>
                <w:szCs w:val="24"/>
              </w:rPr>
            </w:pPr>
            <w:r>
              <w:rPr>
                <w:rFonts w:hint="eastAsia" w:ascii="宋体" w:hAnsi="宋体"/>
                <w:szCs w:val="24"/>
              </w:rPr>
              <w:t>序号</w:t>
            </w:r>
          </w:p>
        </w:tc>
        <w:tc>
          <w:tcPr>
            <w:tcW w:w="5165" w:type="dxa"/>
            <w:vAlign w:val="center"/>
          </w:tcPr>
          <w:p>
            <w:pPr>
              <w:wordWrap w:val="0"/>
              <w:autoSpaceDE w:val="0"/>
              <w:autoSpaceDN w:val="0"/>
              <w:jc w:val="center"/>
              <w:rPr>
                <w:rFonts w:ascii="宋体" w:hAnsi="宋体"/>
                <w:szCs w:val="24"/>
              </w:rPr>
            </w:pPr>
            <w:r>
              <w:rPr>
                <w:rFonts w:hint="eastAsia" w:ascii="宋体" w:hAnsi="宋体"/>
                <w:szCs w:val="24"/>
              </w:rPr>
              <w:t>说明事项</w:t>
            </w:r>
          </w:p>
        </w:tc>
        <w:tc>
          <w:tcPr>
            <w:tcW w:w="3181" w:type="dxa"/>
            <w:vAlign w:val="center"/>
          </w:tcPr>
          <w:p>
            <w:pPr>
              <w:wordWrap w:val="0"/>
              <w:autoSpaceDE w:val="0"/>
              <w:autoSpaceDN w:val="0"/>
              <w:jc w:val="center"/>
              <w:rPr>
                <w:rFonts w:ascii="宋体" w:hAnsi="宋体"/>
                <w:szCs w:val="24"/>
              </w:rPr>
            </w:pPr>
            <w:r>
              <w:rPr>
                <w:rFonts w:hint="eastAsia" w:ascii="宋体" w:hAnsi="宋体"/>
                <w:szCs w:val="24"/>
              </w:rPr>
              <w:t>证明材料所在页码范围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wordWrap w:val="0"/>
              <w:autoSpaceDE w:val="0"/>
              <w:autoSpaceDN w:val="0"/>
              <w:jc w:val="center"/>
              <w:rPr>
                <w:rFonts w:ascii="宋体" w:hAnsi="宋体"/>
                <w:szCs w:val="24"/>
              </w:rPr>
            </w:pPr>
          </w:p>
        </w:tc>
        <w:tc>
          <w:tcPr>
            <w:tcW w:w="51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3181"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wordWrap w:val="0"/>
              <w:autoSpaceDE w:val="0"/>
              <w:autoSpaceDN w:val="0"/>
              <w:jc w:val="center"/>
              <w:rPr>
                <w:rFonts w:ascii="宋体" w:hAnsi="宋体"/>
                <w:szCs w:val="24"/>
              </w:rPr>
            </w:pPr>
          </w:p>
        </w:tc>
        <w:tc>
          <w:tcPr>
            <w:tcW w:w="51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3181" w:type="dxa"/>
            <w:vAlign w:val="center"/>
          </w:tcPr>
          <w:p>
            <w:pPr>
              <w:wordWrap w:val="0"/>
              <w:autoSpaceDE w:val="0"/>
              <w:autoSpaceDN w:val="0"/>
              <w:jc w:val="center"/>
              <w:rPr>
                <w:rFonts w:ascii="宋体" w:hAnsi="宋体"/>
                <w:szCs w:val="24"/>
              </w:rPr>
            </w:pPr>
          </w:p>
        </w:tc>
      </w:tr>
    </w:tbl>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wordWrap w:val="0"/>
        <w:autoSpaceDE w:val="0"/>
        <w:autoSpaceDN w:val="0"/>
        <w:rPr>
          <w:rFonts w:ascii="宋体" w:hAnsi="宋体"/>
          <w:b/>
          <w:szCs w:val="24"/>
        </w:rPr>
      </w:pPr>
      <w:r>
        <w:rPr>
          <w:rFonts w:hint="eastAsia" w:ascii="宋体" w:hAnsi="宋体"/>
          <w:b/>
          <w:szCs w:val="24"/>
        </w:rPr>
        <w:t>备注：</w:t>
      </w:r>
    </w:p>
    <w:p>
      <w:pPr>
        <w:wordWrap w:val="0"/>
        <w:autoSpaceDE w:val="0"/>
        <w:autoSpaceDN w:val="0"/>
        <w:ind w:firstLine="480" w:firstLineChars="200"/>
        <w:rPr>
          <w:rFonts w:ascii="宋体" w:hAnsi="宋体"/>
          <w:szCs w:val="24"/>
        </w:rPr>
      </w:pPr>
      <w:r>
        <w:rPr>
          <w:rFonts w:hint="eastAsia" w:ascii="宋体" w:hAnsi="宋体"/>
          <w:szCs w:val="24"/>
        </w:rPr>
        <w:t>1.供应商认为有必要说明或提供的其他技术文件可在此做出说明并在上表后附相关证明材料。</w:t>
      </w:r>
    </w:p>
    <w:p>
      <w:pPr>
        <w:wordWrap w:val="0"/>
        <w:autoSpaceDE w:val="0"/>
        <w:autoSpaceDN w:val="0"/>
        <w:ind w:firstLine="480" w:firstLineChars="200"/>
        <w:rPr>
          <w:rFonts w:ascii="宋体" w:hAnsi="宋体"/>
          <w:szCs w:val="24"/>
        </w:rPr>
      </w:pPr>
      <w:r>
        <w:rPr>
          <w:rFonts w:hint="eastAsia" w:ascii="宋体" w:hAnsi="宋体"/>
          <w:szCs w:val="24"/>
        </w:rPr>
        <w:t>2.如果供应商无上述任何情况说明和相关证明材料，请在上表第一行填写“无相关情况说明”。</w:t>
      </w:r>
    </w:p>
    <w:p>
      <w:pPr>
        <w:pStyle w:val="4"/>
        <w:numPr>
          <w:ilvl w:val="0"/>
          <w:numId w:val="59"/>
        </w:numPr>
        <w:tabs>
          <w:tab w:val="left" w:pos="945"/>
        </w:tabs>
        <w:spacing w:before="0" w:after="0" w:line="360" w:lineRule="auto"/>
        <w:ind w:left="980" w:hanging="980" w:hangingChars="350"/>
        <w:rPr>
          <w:rFonts w:ascii="宋体" w:hAnsi="宋体"/>
          <w:sz w:val="28"/>
          <w:szCs w:val="28"/>
        </w:rPr>
      </w:pPr>
      <w:bookmarkStart w:id="450" w:name="_Toc55398771"/>
      <w:bookmarkStart w:id="451" w:name="_Toc50460259"/>
      <w:bookmarkStart w:id="452" w:name="_Toc22806231"/>
      <w:bookmarkStart w:id="453" w:name="_Toc56180365"/>
      <w:r>
        <w:rPr>
          <w:rFonts w:hint="eastAsia" w:ascii="宋体" w:hAnsi="宋体"/>
          <w:sz w:val="28"/>
          <w:szCs w:val="28"/>
        </w:rPr>
        <w:br w:type="page"/>
      </w:r>
      <w:r>
        <w:rPr>
          <w:rFonts w:hint="eastAsia" w:ascii="宋体" w:hAnsi="宋体"/>
          <w:sz w:val="28"/>
          <w:szCs w:val="28"/>
        </w:rPr>
        <w:t>商务文件</w:t>
      </w:r>
      <w:bookmarkEnd w:id="450"/>
      <w:bookmarkEnd w:id="451"/>
      <w:bookmarkEnd w:id="452"/>
      <w:bookmarkEnd w:id="453"/>
    </w:p>
    <w:p>
      <w:pPr>
        <w:pStyle w:val="5"/>
        <w:numPr>
          <w:ilvl w:val="0"/>
          <w:numId w:val="69"/>
        </w:numPr>
        <w:tabs>
          <w:tab w:val="left" w:pos="945"/>
        </w:tabs>
        <w:spacing w:before="0" w:after="0" w:line="360" w:lineRule="auto"/>
        <w:ind w:left="0" w:firstLine="0"/>
        <w:rPr>
          <w:sz w:val="28"/>
          <w:szCs w:val="28"/>
        </w:rPr>
      </w:pPr>
      <w:bookmarkStart w:id="454" w:name="_Toc22806232"/>
      <w:bookmarkStart w:id="455" w:name="_Toc56180366"/>
      <w:bookmarkStart w:id="456" w:name="_Toc50460260"/>
      <w:bookmarkStart w:id="457" w:name="_Toc55398772"/>
      <w:r>
        <w:rPr>
          <w:rFonts w:hint="eastAsia"/>
          <w:sz w:val="28"/>
          <w:szCs w:val="28"/>
        </w:rPr>
        <w:t>商务条款偏离表</w:t>
      </w:r>
      <w:bookmarkEnd w:id="454"/>
      <w:bookmarkEnd w:id="455"/>
      <w:bookmarkEnd w:id="456"/>
      <w:bookmarkEnd w:id="457"/>
    </w:p>
    <w:p>
      <w:pPr>
        <w:wordWrap w:val="0"/>
        <w:autoSpaceDE w:val="0"/>
        <w:autoSpaceDN w:val="0"/>
        <w:jc w:val="center"/>
        <w:rPr>
          <w:rFonts w:ascii="宋体" w:hAnsi="宋体"/>
          <w:b/>
          <w:sz w:val="32"/>
          <w:szCs w:val="32"/>
        </w:rPr>
      </w:pPr>
      <w:r>
        <w:rPr>
          <w:rFonts w:hint="eastAsia" w:ascii="宋体" w:hAnsi="宋体"/>
          <w:b/>
          <w:sz w:val="32"/>
          <w:szCs w:val="32"/>
        </w:rPr>
        <w:t>商务条款偏离表</w:t>
      </w:r>
    </w:p>
    <w:p>
      <w:pPr>
        <w:ind w:left="808" w:hanging="808" w:hangingChars="337"/>
        <w:rPr>
          <w:rFonts w:ascii="宋体" w:hAnsi="宋体"/>
          <w:szCs w:val="24"/>
        </w:rPr>
      </w:pPr>
      <w:r>
        <w:rPr>
          <w:rFonts w:hint="eastAsia" w:ascii="宋体" w:hAnsi="宋体"/>
          <w:szCs w:val="24"/>
        </w:rPr>
        <w:t>采购项目名称：2026-2027年广州白云机场海关南1、2号楼物业管理服务</w:t>
      </w:r>
    </w:p>
    <w:p>
      <w:pPr>
        <w:ind w:left="808" w:hanging="808" w:hangingChars="337"/>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2319"/>
        <w:gridCol w:w="2319"/>
        <w:gridCol w:w="1365"/>
        <w:gridCol w:w="1365"/>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pPr>
              <w:wordWrap w:val="0"/>
              <w:autoSpaceDE w:val="0"/>
              <w:autoSpaceDN w:val="0"/>
              <w:jc w:val="center"/>
              <w:rPr>
                <w:rFonts w:ascii="宋体" w:hAnsi="宋体"/>
                <w:szCs w:val="24"/>
              </w:rPr>
            </w:pPr>
            <w:r>
              <w:rPr>
                <w:rFonts w:hint="eastAsia" w:ascii="宋体" w:hAnsi="宋体"/>
                <w:szCs w:val="24"/>
              </w:rPr>
              <w:t>序号</w:t>
            </w:r>
          </w:p>
        </w:tc>
        <w:tc>
          <w:tcPr>
            <w:tcW w:w="2319" w:type="dxa"/>
            <w:vAlign w:val="center"/>
          </w:tcPr>
          <w:p>
            <w:pPr>
              <w:wordWrap w:val="0"/>
              <w:autoSpaceDE w:val="0"/>
              <w:autoSpaceDN w:val="0"/>
              <w:jc w:val="center"/>
              <w:rPr>
                <w:rFonts w:ascii="宋体" w:hAnsi="宋体"/>
                <w:szCs w:val="24"/>
              </w:rPr>
            </w:pPr>
            <w:r>
              <w:rPr>
                <w:rFonts w:hint="eastAsia" w:ascii="宋体" w:hAnsi="宋体"/>
                <w:szCs w:val="24"/>
              </w:rPr>
              <w:t>磋商文件商务条款要求</w:t>
            </w:r>
          </w:p>
        </w:tc>
        <w:tc>
          <w:tcPr>
            <w:tcW w:w="2319" w:type="dxa"/>
            <w:vAlign w:val="center"/>
          </w:tcPr>
          <w:p>
            <w:pPr>
              <w:wordWrap w:val="0"/>
              <w:autoSpaceDE w:val="0"/>
              <w:autoSpaceDN w:val="0"/>
              <w:jc w:val="center"/>
              <w:rPr>
                <w:rFonts w:ascii="宋体" w:hAnsi="宋体"/>
                <w:szCs w:val="24"/>
              </w:rPr>
            </w:pPr>
            <w:r>
              <w:rPr>
                <w:rFonts w:hint="eastAsia" w:ascii="宋体" w:hAnsi="宋体"/>
                <w:szCs w:val="24"/>
              </w:rPr>
              <w:t>响应文件商务条款响应</w:t>
            </w:r>
          </w:p>
        </w:tc>
        <w:tc>
          <w:tcPr>
            <w:tcW w:w="1365" w:type="dxa"/>
            <w:vAlign w:val="center"/>
          </w:tcPr>
          <w:p>
            <w:pPr>
              <w:wordWrap w:val="0"/>
              <w:autoSpaceDE w:val="0"/>
              <w:autoSpaceDN w:val="0"/>
              <w:jc w:val="center"/>
              <w:rPr>
                <w:rFonts w:ascii="宋体" w:hAnsi="宋体"/>
                <w:szCs w:val="24"/>
              </w:rPr>
            </w:pPr>
            <w:r>
              <w:rPr>
                <w:rFonts w:hint="eastAsia" w:ascii="宋体" w:hAnsi="宋体"/>
                <w:szCs w:val="24"/>
              </w:rPr>
              <w:t>响应状态（正/负/无偏离）</w:t>
            </w:r>
          </w:p>
        </w:tc>
        <w:tc>
          <w:tcPr>
            <w:tcW w:w="1365" w:type="dxa"/>
            <w:vAlign w:val="center"/>
          </w:tcPr>
          <w:p>
            <w:pPr>
              <w:wordWrap w:val="0"/>
              <w:autoSpaceDE w:val="0"/>
              <w:autoSpaceDN w:val="0"/>
              <w:jc w:val="center"/>
              <w:rPr>
                <w:rFonts w:ascii="宋体" w:hAnsi="宋体"/>
                <w:szCs w:val="24"/>
              </w:rPr>
            </w:pPr>
            <w:r>
              <w:rPr>
                <w:rFonts w:hint="eastAsia" w:ascii="宋体" w:hAnsi="宋体"/>
                <w:szCs w:val="24"/>
              </w:rPr>
              <w:t>偏离说明</w:t>
            </w:r>
          </w:p>
        </w:tc>
        <w:tc>
          <w:tcPr>
            <w:tcW w:w="1326" w:type="dxa"/>
          </w:tcPr>
          <w:p>
            <w:pPr>
              <w:wordWrap w:val="0"/>
              <w:autoSpaceDE w:val="0"/>
              <w:autoSpaceDN w:val="0"/>
              <w:jc w:val="center"/>
              <w:rPr>
                <w:rFonts w:ascii="宋体" w:hAnsi="宋体"/>
                <w:szCs w:val="21"/>
              </w:rPr>
            </w:pPr>
            <w:r>
              <w:rPr>
                <w:rFonts w:hint="eastAsia" w:ascii="宋体" w:hAnsi="宋体"/>
                <w:szCs w:val="21"/>
              </w:rPr>
              <w:t>响应文件响应页码（如有）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pPr>
              <w:wordWrap w:val="0"/>
              <w:autoSpaceDE w:val="0"/>
              <w:autoSpaceDN w:val="0"/>
              <w:jc w:val="center"/>
              <w:rPr>
                <w:rFonts w:ascii="宋体" w:hAnsi="宋体"/>
                <w:szCs w:val="24"/>
              </w:rPr>
            </w:pPr>
          </w:p>
        </w:tc>
        <w:tc>
          <w:tcPr>
            <w:tcW w:w="2319"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319"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26" w:type="dxa"/>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pPr>
              <w:wordWrap w:val="0"/>
              <w:autoSpaceDE w:val="0"/>
              <w:autoSpaceDN w:val="0"/>
              <w:jc w:val="center"/>
              <w:rPr>
                <w:rFonts w:ascii="宋体" w:hAnsi="宋体"/>
                <w:szCs w:val="24"/>
              </w:rPr>
            </w:pPr>
          </w:p>
        </w:tc>
        <w:tc>
          <w:tcPr>
            <w:tcW w:w="2319"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319"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26" w:type="dxa"/>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6" w:type="dxa"/>
            <w:vAlign w:val="center"/>
          </w:tcPr>
          <w:p>
            <w:pPr>
              <w:wordWrap w:val="0"/>
              <w:autoSpaceDE w:val="0"/>
              <w:autoSpaceDN w:val="0"/>
              <w:jc w:val="center"/>
              <w:rPr>
                <w:rFonts w:ascii="宋体" w:hAnsi="宋体"/>
                <w:szCs w:val="24"/>
              </w:rPr>
            </w:pPr>
          </w:p>
        </w:tc>
        <w:tc>
          <w:tcPr>
            <w:tcW w:w="2319"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319"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26" w:type="dxa"/>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pPr>
              <w:wordWrap w:val="0"/>
              <w:autoSpaceDE w:val="0"/>
              <w:autoSpaceDN w:val="0"/>
              <w:jc w:val="center"/>
              <w:rPr>
                <w:rFonts w:ascii="宋体" w:hAnsi="宋体"/>
                <w:szCs w:val="24"/>
              </w:rPr>
            </w:pPr>
            <w:r>
              <w:rPr>
                <w:rFonts w:ascii="宋体" w:hAnsi="宋体"/>
                <w:szCs w:val="24"/>
              </w:rPr>
              <w:t>……</w:t>
            </w:r>
          </w:p>
        </w:tc>
        <w:tc>
          <w:tcPr>
            <w:tcW w:w="2319"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319"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26" w:type="dxa"/>
          </w:tcPr>
          <w:p>
            <w:pPr>
              <w:wordWrap w:val="0"/>
              <w:autoSpaceDE w:val="0"/>
              <w:autoSpaceDN w:val="0"/>
              <w:jc w:val="center"/>
              <w:rPr>
                <w:rFonts w:ascii="宋体" w:hAnsi="宋体"/>
                <w:szCs w:val="24"/>
              </w:rPr>
            </w:pPr>
          </w:p>
        </w:tc>
      </w:tr>
    </w:tbl>
    <w:p>
      <w:pPr>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rPr>
          <w:rFonts w:ascii="宋体" w:hAnsi="宋体"/>
          <w:szCs w:val="24"/>
        </w:rPr>
      </w:pPr>
    </w:p>
    <w:p>
      <w:pPr>
        <w:rPr>
          <w:rFonts w:ascii="宋体" w:hAnsi="宋体"/>
          <w:b/>
          <w:szCs w:val="24"/>
        </w:rPr>
      </w:pPr>
      <w:r>
        <w:rPr>
          <w:rFonts w:hint="eastAsia" w:ascii="宋体" w:hAnsi="宋体"/>
          <w:b/>
          <w:szCs w:val="24"/>
        </w:rPr>
        <w:t>备注：</w:t>
      </w:r>
    </w:p>
    <w:p>
      <w:pPr>
        <w:ind w:firstLine="480" w:firstLineChars="200"/>
        <w:rPr>
          <w:rFonts w:ascii="宋体" w:hAnsi="宋体"/>
          <w:szCs w:val="24"/>
        </w:rPr>
      </w:pPr>
      <w:r>
        <w:rPr>
          <w:rFonts w:hint="eastAsia" w:ascii="宋体" w:hAnsi="宋体"/>
          <w:szCs w:val="24"/>
        </w:rPr>
        <w:t>1.供应商应对磋商文件第二部分《采购需求》中各商务条款逐一如实填写上表。供应商应当如实填写上表“响应文件商务条款响应”处内容，对采购文件提出的要求和条件作出明确响应，并列明具体响应数值或内容，不能照搬采购文件的内容，仅注明符合、满足等无具体内容表述的，将可能被视为未实质性满足磋商文件要求。供应商需要说明的内容若需特殊表达，应先在本表中进行相应说明，再另页应答。</w:t>
      </w:r>
    </w:p>
    <w:p>
      <w:pPr>
        <w:ind w:firstLine="480" w:firstLineChars="200"/>
        <w:rPr>
          <w:rFonts w:ascii="宋体" w:hAnsi="宋体"/>
          <w:szCs w:val="24"/>
        </w:rPr>
      </w:pPr>
      <w:r>
        <w:rPr>
          <w:rFonts w:hint="eastAsia" w:ascii="宋体" w:hAnsi="宋体"/>
          <w:szCs w:val="24"/>
        </w:rPr>
        <w:t>2.上表中“响应状态”应按下列规定填写：优于的，填写“正偏离”；符合的，填写“无偏离”；低于的，填写“负偏离”。“正偏离”或“负偏离”应在“偏离说明”列中进行说明。</w:t>
      </w:r>
    </w:p>
    <w:p>
      <w:pPr>
        <w:ind w:firstLine="480" w:firstLineChars="200"/>
        <w:rPr>
          <w:rFonts w:ascii="宋体" w:hAnsi="宋体"/>
          <w:szCs w:val="24"/>
        </w:rPr>
      </w:pPr>
      <w:r>
        <w:rPr>
          <w:rFonts w:hint="eastAsia" w:ascii="宋体" w:hAnsi="宋体"/>
          <w:szCs w:val="24"/>
        </w:rPr>
        <w:t>3.如果供应商对商务条款无任何偏离，请在上表正文内容第一行填写“无商务条款偏离”。</w:t>
      </w:r>
    </w:p>
    <w:p>
      <w:pPr>
        <w:wordWrap w:val="0"/>
        <w:autoSpaceDE w:val="0"/>
        <w:autoSpaceDN w:val="0"/>
        <w:ind w:firstLine="480" w:firstLineChars="200"/>
        <w:rPr>
          <w:rFonts w:ascii="宋体" w:hAnsi="宋体"/>
          <w:b/>
          <w:szCs w:val="24"/>
        </w:rPr>
      </w:pPr>
      <w:r>
        <w:rPr>
          <w:rFonts w:hint="eastAsia" w:ascii="宋体" w:hAnsi="宋体"/>
          <w:b/>
          <w:szCs w:val="24"/>
        </w:rPr>
        <w:t>4.磋商文件中带“▲”的重要性条款（如有），供应商须标识清楚。带“★”的条款（如有）在《实质性响应一览表》中罗列，本表不需要重复。</w:t>
      </w:r>
    </w:p>
    <w:p>
      <w:pPr>
        <w:wordWrap w:val="0"/>
        <w:autoSpaceDE w:val="0"/>
        <w:autoSpaceDN w:val="0"/>
        <w:ind w:firstLine="480" w:firstLineChars="200"/>
        <w:rPr>
          <w:rFonts w:ascii="宋体" w:hAnsi="宋体"/>
          <w:b/>
          <w:szCs w:val="24"/>
        </w:rPr>
      </w:pPr>
    </w:p>
    <w:p>
      <w:pPr>
        <w:pStyle w:val="5"/>
        <w:numPr>
          <w:ilvl w:val="0"/>
          <w:numId w:val="69"/>
        </w:numPr>
        <w:tabs>
          <w:tab w:val="left" w:pos="945"/>
        </w:tabs>
        <w:spacing w:before="0" w:after="0" w:line="360" w:lineRule="auto"/>
        <w:ind w:left="0" w:firstLine="0"/>
        <w:rPr>
          <w:sz w:val="28"/>
          <w:szCs w:val="28"/>
        </w:rPr>
      </w:pPr>
      <w:bookmarkStart w:id="458" w:name="_Toc56180367"/>
      <w:bookmarkStart w:id="459" w:name="_Toc55398773"/>
      <w:bookmarkStart w:id="460" w:name="_Toc50460261"/>
      <w:bookmarkStart w:id="461" w:name="_Toc22806233"/>
      <w:r>
        <w:rPr>
          <w:rFonts w:hint="eastAsia"/>
          <w:sz w:val="28"/>
          <w:szCs w:val="28"/>
        </w:rPr>
        <w:t>合同条款偏离表</w:t>
      </w:r>
      <w:bookmarkEnd w:id="458"/>
      <w:bookmarkEnd w:id="459"/>
      <w:bookmarkEnd w:id="460"/>
      <w:bookmarkEnd w:id="461"/>
    </w:p>
    <w:p>
      <w:pPr>
        <w:wordWrap w:val="0"/>
        <w:autoSpaceDE w:val="0"/>
        <w:autoSpaceDN w:val="0"/>
        <w:jc w:val="center"/>
        <w:rPr>
          <w:rFonts w:ascii="宋体" w:hAnsi="宋体"/>
          <w:b/>
          <w:sz w:val="32"/>
          <w:szCs w:val="32"/>
        </w:rPr>
      </w:pPr>
      <w:r>
        <w:rPr>
          <w:rFonts w:hint="eastAsia" w:ascii="宋体" w:hAnsi="宋体"/>
          <w:b/>
          <w:sz w:val="32"/>
          <w:szCs w:val="32"/>
        </w:rPr>
        <w:t>合同条款偏离表</w:t>
      </w:r>
    </w:p>
    <w:p>
      <w:pPr>
        <w:wordWrap w:val="0"/>
        <w:autoSpaceDE w:val="0"/>
        <w:autoSpaceDN w:val="0"/>
        <w:rPr>
          <w:rFonts w:ascii="宋体" w:hAnsi="宋体"/>
          <w:szCs w:val="24"/>
        </w:rPr>
      </w:pPr>
    </w:p>
    <w:p>
      <w:pPr>
        <w:ind w:left="808" w:hanging="808" w:hangingChars="337"/>
        <w:rPr>
          <w:rFonts w:ascii="宋体" w:hAnsi="宋体"/>
          <w:szCs w:val="24"/>
        </w:rPr>
      </w:pPr>
      <w:r>
        <w:rPr>
          <w:rFonts w:hint="eastAsia" w:ascii="宋体" w:hAnsi="宋体"/>
          <w:szCs w:val="24"/>
        </w:rPr>
        <w:t>采购项目名称：2026-2027年广州白云机场海关南1、2号楼物业管理服务</w:t>
      </w:r>
    </w:p>
    <w:p>
      <w:pPr>
        <w:ind w:left="808" w:hanging="808" w:hangingChars="337"/>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701"/>
        <w:gridCol w:w="2701"/>
        <w:gridCol w:w="1551"/>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wordWrap w:val="0"/>
              <w:autoSpaceDE w:val="0"/>
              <w:autoSpaceDN w:val="0"/>
              <w:jc w:val="center"/>
              <w:rPr>
                <w:rFonts w:ascii="宋体" w:hAnsi="宋体"/>
                <w:szCs w:val="24"/>
              </w:rPr>
            </w:pPr>
            <w:r>
              <w:rPr>
                <w:rFonts w:hint="eastAsia" w:ascii="宋体" w:hAnsi="宋体"/>
                <w:szCs w:val="24"/>
              </w:rPr>
              <w:t>序号</w:t>
            </w:r>
          </w:p>
        </w:tc>
        <w:tc>
          <w:tcPr>
            <w:tcW w:w="2701" w:type="dxa"/>
            <w:vAlign w:val="center"/>
          </w:tcPr>
          <w:p>
            <w:pPr>
              <w:wordWrap w:val="0"/>
              <w:autoSpaceDE w:val="0"/>
              <w:autoSpaceDN w:val="0"/>
              <w:jc w:val="center"/>
              <w:rPr>
                <w:rFonts w:ascii="宋体" w:hAnsi="宋体"/>
                <w:szCs w:val="24"/>
              </w:rPr>
            </w:pPr>
            <w:r>
              <w:rPr>
                <w:rFonts w:hint="eastAsia" w:ascii="宋体" w:hAnsi="宋体"/>
                <w:szCs w:val="24"/>
              </w:rPr>
              <w:t>磋商文件合同条款要求</w:t>
            </w:r>
          </w:p>
        </w:tc>
        <w:tc>
          <w:tcPr>
            <w:tcW w:w="2701" w:type="dxa"/>
            <w:vAlign w:val="center"/>
          </w:tcPr>
          <w:p>
            <w:pPr>
              <w:wordWrap w:val="0"/>
              <w:autoSpaceDE w:val="0"/>
              <w:autoSpaceDN w:val="0"/>
              <w:jc w:val="center"/>
              <w:rPr>
                <w:rFonts w:ascii="宋体" w:hAnsi="宋体"/>
                <w:szCs w:val="24"/>
              </w:rPr>
            </w:pPr>
            <w:r>
              <w:rPr>
                <w:rFonts w:hint="eastAsia" w:ascii="宋体" w:hAnsi="宋体"/>
                <w:szCs w:val="24"/>
              </w:rPr>
              <w:t>响应文件合同条款响应</w:t>
            </w:r>
          </w:p>
        </w:tc>
        <w:tc>
          <w:tcPr>
            <w:tcW w:w="1551" w:type="dxa"/>
            <w:vAlign w:val="center"/>
          </w:tcPr>
          <w:p>
            <w:pPr>
              <w:wordWrap w:val="0"/>
              <w:autoSpaceDE w:val="0"/>
              <w:autoSpaceDN w:val="0"/>
              <w:jc w:val="center"/>
              <w:rPr>
                <w:rFonts w:ascii="宋体" w:hAnsi="宋体"/>
                <w:szCs w:val="24"/>
              </w:rPr>
            </w:pPr>
            <w:r>
              <w:rPr>
                <w:rFonts w:hint="eastAsia" w:ascii="宋体" w:hAnsi="宋体"/>
                <w:szCs w:val="24"/>
              </w:rPr>
              <w:t>响应状态（正/负/无偏离）</w:t>
            </w:r>
          </w:p>
        </w:tc>
        <w:tc>
          <w:tcPr>
            <w:tcW w:w="1552" w:type="dxa"/>
            <w:vAlign w:val="center"/>
          </w:tcPr>
          <w:p>
            <w:pPr>
              <w:wordWrap w:val="0"/>
              <w:autoSpaceDE w:val="0"/>
              <w:autoSpaceDN w:val="0"/>
              <w:jc w:val="center"/>
              <w:rPr>
                <w:rFonts w:ascii="宋体" w:hAnsi="宋体"/>
                <w:szCs w:val="24"/>
              </w:rPr>
            </w:pPr>
            <w:r>
              <w:rPr>
                <w:rFonts w:hint="eastAsia" w:ascii="宋体" w:hAnsi="宋体"/>
                <w:szCs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wordWrap w:val="0"/>
              <w:autoSpaceDE w:val="0"/>
              <w:autoSpaceDN w:val="0"/>
              <w:jc w:val="center"/>
              <w:rPr>
                <w:rFonts w:ascii="宋体" w:hAnsi="宋体"/>
                <w:szCs w:val="24"/>
              </w:rPr>
            </w:pP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2"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wordWrap w:val="0"/>
              <w:autoSpaceDE w:val="0"/>
              <w:autoSpaceDN w:val="0"/>
              <w:jc w:val="center"/>
              <w:rPr>
                <w:rFonts w:ascii="宋体" w:hAnsi="宋体"/>
                <w:szCs w:val="24"/>
              </w:rPr>
            </w:pP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2"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9" w:type="dxa"/>
            <w:vAlign w:val="center"/>
          </w:tcPr>
          <w:p>
            <w:pPr>
              <w:wordWrap w:val="0"/>
              <w:autoSpaceDE w:val="0"/>
              <w:autoSpaceDN w:val="0"/>
              <w:jc w:val="center"/>
              <w:rPr>
                <w:rFonts w:ascii="宋体" w:hAnsi="宋体"/>
                <w:szCs w:val="24"/>
              </w:rPr>
            </w:pP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2"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wordWrap w:val="0"/>
              <w:autoSpaceDE w:val="0"/>
              <w:autoSpaceDN w:val="0"/>
              <w:jc w:val="center"/>
              <w:rPr>
                <w:rFonts w:ascii="宋体" w:hAnsi="宋体"/>
                <w:szCs w:val="24"/>
              </w:rPr>
            </w:pP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2"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wordWrap w:val="0"/>
              <w:autoSpaceDE w:val="0"/>
              <w:autoSpaceDN w:val="0"/>
              <w:jc w:val="center"/>
              <w:rPr>
                <w:rFonts w:ascii="宋体" w:hAnsi="宋体"/>
                <w:szCs w:val="24"/>
              </w:rPr>
            </w:pP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2"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pPr>
              <w:wordWrap w:val="0"/>
              <w:autoSpaceDE w:val="0"/>
              <w:autoSpaceDN w:val="0"/>
              <w:jc w:val="center"/>
              <w:rPr>
                <w:rFonts w:ascii="宋体" w:hAnsi="宋体"/>
                <w:szCs w:val="24"/>
              </w:rPr>
            </w:pPr>
            <w:r>
              <w:rPr>
                <w:rFonts w:ascii="宋体" w:hAnsi="宋体"/>
                <w:szCs w:val="24"/>
              </w:rPr>
              <w:t>……</w:t>
            </w: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70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1"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52" w:type="dxa"/>
            <w:vAlign w:val="center"/>
          </w:tcPr>
          <w:p>
            <w:pPr>
              <w:wordWrap w:val="0"/>
              <w:autoSpaceDE w:val="0"/>
              <w:autoSpaceDN w:val="0"/>
              <w:jc w:val="center"/>
              <w:rPr>
                <w:rFonts w:ascii="宋体" w:hAnsi="宋体"/>
                <w:szCs w:val="24"/>
              </w:rPr>
            </w:pPr>
          </w:p>
        </w:tc>
      </w:tr>
    </w:tbl>
    <w:p>
      <w:pPr>
        <w:wordWrap w:val="0"/>
        <w:autoSpaceDE w:val="0"/>
        <w:autoSpaceDN w:val="0"/>
        <w:rPr>
          <w:rFonts w:ascii="宋体" w:hAnsi="宋体"/>
          <w:szCs w:val="24"/>
        </w:rPr>
      </w:pPr>
    </w:p>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rPr>
          <w:rFonts w:ascii="宋体" w:hAnsi="宋体"/>
          <w:szCs w:val="24"/>
        </w:rPr>
      </w:pPr>
    </w:p>
    <w:p>
      <w:pPr>
        <w:rPr>
          <w:rFonts w:ascii="宋体" w:hAnsi="宋体"/>
          <w:b/>
          <w:szCs w:val="24"/>
        </w:rPr>
      </w:pPr>
      <w:r>
        <w:rPr>
          <w:rFonts w:hint="eastAsia" w:ascii="宋体" w:hAnsi="宋体"/>
          <w:b/>
          <w:szCs w:val="24"/>
        </w:rPr>
        <w:t>备注：</w:t>
      </w:r>
    </w:p>
    <w:p>
      <w:pPr>
        <w:ind w:firstLine="480" w:firstLineChars="200"/>
        <w:rPr>
          <w:rFonts w:ascii="宋体" w:hAnsi="宋体"/>
          <w:szCs w:val="24"/>
        </w:rPr>
      </w:pPr>
      <w:r>
        <w:rPr>
          <w:rFonts w:hint="eastAsia" w:ascii="宋体" w:hAnsi="宋体"/>
          <w:szCs w:val="24"/>
        </w:rPr>
        <w:t>1.供应商应对采购文件第五部分《拟签订的合同文本》中各合同条款有偏离或不能响应的条款逐一如实填写上表；凡未在上表中填写的合同条款，均被视为供应商承诺完全响应采购文件中各合同条款的约定，若成交须完全接受。</w:t>
      </w:r>
    </w:p>
    <w:p>
      <w:pPr>
        <w:ind w:firstLine="480" w:firstLineChars="200"/>
        <w:rPr>
          <w:rFonts w:ascii="宋体" w:hAnsi="宋体"/>
          <w:szCs w:val="24"/>
        </w:rPr>
      </w:pPr>
      <w:r>
        <w:rPr>
          <w:rFonts w:hint="eastAsia" w:ascii="宋体" w:hAnsi="宋体"/>
          <w:szCs w:val="24"/>
        </w:rPr>
        <w:t>2.上表中“响应状态”应按下列规定填写：优于的，填写“正偏离”；符合的，填写“无偏离”；低于的，填写“负偏离”。“正偏离”或“负偏离”应在“偏离说明”列中进行说明。</w:t>
      </w:r>
    </w:p>
    <w:p>
      <w:pPr>
        <w:ind w:firstLine="480" w:firstLineChars="200"/>
        <w:rPr>
          <w:rFonts w:ascii="宋体" w:hAnsi="宋体"/>
          <w:szCs w:val="24"/>
        </w:rPr>
      </w:pPr>
      <w:r>
        <w:rPr>
          <w:rFonts w:hint="eastAsia" w:ascii="宋体" w:hAnsi="宋体"/>
          <w:szCs w:val="24"/>
        </w:rPr>
        <w:t>3.如果供应商对合同条款无任何偏离，请在上表正文内容第一行填写“无合同条款偏离”。</w:t>
      </w:r>
    </w:p>
    <w:p>
      <w:pPr>
        <w:ind w:firstLine="480" w:firstLineChars="200"/>
        <w:rPr>
          <w:rFonts w:ascii="宋体" w:hAnsi="宋体"/>
          <w:b/>
          <w:szCs w:val="24"/>
        </w:rPr>
      </w:pPr>
      <w:r>
        <w:rPr>
          <w:rFonts w:hint="eastAsia" w:ascii="宋体" w:hAnsi="宋体"/>
          <w:b/>
          <w:szCs w:val="24"/>
        </w:rPr>
        <w:t>4.带“▲”的重要性条款（如有），供应商须标识清楚。带“★”的条款（如有）在《实质性响应一览表》中罗列，本表不需要重复。</w:t>
      </w:r>
    </w:p>
    <w:p>
      <w:pPr>
        <w:ind w:firstLine="480" w:firstLineChars="200"/>
        <w:rPr>
          <w:rFonts w:ascii="宋体" w:hAnsi="宋体"/>
          <w:b/>
          <w:szCs w:val="24"/>
        </w:rPr>
      </w:pPr>
    </w:p>
    <w:p>
      <w:pPr>
        <w:pStyle w:val="5"/>
        <w:numPr>
          <w:ilvl w:val="0"/>
          <w:numId w:val="69"/>
        </w:numPr>
        <w:tabs>
          <w:tab w:val="left" w:pos="945"/>
        </w:tabs>
        <w:spacing w:before="0" w:after="0" w:line="360" w:lineRule="auto"/>
        <w:ind w:left="0" w:firstLine="0"/>
        <w:rPr>
          <w:sz w:val="28"/>
          <w:szCs w:val="28"/>
        </w:rPr>
      </w:pPr>
      <w:bookmarkStart w:id="462" w:name="_Toc56180368"/>
      <w:bookmarkStart w:id="463" w:name="_Toc50460262"/>
      <w:bookmarkStart w:id="464" w:name="_Toc22806234"/>
      <w:bookmarkStart w:id="465" w:name="_Toc55398774"/>
      <w:r>
        <w:rPr>
          <w:rFonts w:hint="eastAsia"/>
          <w:sz w:val="28"/>
          <w:szCs w:val="28"/>
        </w:rPr>
        <w:t>商务情况</w:t>
      </w:r>
      <w:bookmarkEnd w:id="462"/>
      <w:bookmarkEnd w:id="463"/>
      <w:bookmarkEnd w:id="464"/>
      <w:bookmarkEnd w:id="465"/>
    </w:p>
    <w:p>
      <w:pPr>
        <w:pStyle w:val="6"/>
        <w:numPr>
          <w:ilvl w:val="1"/>
          <w:numId w:val="69"/>
        </w:numPr>
        <w:tabs>
          <w:tab w:val="left" w:pos="945"/>
        </w:tabs>
        <w:ind w:left="0" w:firstLine="0"/>
        <w:rPr>
          <w:rFonts w:ascii="宋体" w:hAnsi="宋体"/>
          <w:szCs w:val="24"/>
        </w:rPr>
      </w:pPr>
      <w:bookmarkStart w:id="466" w:name="_Toc22806235"/>
      <w:r>
        <w:rPr>
          <w:rFonts w:hint="eastAsia" w:ascii="宋体" w:hAnsi="宋体"/>
          <w:szCs w:val="24"/>
        </w:rPr>
        <w:t>类似项目业绩（如有）</w:t>
      </w:r>
      <w:bookmarkEnd w:id="466"/>
    </w:p>
    <w:p>
      <w:pPr>
        <w:wordWrap w:val="0"/>
        <w:autoSpaceDE w:val="0"/>
        <w:autoSpaceDN w:val="0"/>
        <w:jc w:val="center"/>
        <w:rPr>
          <w:rFonts w:ascii="宋体" w:hAnsi="宋体"/>
          <w:b/>
          <w:sz w:val="32"/>
          <w:szCs w:val="32"/>
        </w:rPr>
      </w:pPr>
      <w:r>
        <w:rPr>
          <w:rFonts w:hint="eastAsia" w:ascii="宋体" w:hAnsi="宋体"/>
          <w:b/>
          <w:sz w:val="32"/>
          <w:szCs w:val="32"/>
        </w:rPr>
        <w:t>类似项目业绩</w:t>
      </w:r>
    </w:p>
    <w:p>
      <w:pPr>
        <w:wordWrap w:val="0"/>
        <w:autoSpaceDE w:val="0"/>
        <w:autoSpaceDN w:val="0"/>
        <w:rPr>
          <w:rFonts w:ascii="宋体" w:hAnsi="宋体"/>
          <w:szCs w:val="24"/>
        </w:rPr>
      </w:pPr>
    </w:p>
    <w:p>
      <w:pPr>
        <w:ind w:left="808" w:hanging="808" w:hangingChars="337"/>
        <w:rPr>
          <w:rFonts w:ascii="宋体" w:hAnsi="宋体"/>
          <w:szCs w:val="24"/>
        </w:rPr>
      </w:pPr>
      <w:r>
        <w:rPr>
          <w:rFonts w:hint="eastAsia" w:ascii="宋体" w:hAnsi="宋体"/>
          <w:szCs w:val="24"/>
        </w:rPr>
        <w:t>采购项目名称：2026-2027年广州白云机场海关南1、2号楼物业管理服务</w:t>
      </w:r>
    </w:p>
    <w:p>
      <w:pPr>
        <w:ind w:left="808" w:hanging="808" w:hangingChars="337"/>
        <w:rPr>
          <w:rFonts w:ascii="宋体" w:hAnsi="宋体"/>
          <w:szCs w:val="24"/>
        </w:rPr>
      </w:pPr>
      <w:r>
        <w:rPr>
          <w:rFonts w:hint="eastAsia" w:ascii="宋体" w:hAnsi="宋体"/>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5"/>
        <w:gridCol w:w="1134"/>
        <w:gridCol w:w="1505"/>
        <w:gridCol w:w="1614"/>
        <w:gridCol w:w="1417"/>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851" w:type="dxa"/>
            <w:vAlign w:val="center"/>
          </w:tcPr>
          <w:p>
            <w:pPr>
              <w:wordWrap w:val="0"/>
              <w:autoSpaceDE w:val="0"/>
              <w:autoSpaceDN w:val="0"/>
              <w:jc w:val="center"/>
              <w:rPr>
                <w:rFonts w:ascii="宋体" w:hAnsi="宋体"/>
                <w:szCs w:val="24"/>
              </w:rPr>
            </w:pPr>
            <w:r>
              <w:rPr>
                <w:rFonts w:hint="eastAsia" w:ascii="宋体" w:hAnsi="宋体"/>
                <w:szCs w:val="24"/>
              </w:rPr>
              <w:t>序号</w:t>
            </w:r>
          </w:p>
        </w:tc>
        <w:tc>
          <w:tcPr>
            <w:tcW w:w="1275" w:type="dxa"/>
            <w:vAlign w:val="center"/>
          </w:tcPr>
          <w:p>
            <w:pPr>
              <w:wordWrap w:val="0"/>
              <w:autoSpaceDE w:val="0"/>
              <w:autoSpaceDN w:val="0"/>
              <w:jc w:val="center"/>
              <w:rPr>
                <w:rFonts w:ascii="宋体" w:hAnsi="宋体"/>
                <w:szCs w:val="24"/>
              </w:rPr>
            </w:pPr>
            <w:r>
              <w:rPr>
                <w:rFonts w:hint="eastAsia" w:ascii="宋体" w:hAnsi="宋体"/>
                <w:szCs w:val="24"/>
              </w:rPr>
              <w:t>项目名称</w:t>
            </w:r>
          </w:p>
        </w:tc>
        <w:tc>
          <w:tcPr>
            <w:tcW w:w="1134" w:type="dxa"/>
            <w:vAlign w:val="center"/>
          </w:tcPr>
          <w:p>
            <w:pPr>
              <w:wordWrap w:val="0"/>
              <w:autoSpaceDE w:val="0"/>
              <w:autoSpaceDN w:val="0"/>
              <w:jc w:val="center"/>
              <w:rPr>
                <w:rFonts w:ascii="宋体" w:hAnsi="宋体"/>
                <w:szCs w:val="24"/>
              </w:rPr>
            </w:pPr>
            <w:r>
              <w:rPr>
                <w:rFonts w:hint="eastAsia" w:ascii="宋体" w:hAnsi="宋体"/>
                <w:szCs w:val="24"/>
              </w:rPr>
              <w:t>项目主要内容</w:t>
            </w:r>
          </w:p>
        </w:tc>
        <w:tc>
          <w:tcPr>
            <w:tcW w:w="1505" w:type="dxa"/>
            <w:vAlign w:val="center"/>
          </w:tcPr>
          <w:p>
            <w:pPr>
              <w:wordWrap w:val="0"/>
              <w:autoSpaceDE w:val="0"/>
              <w:autoSpaceDN w:val="0"/>
              <w:jc w:val="center"/>
              <w:rPr>
                <w:rFonts w:ascii="宋体" w:hAnsi="宋体"/>
                <w:szCs w:val="24"/>
              </w:rPr>
            </w:pPr>
            <w:r>
              <w:rPr>
                <w:rFonts w:hint="eastAsia" w:ascii="宋体" w:hAnsi="宋体"/>
                <w:szCs w:val="24"/>
              </w:rPr>
              <w:t>合同签订时间</w:t>
            </w:r>
          </w:p>
        </w:tc>
        <w:tc>
          <w:tcPr>
            <w:tcW w:w="1614" w:type="dxa"/>
            <w:vAlign w:val="center"/>
          </w:tcPr>
          <w:p>
            <w:pPr>
              <w:wordWrap w:val="0"/>
              <w:autoSpaceDE w:val="0"/>
              <w:autoSpaceDN w:val="0"/>
              <w:jc w:val="center"/>
              <w:rPr>
                <w:rFonts w:ascii="宋体" w:hAnsi="宋体"/>
                <w:szCs w:val="24"/>
              </w:rPr>
            </w:pPr>
            <w:r>
              <w:rPr>
                <w:rFonts w:hint="eastAsia" w:ascii="宋体" w:hAnsi="宋体"/>
                <w:szCs w:val="24"/>
              </w:rPr>
              <w:t>业主名称及联系电话</w:t>
            </w:r>
          </w:p>
        </w:tc>
        <w:tc>
          <w:tcPr>
            <w:tcW w:w="1417" w:type="dxa"/>
            <w:vAlign w:val="center"/>
          </w:tcPr>
          <w:p>
            <w:pPr>
              <w:wordWrap w:val="0"/>
              <w:autoSpaceDE w:val="0"/>
              <w:autoSpaceDN w:val="0"/>
              <w:jc w:val="center"/>
              <w:rPr>
                <w:rFonts w:ascii="宋体" w:hAnsi="宋体"/>
                <w:szCs w:val="24"/>
              </w:rPr>
            </w:pPr>
            <w:r>
              <w:rPr>
                <w:rFonts w:hint="eastAsia" w:ascii="宋体" w:hAnsi="宋体"/>
                <w:szCs w:val="24"/>
              </w:rPr>
              <w:t>合同金额</w:t>
            </w:r>
          </w:p>
          <w:p>
            <w:pPr>
              <w:wordWrap w:val="0"/>
              <w:autoSpaceDE w:val="0"/>
              <w:autoSpaceDN w:val="0"/>
              <w:jc w:val="center"/>
              <w:rPr>
                <w:rFonts w:ascii="宋体" w:hAnsi="宋体"/>
                <w:szCs w:val="24"/>
              </w:rPr>
            </w:pPr>
            <w:r>
              <w:rPr>
                <w:rFonts w:hint="eastAsia" w:ascii="宋体" w:hAnsi="宋体"/>
                <w:szCs w:val="24"/>
              </w:rPr>
              <w:t>（万元）</w:t>
            </w:r>
          </w:p>
        </w:tc>
        <w:tc>
          <w:tcPr>
            <w:tcW w:w="1314" w:type="dxa"/>
            <w:vAlign w:val="center"/>
          </w:tcPr>
          <w:p>
            <w:pPr>
              <w:wordWrap w:val="0"/>
              <w:autoSpaceDE w:val="0"/>
              <w:autoSpaceDN w:val="0"/>
              <w:jc w:val="center"/>
              <w:rPr>
                <w:rFonts w:ascii="宋体" w:hAnsi="宋体"/>
                <w:szCs w:val="24"/>
              </w:rPr>
            </w:pPr>
            <w:r>
              <w:rPr>
                <w:rFonts w:hint="eastAsia" w:ascii="宋体" w:hAnsi="宋体"/>
                <w:szCs w:val="24"/>
              </w:rPr>
              <w:t>证明材料（如有，在响应文件页码）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vAlign w:val="center"/>
          </w:tcPr>
          <w:p>
            <w:pPr>
              <w:wordWrap w:val="0"/>
              <w:autoSpaceDE w:val="0"/>
              <w:autoSpaceDN w:val="0"/>
              <w:jc w:val="center"/>
              <w:rPr>
                <w:rFonts w:ascii="宋体" w:hAnsi="宋体"/>
                <w:szCs w:val="24"/>
              </w:rPr>
            </w:pPr>
          </w:p>
        </w:tc>
        <w:tc>
          <w:tcPr>
            <w:tcW w:w="127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0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614"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14" w:type="dxa"/>
            <w:vAlign w:val="center"/>
          </w:tcPr>
          <w:p>
            <w:pPr>
              <w:wordWrap w:val="0"/>
              <w:autoSpaceDE w:val="0"/>
              <w:autoSpaceDN w:val="0"/>
              <w:jc w:val="center"/>
              <w:rPr>
                <w:rFonts w:ascii="宋体" w:hAnsi="宋体"/>
                <w:szCs w:val="24"/>
              </w:rPr>
            </w:pPr>
            <w:r>
              <w:rPr>
                <w:rFonts w:hint="eastAsia" w:ascii="宋体" w:hAnsi="宋体"/>
                <w:szCs w:val="24"/>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vAlign w:val="center"/>
          </w:tcPr>
          <w:p>
            <w:pPr>
              <w:wordWrap w:val="0"/>
              <w:autoSpaceDE w:val="0"/>
              <w:autoSpaceDN w:val="0"/>
              <w:jc w:val="center"/>
              <w:rPr>
                <w:rFonts w:ascii="宋体" w:hAnsi="宋体"/>
                <w:szCs w:val="24"/>
              </w:rPr>
            </w:pPr>
          </w:p>
        </w:tc>
        <w:tc>
          <w:tcPr>
            <w:tcW w:w="127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0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614"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14"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vAlign w:val="center"/>
          </w:tcPr>
          <w:p>
            <w:pPr>
              <w:wordWrap w:val="0"/>
              <w:autoSpaceDE w:val="0"/>
              <w:autoSpaceDN w:val="0"/>
              <w:jc w:val="center"/>
              <w:rPr>
                <w:rFonts w:ascii="宋体" w:hAnsi="宋体"/>
                <w:szCs w:val="24"/>
              </w:rPr>
            </w:pPr>
          </w:p>
        </w:tc>
        <w:tc>
          <w:tcPr>
            <w:tcW w:w="127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0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614"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14"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vAlign w:val="center"/>
          </w:tcPr>
          <w:p>
            <w:pPr>
              <w:wordWrap w:val="0"/>
              <w:autoSpaceDE w:val="0"/>
              <w:autoSpaceDN w:val="0"/>
              <w:jc w:val="center"/>
              <w:rPr>
                <w:rFonts w:ascii="宋体" w:hAnsi="宋体"/>
                <w:szCs w:val="24"/>
              </w:rPr>
            </w:pPr>
          </w:p>
        </w:tc>
        <w:tc>
          <w:tcPr>
            <w:tcW w:w="127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r>
              <w:rPr>
                <w:rFonts w:ascii="宋体" w:hAnsi="宋体"/>
                <w:szCs w:val="24"/>
              </w:rPr>
              <w:t>……</w:t>
            </w:r>
          </w:p>
        </w:tc>
        <w:tc>
          <w:tcPr>
            <w:tcW w:w="1134"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0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614"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41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314" w:type="dxa"/>
            <w:vAlign w:val="center"/>
          </w:tcPr>
          <w:p>
            <w:pPr>
              <w:wordWrap w:val="0"/>
              <w:autoSpaceDE w:val="0"/>
              <w:autoSpaceDN w:val="0"/>
              <w:jc w:val="center"/>
              <w:rPr>
                <w:rFonts w:ascii="宋体" w:hAnsi="宋体"/>
                <w:szCs w:val="24"/>
              </w:rPr>
            </w:pPr>
          </w:p>
        </w:tc>
      </w:tr>
    </w:tbl>
    <w:p>
      <w:pPr>
        <w:rPr>
          <w:rFonts w:ascii="宋体" w:hAnsi="宋体"/>
          <w:szCs w:val="24"/>
        </w:rPr>
      </w:pPr>
    </w:p>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rPr>
          <w:rFonts w:ascii="宋体" w:hAnsi="宋体"/>
          <w:szCs w:val="24"/>
        </w:rPr>
      </w:pPr>
    </w:p>
    <w:p>
      <w:pPr>
        <w:rPr>
          <w:rFonts w:ascii="宋体" w:hAnsi="宋体"/>
          <w:b/>
          <w:szCs w:val="24"/>
        </w:rPr>
      </w:pPr>
      <w:r>
        <w:rPr>
          <w:rFonts w:hint="eastAsia" w:ascii="宋体" w:hAnsi="宋体"/>
          <w:b/>
          <w:szCs w:val="24"/>
        </w:rPr>
        <w:t>备注：</w:t>
      </w:r>
    </w:p>
    <w:p>
      <w:pPr>
        <w:ind w:firstLine="480" w:firstLineChars="200"/>
        <w:rPr>
          <w:rFonts w:ascii="宋体" w:hAnsi="宋体"/>
          <w:szCs w:val="24"/>
        </w:rPr>
      </w:pPr>
      <w:r>
        <w:rPr>
          <w:rFonts w:hint="eastAsia" w:ascii="宋体" w:hAnsi="宋体"/>
          <w:szCs w:val="24"/>
        </w:rPr>
        <w:t>1.供应商应如实填写类似项目业绩，不得弄虚作假；</w:t>
      </w:r>
    </w:p>
    <w:p>
      <w:pPr>
        <w:ind w:firstLine="480" w:firstLineChars="200"/>
        <w:rPr>
          <w:rFonts w:ascii="宋体" w:hAnsi="宋体"/>
          <w:szCs w:val="24"/>
        </w:rPr>
      </w:pPr>
      <w:r>
        <w:rPr>
          <w:rFonts w:hint="eastAsia" w:ascii="宋体" w:hAnsi="宋体"/>
          <w:szCs w:val="24"/>
        </w:rPr>
        <w:t>2.如果供应商有类似项目业绩，请在上表后附业绩的相关材料</w:t>
      </w:r>
      <w:r>
        <w:rPr>
          <w:rFonts w:hint="eastAsia" w:ascii="宋体" w:hAnsi="宋体"/>
          <w:b/>
          <w:szCs w:val="24"/>
        </w:rPr>
        <w:t>（如评分表中对相关材料作出要求的，按其要求提供；</w:t>
      </w:r>
      <w:r>
        <w:rPr>
          <w:rFonts w:hint="eastAsia" w:ascii="宋体" w:hAnsi="宋体"/>
          <w:szCs w:val="24"/>
        </w:rPr>
        <w:t>如评分表中未对相关材料作出要求的，提供反映业绩各方当事人名称、合同金额、合同签订时间及当事人盖章签署等合同关键页及验收报告或业主验收证明等）；</w:t>
      </w:r>
    </w:p>
    <w:p>
      <w:pPr>
        <w:ind w:firstLine="480" w:firstLineChars="200"/>
        <w:rPr>
          <w:rFonts w:ascii="宋体" w:hAnsi="宋体"/>
          <w:szCs w:val="24"/>
        </w:rPr>
      </w:pPr>
      <w:r>
        <w:rPr>
          <w:rFonts w:hint="eastAsia" w:ascii="宋体" w:hAnsi="宋体"/>
          <w:szCs w:val="24"/>
        </w:rPr>
        <w:t>3.如果供应商没有类似项目业绩，请在上表正文内容第一行填写“无类似项目业绩”。</w:t>
      </w:r>
    </w:p>
    <w:p>
      <w:pPr>
        <w:ind w:firstLine="480" w:firstLineChars="200"/>
        <w:rPr>
          <w:rFonts w:ascii="宋体" w:hAnsi="宋体"/>
          <w:szCs w:val="24"/>
        </w:rPr>
      </w:pPr>
      <w:r>
        <w:rPr>
          <w:rFonts w:hint="eastAsia" w:ascii="宋体" w:hAnsi="宋体"/>
          <w:szCs w:val="24"/>
        </w:rPr>
        <w:t>4.分支机构参加磋商的，除非磋商文件另有规定，认可总公司（总所）的类似项目业绩。</w:t>
      </w:r>
    </w:p>
    <w:p>
      <w:pPr>
        <w:wordWrap w:val="0"/>
        <w:autoSpaceDE w:val="0"/>
        <w:autoSpaceDN w:val="0"/>
        <w:rPr>
          <w:rFonts w:ascii="宋体" w:hAnsi="宋体"/>
          <w:szCs w:val="24"/>
        </w:rPr>
      </w:pPr>
    </w:p>
    <w:p>
      <w:pPr>
        <w:pStyle w:val="6"/>
        <w:numPr>
          <w:ilvl w:val="1"/>
          <w:numId w:val="69"/>
        </w:numPr>
        <w:tabs>
          <w:tab w:val="left" w:pos="945"/>
        </w:tabs>
        <w:ind w:left="0" w:firstLine="0"/>
        <w:rPr>
          <w:rFonts w:ascii="宋体" w:hAnsi="宋体"/>
          <w:szCs w:val="24"/>
        </w:rPr>
      </w:pPr>
      <w:bookmarkStart w:id="467" w:name="_Toc22806236"/>
      <w:r>
        <w:rPr>
          <w:rFonts w:hint="eastAsia" w:ascii="宋体" w:hAnsi="宋体"/>
          <w:szCs w:val="24"/>
        </w:rPr>
        <w:t>获得的荣誉、资信、认证情况（如有）</w:t>
      </w:r>
      <w:bookmarkEnd w:id="467"/>
    </w:p>
    <w:p>
      <w:pPr>
        <w:wordWrap w:val="0"/>
        <w:autoSpaceDE w:val="0"/>
        <w:autoSpaceDN w:val="0"/>
        <w:jc w:val="center"/>
        <w:rPr>
          <w:rFonts w:ascii="宋体" w:hAnsi="宋体"/>
          <w:b/>
          <w:sz w:val="32"/>
          <w:szCs w:val="32"/>
        </w:rPr>
      </w:pPr>
      <w:r>
        <w:rPr>
          <w:rFonts w:hint="eastAsia" w:ascii="宋体" w:hAnsi="宋体"/>
          <w:b/>
          <w:sz w:val="32"/>
          <w:szCs w:val="32"/>
        </w:rPr>
        <w:t>获得的荣誉、资信、认证情况</w:t>
      </w:r>
    </w:p>
    <w:p>
      <w:pPr>
        <w:wordWrap w:val="0"/>
        <w:autoSpaceDE w:val="0"/>
        <w:autoSpaceDN w:val="0"/>
        <w:rPr>
          <w:rFonts w:ascii="宋体" w:hAnsi="宋体"/>
          <w:szCs w:val="24"/>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552"/>
        <w:gridCol w:w="2087"/>
        <w:gridCol w:w="1598"/>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wordWrap w:val="0"/>
              <w:autoSpaceDE w:val="0"/>
              <w:autoSpaceDN w:val="0"/>
              <w:jc w:val="center"/>
              <w:rPr>
                <w:rFonts w:ascii="宋体" w:hAnsi="宋体"/>
                <w:szCs w:val="24"/>
              </w:rPr>
            </w:pPr>
            <w:r>
              <w:rPr>
                <w:rFonts w:hint="eastAsia" w:ascii="宋体" w:hAnsi="宋体"/>
                <w:szCs w:val="24"/>
              </w:rPr>
              <w:t>颁发日期</w:t>
            </w:r>
          </w:p>
        </w:tc>
        <w:tc>
          <w:tcPr>
            <w:tcW w:w="2552" w:type="dxa"/>
            <w:vAlign w:val="center"/>
          </w:tcPr>
          <w:p>
            <w:pPr>
              <w:wordWrap w:val="0"/>
              <w:autoSpaceDE w:val="0"/>
              <w:autoSpaceDN w:val="0"/>
              <w:jc w:val="center"/>
              <w:rPr>
                <w:rFonts w:ascii="宋体" w:hAnsi="宋体"/>
                <w:szCs w:val="24"/>
              </w:rPr>
            </w:pPr>
            <w:r>
              <w:rPr>
                <w:rFonts w:hint="eastAsia" w:ascii="宋体" w:hAnsi="宋体"/>
                <w:szCs w:val="24"/>
              </w:rPr>
              <w:t>名称</w:t>
            </w:r>
          </w:p>
        </w:tc>
        <w:tc>
          <w:tcPr>
            <w:tcW w:w="2087" w:type="dxa"/>
            <w:vAlign w:val="center"/>
          </w:tcPr>
          <w:p>
            <w:pPr>
              <w:wordWrap w:val="0"/>
              <w:autoSpaceDE w:val="0"/>
              <w:autoSpaceDN w:val="0"/>
              <w:jc w:val="center"/>
              <w:rPr>
                <w:rFonts w:ascii="宋体" w:hAnsi="宋体"/>
                <w:szCs w:val="24"/>
              </w:rPr>
            </w:pPr>
            <w:r>
              <w:rPr>
                <w:rFonts w:hint="eastAsia" w:ascii="宋体" w:hAnsi="宋体"/>
                <w:szCs w:val="24"/>
              </w:rPr>
              <w:t>颁发机构</w:t>
            </w:r>
          </w:p>
        </w:tc>
        <w:tc>
          <w:tcPr>
            <w:tcW w:w="1598" w:type="dxa"/>
            <w:vAlign w:val="center"/>
          </w:tcPr>
          <w:p>
            <w:pPr>
              <w:wordWrap w:val="0"/>
              <w:autoSpaceDE w:val="0"/>
              <w:autoSpaceDN w:val="0"/>
              <w:jc w:val="center"/>
              <w:rPr>
                <w:rFonts w:ascii="宋体" w:hAnsi="宋体"/>
                <w:szCs w:val="24"/>
              </w:rPr>
            </w:pPr>
            <w:r>
              <w:rPr>
                <w:rFonts w:hint="eastAsia" w:ascii="宋体" w:hAnsi="宋体"/>
                <w:szCs w:val="24"/>
              </w:rPr>
              <w:t>等级（如有）</w:t>
            </w:r>
          </w:p>
        </w:tc>
        <w:tc>
          <w:tcPr>
            <w:tcW w:w="1134" w:type="dxa"/>
            <w:vAlign w:val="center"/>
          </w:tcPr>
          <w:p>
            <w:pPr>
              <w:wordWrap w:val="0"/>
              <w:autoSpaceDE w:val="0"/>
              <w:autoSpaceDN w:val="0"/>
              <w:jc w:val="center"/>
              <w:rPr>
                <w:rFonts w:ascii="宋体" w:hAnsi="宋体"/>
                <w:szCs w:val="24"/>
              </w:rPr>
            </w:pPr>
            <w:r>
              <w:rPr>
                <w:rFonts w:hint="eastAsia" w:ascii="宋体" w:hAnsi="宋体"/>
                <w:szCs w:val="24"/>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wordWrap w:val="0"/>
              <w:autoSpaceDE w:val="0"/>
              <w:autoSpaceDN w:val="0"/>
              <w:jc w:val="center"/>
              <w:rPr>
                <w:rFonts w:ascii="宋体" w:hAnsi="宋体"/>
                <w:szCs w:val="24"/>
              </w:rPr>
            </w:pPr>
            <w:r>
              <w:rPr>
                <w:rFonts w:hint="eastAsia" w:ascii="宋体" w:hAnsi="宋体"/>
                <w:szCs w:val="24"/>
              </w:rPr>
              <w:t xml:space="preserve">    年  月  日</w:t>
            </w:r>
          </w:p>
        </w:tc>
        <w:tc>
          <w:tcPr>
            <w:tcW w:w="2552"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08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98"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wordWrap w:val="0"/>
              <w:autoSpaceDE w:val="0"/>
              <w:autoSpaceDN w:val="0"/>
              <w:jc w:val="center"/>
              <w:rPr>
                <w:rFonts w:ascii="宋体" w:hAnsi="宋体"/>
                <w:szCs w:val="24"/>
              </w:rPr>
            </w:pPr>
            <w:r>
              <w:rPr>
                <w:rFonts w:hint="eastAsia" w:ascii="宋体" w:hAnsi="宋体"/>
                <w:szCs w:val="24"/>
              </w:rPr>
              <w:t xml:space="preserve">    年  月  日</w:t>
            </w:r>
          </w:p>
        </w:tc>
        <w:tc>
          <w:tcPr>
            <w:tcW w:w="2552"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08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98"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51" w:type="dxa"/>
            <w:vAlign w:val="center"/>
          </w:tcPr>
          <w:p>
            <w:pPr>
              <w:wordWrap w:val="0"/>
              <w:autoSpaceDE w:val="0"/>
              <w:autoSpaceDN w:val="0"/>
              <w:jc w:val="center"/>
              <w:rPr>
                <w:rFonts w:ascii="宋体" w:hAnsi="宋体"/>
                <w:szCs w:val="24"/>
              </w:rPr>
            </w:pPr>
            <w:r>
              <w:rPr>
                <w:rFonts w:hint="eastAsia" w:ascii="宋体" w:hAnsi="宋体"/>
                <w:szCs w:val="24"/>
              </w:rPr>
              <w:t xml:space="preserve">    年  月  日</w:t>
            </w:r>
          </w:p>
        </w:tc>
        <w:tc>
          <w:tcPr>
            <w:tcW w:w="2552"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08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98"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wordWrap w:val="0"/>
              <w:autoSpaceDE w:val="0"/>
              <w:autoSpaceDN w:val="0"/>
              <w:jc w:val="center"/>
              <w:rPr>
                <w:rFonts w:ascii="宋体" w:hAnsi="宋体"/>
                <w:szCs w:val="24"/>
              </w:rPr>
            </w:pPr>
            <w:r>
              <w:rPr>
                <w:rFonts w:hint="eastAsia" w:ascii="宋体" w:hAnsi="宋体"/>
                <w:szCs w:val="24"/>
              </w:rPr>
              <w:t xml:space="preserve">    年  月  日</w:t>
            </w:r>
          </w:p>
        </w:tc>
        <w:tc>
          <w:tcPr>
            <w:tcW w:w="2552"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08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98"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vAlign w:val="center"/>
          </w:tcPr>
          <w:p>
            <w:pPr>
              <w:wordWrap w:val="0"/>
              <w:autoSpaceDE w:val="0"/>
              <w:autoSpaceDN w:val="0"/>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Align w:val="center"/>
          </w:tcPr>
          <w:p>
            <w:pPr>
              <w:wordWrap w:val="0"/>
              <w:autoSpaceDE w:val="0"/>
              <w:autoSpaceDN w:val="0"/>
              <w:jc w:val="center"/>
              <w:rPr>
                <w:rFonts w:ascii="宋体" w:hAnsi="宋体"/>
                <w:szCs w:val="24"/>
              </w:rPr>
            </w:pPr>
            <w:r>
              <w:rPr>
                <w:rFonts w:ascii="宋体" w:hAnsi="宋体"/>
                <w:szCs w:val="24"/>
              </w:rPr>
              <w:t>……</w:t>
            </w:r>
          </w:p>
        </w:tc>
        <w:tc>
          <w:tcPr>
            <w:tcW w:w="2552"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2087"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598"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szCs w:val="24"/>
              </w:rPr>
            </w:pPr>
          </w:p>
        </w:tc>
        <w:tc>
          <w:tcPr>
            <w:tcW w:w="1134" w:type="dxa"/>
            <w:vAlign w:val="center"/>
          </w:tcPr>
          <w:p>
            <w:pPr>
              <w:wordWrap w:val="0"/>
              <w:autoSpaceDE w:val="0"/>
              <w:autoSpaceDN w:val="0"/>
              <w:jc w:val="center"/>
              <w:rPr>
                <w:rFonts w:ascii="宋体" w:hAnsi="宋体"/>
                <w:szCs w:val="24"/>
              </w:rPr>
            </w:pPr>
          </w:p>
        </w:tc>
      </w:tr>
    </w:tbl>
    <w:p>
      <w:pPr>
        <w:rPr>
          <w:rFonts w:ascii="宋体" w:hAnsi="宋体"/>
          <w:szCs w:val="24"/>
        </w:rPr>
      </w:pPr>
    </w:p>
    <w:p>
      <w:pPr>
        <w:wordWrap w:val="0"/>
        <w:autoSpaceDE w:val="0"/>
        <w:autoSpaceDN w:val="0"/>
        <w:rPr>
          <w:rFonts w:ascii="宋体" w:hAnsi="宋体"/>
          <w:szCs w:val="24"/>
        </w:rPr>
      </w:pPr>
      <w:r>
        <w:rPr>
          <w:rFonts w:hint="eastAsia" w:ascii="宋体" w:hAnsi="宋体"/>
          <w:szCs w:val="24"/>
        </w:rPr>
        <w:t>供应商名称（加盖公章）：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供应商法定代表人或授权代表（签字或盖章）：</w:t>
      </w:r>
      <w:r>
        <w:rPr>
          <w:rFonts w:hint="eastAsia" w:ascii="宋体" w:hAnsi="宋体"/>
          <w:szCs w:val="24"/>
          <w:u w:val="single"/>
        </w:rPr>
        <w:t xml:space="preserve">                 </w:t>
      </w:r>
    </w:p>
    <w:p>
      <w:pPr>
        <w:wordWrap w:val="0"/>
        <w:autoSpaceDE w:val="0"/>
        <w:autoSpaceDN w:val="0"/>
        <w:rPr>
          <w:rFonts w:ascii="宋体" w:hAnsi="宋体"/>
          <w:szCs w:val="24"/>
        </w:rPr>
      </w:pPr>
      <w:r>
        <w:rPr>
          <w:rFonts w:hint="eastAsia" w:ascii="宋体" w:hAnsi="宋体"/>
          <w:szCs w:val="24"/>
        </w:rPr>
        <w:t>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pPr>
        <w:wordWrap w:val="0"/>
        <w:autoSpaceDE w:val="0"/>
        <w:autoSpaceDN w:val="0"/>
        <w:rPr>
          <w:rFonts w:ascii="宋体" w:hAnsi="宋体"/>
          <w:szCs w:val="24"/>
        </w:rPr>
      </w:pPr>
    </w:p>
    <w:p>
      <w:pPr>
        <w:rPr>
          <w:rFonts w:ascii="宋体" w:hAnsi="宋体"/>
          <w:b/>
          <w:szCs w:val="24"/>
        </w:rPr>
      </w:pPr>
      <w:r>
        <w:rPr>
          <w:rFonts w:hint="eastAsia" w:ascii="宋体" w:hAnsi="宋体"/>
          <w:b/>
          <w:szCs w:val="24"/>
        </w:rPr>
        <w:t>备注：</w:t>
      </w:r>
    </w:p>
    <w:p>
      <w:pPr>
        <w:ind w:firstLine="480" w:firstLineChars="200"/>
        <w:rPr>
          <w:rFonts w:ascii="宋体" w:hAnsi="宋体"/>
          <w:szCs w:val="24"/>
        </w:rPr>
      </w:pPr>
      <w:r>
        <w:rPr>
          <w:rFonts w:hint="eastAsia" w:ascii="宋体" w:hAnsi="宋体"/>
          <w:szCs w:val="24"/>
        </w:rPr>
        <w:t>1.供应商应如实填写获得的荣誉、资信、认证（资质）情况</w:t>
      </w:r>
      <w:r>
        <w:rPr>
          <w:rFonts w:hint="eastAsia" w:ascii="宋体" w:hAnsi="宋体"/>
          <w:b/>
          <w:szCs w:val="24"/>
        </w:rPr>
        <w:t>（或根据资格条件和评分因素对应内容的要求填写）</w:t>
      </w:r>
      <w:r>
        <w:rPr>
          <w:rFonts w:hint="eastAsia" w:ascii="宋体" w:hAnsi="宋体"/>
          <w:szCs w:val="24"/>
        </w:rPr>
        <w:t>，不得弄虚作假；</w:t>
      </w:r>
    </w:p>
    <w:p>
      <w:pPr>
        <w:ind w:firstLine="480" w:firstLineChars="200"/>
        <w:rPr>
          <w:rFonts w:ascii="宋体" w:hAnsi="宋体"/>
          <w:szCs w:val="24"/>
        </w:rPr>
      </w:pPr>
      <w:r>
        <w:rPr>
          <w:rFonts w:hint="eastAsia" w:ascii="宋体" w:hAnsi="宋体"/>
          <w:szCs w:val="24"/>
        </w:rPr>
        <w:t>2.如果供应商获得过任何荣誉、资信、认证，请在上表后附荣誉、资信、认证的相关材料；</w:t>
      </w:r>
    </w:p>
    <w:p>
      <w:pPr>
        <w:ind w:firstLine="480" w:firstLineChars="200"/>
        <w:rPr>
          <w:rFonts w:ascii="宋体" w:hAnsi="宋体"/>
          <w:szCs w:val="24"/>
        </w:rPr>
      </w:pPr>
      <w:r>
        <w:rPr>
          <w:rFonts w:hint="eastAsia" w:ascii="宋体" w:hAnsi="宋体"/>
          <w:szCs w:val="24"/>
        </w:rPr>
        <w:t>3.如果供应商未获得过任何荣誉、资信、认证，请在上表正文内容第一行填写“无荣誉、资信、认证情况”。</w:t>
      </w:r>
    </w:p>
    <w:p>
      <w:pPr>
        <w:ind w:firstLine="480" w:firstLineChars="200"/>
        <w:rPr>
          <w:rFonts w:ascii="宋体" w:hAnsi="宋体"/>
          <w:szCs w:val="24"/>
        </w:rPr>
      </w:pPr>
      <w:r>
        <w:rPr>
          <w:rFonts w:hint="eastAsia" w:ascii="宋体" w:hAnsi="宋体"/>
          <w:szCs w:val="24"/>
        </w:rPr>
        <w:t>4.分支机构参加磋商的，除非磋商文件另有规定，认可总公司（总所）的荣誉、资信、认证情况。</w:t>
      </w: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wordWrap w:val="0"/>
        <w:autoSpaceDE w:val="0"/>
        <w:autoSpaceDN w:val="0"/>
        <w:rPr>
          <w:rFonts w:ascii="宋体" w:hAnsi="宋体"/>
          <w:szCs w:val="24"/>
        </w:rPr>
      </w:pPr>
    </w:p>
    <w:p>
      <w:pPr>
        <w:pStyle w:val="5"/>
        <w:numPr>
          <w:ilvl w:val="0"/>
          <w:numId w:val="69"/>
        </w:numPr>
        <w:tabs>
          <w:tab w:val="left" w:pos="945"/>
        </w:tabs>
        <w:spacing w:before="0" w:after="0" w:line="360" w:lineRule="auto"/>
        <w:ind w:left="0" w:firstLine="0"/>
        <w:rPr>
          <w:color w:val="000000"/>
          <w:sz w:val="28"/>
          <w:szCs w:val="28"/>
        </w:rPr>
      </w:pPr>
      <w:bookmarkStart w:id="468" w:name="_Toc22806241"/>
      <w:bookmarkStart w:id="469" w:name="_Toc50460264"/>
      <w:bookmarkStart w:id="470" w:name="_Toc55398776"/>
      <w:bookmarkStart w:id="471" w:name="_Toc56180370"/>
      <w:r>
        <w:rPr>
          <w:rFonts w:hint="eastAsia"/>
          <w:color w:val="000000"/>
          <w:sz w:val="28"/>
          <w:szCs w:val="28"/>
        </w:rPr>
        <w:t>供应商认为有必要说明或提供的其他商务文件（如有）</w:t>
      </w:r>
      <w:bookmarkEnd w:id="468"/>
      <w:bookmarkEnd w:id="469"/>
      <w:bookmarkEnd w:id="470"/>
      <w:bookmarkEnd w:id="471"/>
    </w:p>
    <w:p>
      <w:pPr>
        <w:ind w:left="1078" w:hanging="1078" w:hangingChars="337"/>
        <w:jc w:val="center"/>
        <w:rPr>
          <w:rFonts w:ascii="宋体" w:hAnsi="宋体"/>
          <w:b/>
          <w:color w:val="000000"/>
          <w:sz w:val="32"/>
          <w:szCs w:val="32"/>
        </w:rPr>
      </w:pPr>
      <w:r>
        <w:rPr>
          <w:rFonts w:hint="eastAsia" w:ascii="宋体" w:hAnsi="宋体"/>
          <w:b/>
          <w:color w:val="000000"/>
          <w:sz w:val="32"/>
          <w:szCs w:val="32"/>
        </w:rPr>
        <w:t>供应商认为有必要说明或提供的其他商务文件</w:t>
      </w:r>
    </w:p>
    <w:p>
      <w:pPr>
        <w:wordWrap w:val="0"/>
        <w:autoSpaceDE w:val="0"/>
        <w:autoSpaceDN w:val="0"/>
        <w:rPr>
          <w:rFonts w:ascii="宋体" w:hAnsi="宋体"/>
          <w:color w:val="000000"/>
          <w:szCs w:val="24"/>
        </w:rPr>
      </w:pPr>
    </w:p>
    <w:p>
      <w:pPr>
        <w:ind w:left="808" w:hanging="808" w:hangingChars="337"/>
        <w:rPr>
          <w:rFonts w:ascii="宋体" w:hAnsi="宋体"/>
          <w:color w:val="000000"/>
          <w:szCs w:val="24"/>
        </w:rPr>
      </w:pPr>
      <w:r>
        <w:rPr>
          <w:rFonts w:hint="eastAsia" w:ascii="宋体" w:hAnsi="宋体"/>
          <w:color w:val="000000"/>
          <w:szCs w:val="24"/>
        </w:rPr>
        <w:t>采购项目名称：2026-2027年广州白云机场海关南1、2号楼物业管理服务</w:t>
      </w:r>
    </w:p>
    <w:p>
      <w:pPr>
        <w:ind w:left="808" w:hanging="808" w:hangingChars="337"/>
        <w:rPr>
          <w:rFonts w:ascii="宋体" w:hAnsi="宋体"/>
          <w:color w:val="000000"/>
          <w:szCs w:val="24"/>
        </w:rPr>
      </w:pPr>
      <w:r>
        <w:rPr>
          <w:rFonts w:hint="eastAsia" w:ascii="宋体" w:hAnsi="宋体"/>
          <w:color w:val="000000"/>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165"/>
        <w:gridCol w:w="3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wordWrap w:val="0"/>
              <w:autoSpaceDE w:val="0"/>
              <w:autoSpaceDN w:val="0"/>
              <w:jc w:val="center"/>
              <w:rPr>
                <w:rFonts w:ascii="宋体" w:hAnsi="宋体"/>
                <w:color w:val="000000"/>
                <w:szCs w:val="24"/>
              </w:rPr>
            </w:pPr>
            <w:r>
              <w:rPr>
                <w:rFonts w:hint="eastAsia" w:ascii="宋体" w:hAnsi="宋体"/>
                <w:color w:val="000000"/>
                <w:szCs w:val="24"/>
              </w:rPr>
              <w:t>序号</w:t>
            </w:r>
          </w:p>
        </w:tc>
        <w:tc>
          <w:tcPr>
            <w:tcW w:w="5165" w:type="dxa"/>
            <w:vAlign w:val="center"/>
          </w:tcPr>
          <w:p>
            <w:pPr>
              <w:wordWrap w:val="0"/>
              <w:autoSpaceDE w:val="0"/>
              <w:autoSpaceDN w:val="0"/>
              <w:jc w:val="center"/>
              <w:rPr>
                <w:rFonts w:ascii="宋体" w:hAnsi="宋体"/>
                <w:color w:val="000000"/>
                <w:szCs w:val="24"/>
              </w:rPr>
            </w:pPr>
            <w:r>
              <w:rPr>
                <w:rFonts w:hint="eastAsia" w:ascii="宋体" w:hAnsi="宋体"/>
                <w:color w:val="000000"/>
                <w:szCs w:val="24"/>
              </w:rPr>
              <w:t>说明事项</w:t>
            </w:r>
          </w:p>
        </w:tc>
        <w:tc>
          <w:tcPr>
            <w:tcW w:w="3181" w:type="dxa"/>
            <w:vAlign w:val="center"/>
          </w:tcPr>
          <w:p>
            <w:pPr>
              <w:wordWrap w:val="0"/>
              <w:autoSpaceDE w:val="0"/>
              <w:autoSpaceDN w:val="0"/>
              <w:jc w:val="center"/>
              <w:rPr>
                <w:rFonts w:ascii="宋体" w:hAnsi="宋体"/>
                <w:color w:val="000000"/>
                <w:szCs w:val="24"/>
              </w:rPr>
            </w:pPr>
            <w:r>
              <w:rPr>
                <w:rFonts w:hint="eastAsia" w:ascii="宋体" w:hAnsi="宋体"/>
                <w:color w:val="000000"/>
                <w:szCs w:val="24"/>
              </w:rPr>
              <w:t>证明材料所在页码范围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wordWrap w:val="0"/>
              <w:autoSpaceDE w:val="0"/>
              <w:autoSpaceDN w:val="0"/>
              <w:jc w:val="center"/>
              <w:rPr>
                <w:rFonts w:ascii="宋体" w:hAnsi="宋体"/>
                <w:color w:val="000000"/>
                <w:szCs w:val="24"/>
              </w:rPr>
            </w:pPr>
          </w:p>
        </w:tc>
        <w:tc>
          <w:tcPr>
            <w:tcW w:w="51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olor w:val="000000"/>
                <w:szCs w:val="24"/>
              </w:rPr>
            </w:pPr>
          </w:p>
        </w:tc>
        <w:tc>
          <w:tcPr>
            <w:tcW w:w="3181" w:type="dxa"/>
            <w:vAlign w:val="center"/>
          </w:tcPr>
          <w:p>
            <w:pPr>
              <w:wordWrap w:val="0"/>
              <w:autoSpaceDE w:val="0"/>
              <w:autoSpaceDN w:val="0"/>
              <w:jc w:val="center"/>
              <w:rPr>
                <w:rFonts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wordWrap w:val="0"/>
              <w:autoSpaceDE w:val="0"/>
              <w:autoSpaceDN w:val="0"/>
              <w:jc w:val="center"/>
              <w:rPr>
                <w:rFonts w:ascii="宋体" w:hAnsi="宋体"/>
                <w:color w:val="000000"/>
                <w:szCs w:val="24"/>
              </w:rPr>
            </w:pPr>
          </w:p>
        </w:tc>
        <w:tc>
          <w:tcPr>
            <w:tcW w:w="51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olor w:val="000000"/>
                <w:szCs w:val="24"/>
              </w:rPr>
            </w:pPr>
          </w:p>
        </w:tc>
        <w:tc>
          <w:tcPr>
            <w:tcW w:w="3181" w:type="dxa"/>
            <w:vAlign w:val="center"/>
          </w:tcPr>
          <w:p>
            <w:pPr>
              <w:wordWrap w:val="0"/>
              <w:autoSpaceDE w:val="0"/>
              <w:autoSpaceDN w:val="0"/>
              <w:jc w:val="center"/>
              <w:rPr>
                <w:rFonts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1" w:type="dxa"/>
            <w:vAlign w:val="center"/>
          </w:tcPr>
          <w:p>
            <w:pPr>
              <w:wordWrap w:val="0"/>
              <w:autoSpaceDE w:val="0"/>
              <w:autoSpaceDN w:val="0"/>
              <w:jc w:val="center"/>
              <w:rPr>
                <w:rFonts w:ascii="宋体" w:hAnsi="宋体"/>
                <w:color w:val="000000"/>
                <w:szCs w:val="24"/>
              </w:rPr>
            </w:pPr>
          </w:p>
        </w:tc>
        <w:tc>
          <w:tcPr>
            <w:tcW w:w="51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olor w:val="000000"/>
                <w:szCs w:val="24"/>
              </w:rPr>
            </w:pPr>
          </w:p>
        </w:tc>
        <w:tc>
          <w:tcPr>
            <w:tcW w:w="3181" w:type="dxa"/>
            <w:vAlign w:val="center"/>
          </w:tcPr>
          <w:p>
            <w:pPr>
              <w:wordWrap w:val="0"/>
              <w:autoSpaceDE w:val="0"/>
              <w:autoSpaceDN w:val="0"/>
              <w:jc w:val="center"/>
              <w:rPr>
                <w:rFonts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wordWrap w:val="0"/>
              <w:autoSpaceDE w:val="0"/>
              <w:autoSpaceDN w:val="0"/>
              <w:jc w:val="center"/>
              <w:rPr>
                <w:rFonts w:ascii="宋体" w:hAnsi="宋体"/>
                <w:color w:val="000000"/>
                <w:szCs w:val="24"/>
              </w:rPr>
            </w:pPr>
          </w:p>
        </w:tc>
        <w:tc>
          <w:tcPr>
            <w:tcW w:w="5165" w:type="dxa"/>
            <w:tcBorders>
              <w:top w:val="single" w:color="auto" w:sz="4" w:space="0"/>
              <w:left w:val="single" w:color="auto" w:sz="4" w:space="0"/>
              <w:right w:val="single" w:color="auto" w:sz="4" w:space="0"/>
            </w:tcBorders>
            <w:vAlign w:val="center"/>
          </w:tcPr>
          <w:p>
            <w:pPr>
              <w:wordWrap w:val="0"/>
              <w:autoSpaceDE w:val="0"/>
              <w:autoSpaceDN w:val="0"/>
              <w:jc w:val="center"/>
              <w:rPr>
                <w:rFonts w:ascii="宋体" w:hAnsi="宋体"/>
                <w:color w:val="000000"/>
                <w:szCs w:val="24"/>
              </w:rPr>
            </w:pPr>
          </w:p>
        </w:tc>
        <w:tc>
          <w:tcPr>
            <w:tcW w:w="3181" w:type="dxa"/>
            <w:vAlign w:val="center"/>
          </w:tcPr>
          <w:p>
            <w:pPr>
              <w:wordWrap w:val="0"/>
              <w:autoSpaceDE w:val="0"/>
              <w:autoSpaceDN w:val="0"/>
              <w:jc w:val="center"/>
              <w:rPr>
                <w:rFonts w:ascii="宋体" w:hAnsi="宋体"/>
                <w:color w:val="000000"/>
                <w:szCs w:val="24"/>
              </w:rPr>
            </w:pPr>
          </w:p>
        </w:tc>
      </w:tr>
    </w:tbl>
    <w:p>
      <w:pPr>
        <w:rPr>
          <w:rFonts w:ascii="宋体" w:hAnsi="宋体"/>
          <w:color w:val="000000"/>
          <w:szCs w:val="24"/>
        </w:rPr>
      </w:pPr>
    </w:p>
    <w:p>
      <w:pPr>
        <w:wordWrap w:val="0"/>
        <w:autoSpaceDE w:val="0"/>
        <w:autoSpaceDN w:val="0"/>
        <w:rPr>
          <w:rFonts w:ascii="宋体" w:hAnsi="宋体"/>
          <w:color w:val="000000"/>
          <w:szCs w:val="24"/>
        </w:rPr>
      </w:pPr>
      <w:r>
        <w:rPr>
          <w:rFonts w:hint="eastAsia" w:ascii="宋体" w:hAnsi="宋体"/>
          <w:color w:val="000000"/>
          <w:szCs w:val="24"/>
        </w:rPr>
        <w:t>供应商名称（加盖公章）：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供应商法定代表人或授权代表（签字或盖章）：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日期：</w:t>
      </w:r>
      <w:r>
        <w:rPr>
          <w:rFonts w:hint="eastAsia" w:ascii="宋体" w:hAnsi="宋体"/>
          <w:color w:val="000000"/>
          <w:szCs w:val="24"/>
          <w:u w:val="single"/>
        </w:rPr>
        <w:t xml:space="preserve">        </w:t>
      </w:r>
      <w:r>
        <w:rPr>
          <w:rFonts w:hint="eastAsia" w:ascii="宋体" w:hAnsi="宋体"/>
          <w:color w:val="000000"/>
          <w:szCs w:val="24"/>
        </w:rPr>
        <w:t>年</w:t>
      </w:r>
      <w:r>
        <w:rPr>
          <w:rFonts w:hint="eastAsia" w:ascii="宋体" w:hAnsi="宋体"/>
          <w:color w:val="000000"/>
          <w:szCs w:val="24"/>
          <w:u w:val="single"/>
        </w:rPr>
        <w:t xml:space="preserve">    </w:t>
      </w:r>
      <w:r>
        <w:rPr>
          <w:rFonts w:hint="eastAsia" w:ascii="宋体" w:hAnsi="宋体"/>
          <w:color w:val="000000"/>
          <w:szCs w:val="24"/>
        </w:rPr>
        <w:t>月</w:t>
      </w:r>
      <w:r>
        <w:rPr>
          <w:rFonts w:hint="eastAsia" w:ascii="宋体" w:hAnsi="宋体"/>
          <w:color w:val="000000"/>
          <w:szCs w:val="24"/>
          <w:u w:val="single"/>
        </w:rPr>
        <w:t xml:space="preserve">    </w:t>
      </w:r>
      <w:r>
        <w:rPr>
          <w:rFonts w:hint="eastAsia" w:ascii="宋体" w:hAnsi="宋体"/>
          <w:color w:val="000000"/>
          <w:szCs w:val="24"/>
        </w:rPr>
        <w:t>日</w:t>
      </w:r>
    </w:p>
    <w:p>
      <w:pPr>
        <w:wordWrap w:val="0"/>
        <w:autoSpaceDE w:val="0"/>
        <w:autoSpaceDN w:val="0"/>
        <w:rPr>
          <w:rFonts w:ascii="宋体" w:hAnsi="宋体"/>
          <w:color w:val="000000"/>
          <w:szCs w:val="24"/>
        </w:rPr>
      </w:pPr>
    </w:p>
    <w:p>
      <w:pPr>
        <w:wordWrap w:val="0"/>
        <w:autoSpaceDE w:val="0"/>
        <w:autoSpaceDN w:val="0"/>
        <w:rPr>
          <w:rFonts w:ascii="宋体" w:hAnsi="宋体"/>
          <w:b/>
          <w:szCs w:val="24"/>
        </w:rPr>
      </w:pPr>
      <w:r>
        <w:rPr>
          <w:rFonts w:hint="eastAsia" w:ascii="宋体" w:hAnsi="宋体"/>
          <w:b/>
          <w:color w:val="000000"/>
          <w:szCs w:val="24"/>
        </w:rPr>
        <w:t>备注：</w:t>
      </w:r>
    </w:p>
    <w:p>
      <w:pPr>
        <w:wordWrap w:val="0"/>
        <w:autoSpaceDE w:val="0"/>
        <w:autoSpaceDN w:val="0"/>
        <w:ind w:firstLine="480" w:firstLineChars="200"/>
        <w:rPr>
          <w:rFonts w:ascii="宋体" w:hAnsi="宋体"/>
          <w:szCs w:val="24"/>
        </w:rPr>
      </w:pPr>
      <w:r>
        <w:rPr>
          <w:rFonts w:hint="eastAsia" w:ascii="宋体" w:hAnsi="宋体"/>
          <w:szCs w:val="24"/>
        </w:rPr>
        <w:t>1.供应商可对其他商务情况（如有）做出说明并在上表后附相关证明材料。</w:t>
      </w:r>
    </w:p>
    <w:p>
      <w:pPr>
        <w:wordWrap w:val="0"/>
        <w:autoSpaceDE w:val="0"/>
        <w:autoSpaceDN w:val="0"/>
        <w:ind w:firstLine="480" w:firstLineChars="200"/>
        <w:rPr>
          <w:rFonts w:ascii="宋体" w:hAnsi="宋体"/>
          <w:color w:val="000000"/>
          <w:szCs w:val="24"/>
        </w:rPr>
      </w:pPr>
      <w:r>
        <w:rPr>
          <w:rFonts w:hint="eastAsia" w:ascii="宋体" w:hAnsi="宋体"/>
          <w:szCs w:val="24"/>
        </w:rPr>
        <w:t>2.联合体参加磋商的，如有，联合体各方应分别做出说明并附相关证明材料</w:t>
      </w:r>
      <w:r>
        <w:rPr>
          <w:rFonts w:hint="eastAsia" w:ascii="宋体" w:hAnsi="宋体"/>
          <w:color w:val="000000"/>
          <w:szCs w:val="24"/>
        </w:rPr>
        <w:t>。</w:t>
      </w:r>
    </w:p>
    <w:p>
      <w:pPr>
        <w:wordWrap w:val="0"/>
        <w:autoSpaceDE w:val="0"/>
        <w:autoSpaceDN w:val="0"/>
        <w:ind w:firstLine="480" w:firstLineChars="200"/>
        <w:rPr>
          <w:rFonts w:ascii="宋体" w:hAnsi="宋体"/>
          <w:color w:val="000000"/>
          <w:szCs w:val="24"/>
        </w:rPr>
      </w:pPr>
      <w:r>
        <w:rPr>
          <w:rFonts w:hint="eastAsia" w:ascii="宋体" w:hAnsi="宋体"/>
          <w:color w:val="000000"/>
          <w:szCs w:val="24"/>
        </w:rPr>
        <w:t>3.分支机构参加磋商的，如有，总公司（总所）、分支机构应分别做出说明并附相关证明材料。</w:t>
      </w:r>
    </w:p>
    <w:p>
      <w:pPr>
        <w:wordWrap w:val="0"/>
        <w:autoSpaceDE w:val="0"/>
        <w:autoSpaceDN w:val="0"/>
        <w:ind w:firstLine="480" w:firstLineChars="200"/>
        <w:rPr>
          <w:rFonts w:ascii="宋体" w:hAnsi="宋体"/>
          <w:color w:val="000000"/>
          <w:szCs w:val="24"/>
        </w:rPr>
      </w:pPr>
      <w:r>
        <w:rPr>
          <w:rFonts w:hint="eastAsia" w:ascii="宋体" w:hAnsi="宋体"/>
          <w:color w:val="000000"/>
          <w:szCs w:val="24"/>
        </w:rPr>
        <w:t>4.以合同分包形式报价的，除非特别说明，可以仅对报价供应商做出说明并附相关证明材料。</w:t>
      </w:r>
    </w:p>
    <w:p>
      <w:pPr>
        <w:wordWrap w:val="0"/>
        <w:autoSpaceDE w:val="0"/>
        <w:autoSpaceDN w:val="0"/>
        <w:ind w:firstLine="480" w:firstLineChars="200"/>
        <w:rPr>
          <w:rFonts w:ascii="宋体" w:hAnsi="宋体"/>
          <w:color w:val="000000"/>
          <w:szCs w:val="24"/>
        </w:rPr>
      </w:pPr>
    </w:p>
    <w:p>
      <w:pPr>
        <w:wordWrap w:val="0"/>
        <w:autoSpaceDE w:val="0"/>
        <w:autoSpaceDN w:val="0"/>
        <w:ind w:firstLine="480" w:firstLineChars="200"/>
        <w:rPr>
          <w:rFonts w:ascii="宋体" w:hAnsi="宋体"/>
          <w:color w:val="000000"/>
          <w:szCs w:val="24"/>
        </w:rPr>
      </w:pPr>
    </w:p>
    <w:p>
      <w:pPr>
        <w:wordWrap w:val="0"/>
        <w:autoSpaceDE w:val="0"/>
        <w:autoSpaceDN w:val="0"/>
        <w:ind w:firstLine="480" w:firstLineChars="200"/>
        <w:rPr>
          <w:rFonts w:ascii="宋体" w:hAnsi="宋体"/>
          <w:color w:val="000000"/>
          <w:szCs w:val="24"/>
        </w:rPr>
      </w:pPr>
    </w:p>
    <w:p>
      <w:pPr>
        <w:wordWrap w:val="0"/>
        <w:autoSpaceDE w:val="0"/>
        <w:autoSpaceDN w:val="0"/>
        <w:ind w:firstLine="480" w:firstLineChars="200"/>
        <w:rPr>
          <w:rFonts w:ascii="宋体" w:hAnsi="宋体"/>
          <w:color w:val="000000"/>
          <w:szCs w:val="24"/>
        </w:rPr>
      </w:pPr>
    </w:p>
    <w:p>
      <w:pPr>
        <w:wordWrap w:val="0"/>
        <w:autoSpaceDE w:val="0"/>
        <w:autoSpaceDN w:val="0"/>
        <w:ind w:firstLine="480" w:firstLineChars="200"/>
        <w:rPr>
          <w:rFonts w:ascii="宋体" w:hAnsi="宋体"/>
          <w:color w:val="000000"/>
          <w:szCs w:val="24"/>
        </w:rPr>
      </w:pPr>
    </w:p>
    <w:p>
      <w:pPr>
        <w:pStyle w:val="4"/>
        <w:numPr>
          <w:ilvl w:val="0"/>
          <w:numId w:val="59"/>
        </w:numPr>
        <w:tabs>
          <w:tab w:val="left" w:pos="945"/>
        </w:tabs>
        <w:spacing w:before="0" w:after="0" w:line="360" w:lineRule="auto"/>
        <w:ind w:left="980" w:hanging="980" w:hangingChars="350"/>
        <w:rPr>
          <w:rFonts w:ascii="宋体" w:hAnsi="宋体"/>
          <w:color w:val="000000"/>
          <w:sz w:val="28"/>
          <w:szCs w:val="28"/>
        </w:rPr>
      </w:pPr>
      <w:bookmarkStart w:id="472" w:name="_Toc22806242"/>
      <w:bookmarkStart w:id="473" w:name="_Toc56180371"/>
      <w:bookmarkStart w:id="474" w:name="_Toc50460265"/>
      <w:bookmarkStart w:id="475" w:name="_Toc55398777"/>
      <w:r>
        <w:rPr>
          <w:rFonts w:hint="eastAsia" w:ascii="宋体" w:hAnsi="宋体"/>
          <w:color w:val="000000"/>
          <w:sz w:val="28"/>
          <w:szCs w:val="28"/>
        </w:rPr>
        <w:t>价格文件</w:t>
      </w:r>
      <w:bookmarkEnd w:id="472"/>
      <w:bookmarkEnd w:id="473"/>
      <w:bookmarkEnd w:id="474"/>
      <w:bookmarkEnd w:id="475"/>
    </w:p>
    <w:p>
      <w:pPr>
        <w:pStyle w:val="5"/>
        <w:numPr>
          <w:ilvl w:val="0"/>
          <w:numId w:val="69"/>
        </w:numPr>
        <w:tabs>
          <w:tab w:val="left" w:pos="945"/>
        </w:tabs>
        <w:spacing w:before="0" w:after="0" w:line="360" w:lineRule="auto"/>
        <w:ind w:left="0" w:firstLine="0"/>
        <w:rPr>
          <w:color w:val="000000"/>
          <w:sz w:val="28"/>
          <w:szCs w:val="28"/>
        </w:rPr>
      </w:pPr>
      <w:bookmarkStart w:id="476" w:name="_Toc50460266"/>
      <w:bookmarkStart w:id="477" w:name="_Toc55398778"/>
      <w:bookmarkStart w:id="478" w:name="_Toc56180372"/>
      <w:r>
        <w:rPr>
          <w:rFonts w:hint="eastAsia"/>
          <w:color w:val="000000"/>
          <w:sz w:val="28"/>
          <w:szCs w:val="28"/>
        </w:rPr>
        <w:t>首次报价一览表</w:t>
      </w:r>
      <w:bookmarkEnd w:id="476"/>
      <w:bookmarkEnd w:id="477"/>
      <w:bookmarkEnd w:id="478"/>
    </w:p>
    <w:p>
      <w:pPr>
        <w:ind w:left="1078" w:hanging="1078" w:hangingChars="337"/>
        <w:jc w:val="center"/>
        <w:rPr>
          <w:rFonts w:ascii="宋体" w:hAnsi="宋体"/>
          <w:b/>
          <w:color w:val="000000"/>
          <w:sz w:val="32"/>
          <w:szCs w:val="32"/>
        </w:rPr>
      </w:pPr>
      <w:r>
        <w:rPr>
          <w:rFonts w:hint="eastAsia" w:ascii="宋体" w:hAnsi="宋体"/>
          <w:b/>
          <w:color w:val="000000"/>
          <w:sz w:val="32"/>
          <w:szCs w:val="32"/>
        </w:rPr>
        <w:t>首次报价一览表</w:t>
      </w:r>
    </w:p>
    <w:p>
      <w:pPr>
        <w:ind w:left="808" w:hanging="808" w:hangingChars="337"/>
        <w:rPr>
          <w:rFonts w:ascii="宋体" w:hAnsi="宋体"/>
          <w:color w:val="000000"/>
          <w:szCs w:val="24"/>
        </w:rPr>
      </w:pPr>
    </w:p>
    <w:p>
      <w:pPr>
        <w:ind w:left="808" w:hanging="808" w:hangingChars="337"/>
        <w:rPr>
          <w:rFonts w:ascii="宋体" w:hAnsi="宋体"/>
          <w:color w:val="000000"/>
          <w:szCs w:val="24"/>
        </w:rPr>
      </w:pPr>
      <w:r>
        <w:rPr>
          <w:rFonts w:hint="eastAsia" w:ascii="宋体" w:hAnsi="宋体"/>
          <w:color w:val="000000"/>
          <w:szCs w:val="24"/>
        </w:rPr>
        <w:t>采购项目名称：2026-2027年广州白云机场海关南1、2号楼物业管理服务</w:t>
      </w:r>
    </w:p>
    <w:p>
      <w:pPr>
        <w:ind w:left="808" w:hanging="808" w:hangingChars="337"/>
        <w:rPr>
          <w:rFonts w:ascii="宋体" w:hAnsi="宋体"/>
          <w:color w:val="000000"/>
          <w:szCs w:val="24"/>
        </w:rPr>
      </w:pPr>
      <w:r>
        <w:rPr>
          <w:rFonts w:hint="eastAsia" w:ascii="宋体" w:hAnsi="宋体"/>
          <w:color w:val="000000"/>
          <w:szCs w:val="24"/>
        </w:rPr>
        <w:t>采购包号：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9"/>
        <w:gridCol w:w="2835"/>
        <w:gridCol w:w="3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2419" w:type="dxa"/>
            <w:tcBorders>
              <w:bottom w:val="single" w:color="auto" w:sz="4" w:space="0"/>
            </w:tcBorders>
            <w:vAlign w:val="center"/>
          </w:tcPr>
          <w:p>
            <w:pPr>
              <w:jc w:val="center"/>
              <w:rPr>
                <w:rFonts w:ascii="宋体" w:hAnsi="宋体"/>
                <w:bCs/>
                <w:color w:val="000000"/>
                <w:szCs w:val="24"/>
              </w:rPr>
            </w:pPr>
            <w:r>
              <w:rPr>
                <w:rFonts w:hint="eastAsia" w:ascii="宋体" w:hAnsi="宋体"/>
                <w:bCs/>
                <w:color w:val="000000"/>
                <w:szCs w:val="24"/>
              </w:rPr>
              <w:t>项目名称</w:t>
            </w:r>
          </w:p>
        </w:tc>
        <w:tc>
          <w:tcPr>
            <w:tcW w:w="2835" w:type="dxa"/>
            <w:tcBorders>
              <w:bottom w:val="single" w:color="auto" w:sz="4" w:space="0"/>
            </w:tcBorders>
            <w:vAlign w:val="center"/>
          </w:tcPr>
          <w:p>
            <w:pPr>
              <w:jc w:val="center"/>
              <w:rPr>
                <w:rFonts w:ascii="宋体" w:hAnsi="宋体"/>
                <w:bCs/>
                <w:color w:val="000000"/>
                <w:szCs w:val="24"/>
              </w:rPr>
            </w:pPr>
            <w:r>
              <w:rPr>
                <w:rFonts w:hint="eastAsia"/>
                <w:bCs/>
                <w:color w:val="000000"/>
                <w:szCs w:val="24"/>
              </w:rPr>
              <w:t>合同履行期限</w:t>
            </w:r>
          </w:p>
        </w:tc>
        <w:tc>
          <w:tcPr>
            <w:tcW w:w="3948" w:type="dxa"/>
            <w:tcBorders>
              <w:bottom w:val="single" w:color="auto" w:sz="4" w:space="0"/>
            </w:tcBorders>
            <w:vAlign w:val="center"/>
          </w:tcPr>
          <w:p>
            <w:pPr>
              <w:jc w:val="center"/>
              <w:rPr>
                <w:rFonts w:ascii="宋体" w:hAnsi="宋体"/>
                <w:bCs/>
                <w:color w:val="000000"/>
                <w:szCs w:val="24"/>
              </w:rPr>
            </w:pPr>
            <w:r>
              <w:rPr>
                <w:rFonts w:hint="eastAsia" w:ascii="宋体" w:hAnsi="宋体"/>
                <w:bCs/>
                <w:color w:val="000000"/>
                <w:szCs w:val="24"/>
              </w:rPr>
              <w:t>响应报价（元）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2419" w:type="dxa"/>
            <w:vAlign w:val="center"/>
          </w:tcPr>
          <w:p>
            <w:pPr>
              <w:jc w:val="center"/>
              <w:rPr>
                <w:rFonts w:ascii="宋体" w:hAnsi="宋体"/>
                <w:bCs/>
                <w:color w:val="000000"/>
                <w:szCs w:val="24"/>
              </w:rPr>
            </w:pPr>
          </w:p>
        </w:tc>
        <w:tc>
          <w:tcPr>
            <w:tcW w:w="2835" w:type="dxa"/>
            <w:tcBorders>
              <w:top w:val="single" w:color="auto" w:sz="4" w:space="0"/>
              <w:left w:val="single" w:color="auto" w:sz="4" w:space="0"/>
              <w:right w:val="single" w:color="auto" w:sz="4" w:space="0"/>
            </w:tcBorders>
            <w:vAlign w:val="center"/>
          </w:tcPr>
          <w:p>
            <w:pPr>
              <w:jc w:val="center"/>
              <w:rPr>
                <w:rFonts w:ascii="宋体" w:hAnsi="宋体"/>
                <w:bCs/>
                <w:color w:val="000000"/>
                <w:szCs w:val="24"/>
              </w:rPr>
            </w:pPr>
            <w:r>
              <w:rPr>
                <w:rFonts w:hint="eastAsia" w:ascii="宋体" w:hAnsi="宋体"/>
                <w:bCs/>
                <w:color w:val="000000"/>
                <w:szCs w:val="24"/>
              </w:rPr>
              <w:t>（至少满足《磋商邀请》中的合同</w:t>
            </w:r>
            <w:r>
              <w:rPr>
                <w:rFonts w:hint="eastAsia"/>
                <w:bCs/>
                <w:color w:val="000000"/>
                <w:szCs w:val="24"/>
              </w:rPr>
              <w:t>履行</w:t>
            </w:r>
            <w:r>
              <w:rPr>
                <w:rFonts w:hint="eastAsia" w:ascii="宋体" w:hAnsi="宋体"/>
                <w:bCs/>
                <w:color w:val="000000"/>
                <w:szCs w:val="24"/>
              </w:rPr>
              <w:t>期限）</w:t>
            </w:r>
          </w:p>
        </w:tc>
        <w:tc>
          <w:tcPr>
            <w:tcW w:w="3948" w:type="dxa"/>
            <w:vAlign w:val="center"/>
          </w:tcPr>
          <w:p>
            <w:pPr>
              <w:pStyle w:val="48"/>
              <w:widowControl w:val="0"/>
              <w:pBdr>
                <w:bottom w:val="none" w:color="auto" w:sz="0" w:space="0"/>
                <w:right w:val="none" w:color="auto" w:sz="0" w:space="0"/>
              </w:pBdr>
              <w:spacing w:before="0" w:beforeAutospacing="0" w:after="0" w:afterAutospacing="0"/>
              <w:jc w:val="left"/>
              <w:rPr>
                <w:bCs/>
                <w:color w:val="000000"/>
                <w:szCs w:val="24"/>
              </w:rPr>
            </w:pPr>
            <w:r>
              <w:rPr>
                <w:rFonts w:hint="eastAsia"/>
                <w:bCs/>
                <w:color w:val="000000"/>
                <w:szCs w:val="24"/>
              </w:rPr>
              <w:t>（大写）人民币</w:t>
            </w:r>
            <w:r>
              <w:rPr>
                <w:rFonts w:hint="eastAsia"/>
                <w:bCs/>
                <w:color w:val="000000"/>
                <w:szCs w:val="24"/>
                <w:u w:val="single"/>
              </w:rPr>
              <w:t xml:space="preserve">               </w:t>
            </w:r>
            <w:r>
              <w:rPr>
                <w:rFonts w:hint="eastAsia"/>
                <w:bCs/>
                <w:color w:val="000000"/>
                <w:szCs w:val="24"/>
              </w:rPr>
              <w:t>元</w:t>
            </w:r>
          </w:p>
          <w:p>
            <w:pPr>
              <w:pStyle w:val="48"/>
              <w:widowControl w:val="0"/>
              <w:pBdr>
                <w:bottom w:val="none" w:color="auto" w:sz="0" w:space="0"/>
                <w:right w:val="none" w:color="auto" w:sz="0" w:space="0"/>
              </w:pBdr>
              <w:spacing w:before="0" w:beforeAutospacing="0" w:after="0" w:afterAutospacing="0"/>
              <w:jc w:val="left"/>
              <w:rPr>
                <w:bCs/>
                <w:color w:val="000000"/>
                <w:szCs w:val="24"/>
              </w:rPr>
            </w:pPr>
          </w:p>
          <w:p>
            <w:pPr>
              <w:pStyle w:val="48"/>
              <w:widowControl w:val="0"/>
              <w:pBdr>
                <w:bottom w:val="none" w:color="auto" w:sz="0" w:space="0"/>
                <w:right w:val="none" w:color="auto" w:sz="0" w:space="0"/>
              </w:pBdr>
              <w:spacing w:before="0" w:beforeAutospacing="0" w:after="0" w:afterAutospacing="0"/>
              <w:jc w:val="both"/>
              <w:rPr>
                <w:bCs/>
                <w:color w:val="000000"/>
                <w:kern w:val="2"/>
                <w:szCs w:val="24"/>
              </w:rPr>
            </w:pPr>
            <w:r>
              <w:rPr>
                <w:rFonts w:hint="eastAsia"/>
                <w:bCs/>
                <w:color w:val="000000"/>
                <w:szCs w:val="24"/>
              </w:rPr>
              <w:t>（小写）¥</w:t>
            </w:r>
            <w:r>
              <w:rPr>
                <w:rFonts w:hint="eastAsia"/>
                <w:bCs/>
                <w:color w:val="000000"/>
                <w:szCs w:val="24"/>
                <w:u w:val="single"/>
              </w:rPr>
              <w:t xml:space="preserve">                元</w:t>
            </w:r>
          </w:p>
        </w:tc>
      </w:tr>
    </w:tbl>
    <w:p>
      <w:pPr>
        <w:rPr>
          <w:rFonts w:ascii="宋体" w:hAnsi="宋体"/>
          <w:color w:val="000000"/>
          <w:szCs w:val="24"/>
        </w:rPr>
      </w:pPr>
    </w:p>
    <w:p>
      <w:pPr>
        <w:wordWrap w:val="0"/>
        <w:autoSpaceDE w:val="0"/>
        <w:autoSpaceDN w:val="0"/>
        <w:rPr>
          <w:rFonts w:ascii="宋体" w:hAnsi="宋体"/>
          <w:color w:val="000000"/>
          <w:szCs w:val="24"/>
        </w:rPr>
      </w:pPr>
      <w:r>
        <w:rPr>
          <w:rFonts w:hint="eastAsia" w:ascii="宋体" w:hAnsi="宋体"/>
          <w:color w:val="000000"/>
          <w:szCs w:val="24"/>
        </w:rPr>
        <w:t>供应商名称（加盖公章）：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供应商法定代表人或授权代表（签字或盖章）：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日期：</w:t>
      </w:r>
      <w:r>
        <w:rPr>
          <w:rFonts w:hint="eastAsia" w:ascii="宋体" w:hAnsi="宋体"/>
          <w:color w:val="000000"/>
          <w:szCs w:val="24"/>
          <w:u w:val="single"/>
        </w:rPr>
        <w:t xml:space="preserve">        </w:t>
      </w:r>
      <w:r>
        <w:rPr>
          <w:rFonts w:hint="eastAsia" w:ascii="宋体" w:hAnsi="宋体"/>
          <w:color w:val="000000"/>
          <w:szCs w:val="24"/>
        </w:rPr>
        <w:t>年</w:t>
      </w:r>
      <w:r>
        <w:rPr>
          <w:rFonts w:hint="eastAsia" w:ascii="宋体" w:hAnsi="宋体"/>
          <w:color w:val="000000"/>
          <w:szCs w:val="24"/>
          <w:u w:val="single"/>
        </w:rPr>
        <w:t xml:space="preserve">    </w:t>
      </w:r>
      <w:r>
        <w:rPr>
          <w:rFonts w:hint="eastAsia" w:ascii="宋体" w:hAnsi="宋体"/>
          <w:color w:val="000000"/>
          <w:szCs w:val="24"/>
        </w:rPr>
        <w:t>月</w:t>
      </w:r>
      <w:r>
        <w:rPr>
          <w:rFonts w:hint="eastAsia" w:ascii="宋体" w:hAnsi="宋体"/>
          <w:color w:val="000000"/>
          <w:szCs w:val="24"/>
          <w:u w:val="single"/>
        </w:rPr>
        <w:t xml:space="preserve">    </w:t>
      </w:r>
      <w:r>
        <w:rPr>
          <w:rFonts w:hint="eastAsia" w:ascii="宋体" w:hAnsi="宋体"/>
          <w:color w:val="000000"/>
          <w:szCs w:val="24"/>
        </w:rPr>
        <w:t>日</w:t>
      </w:r>
    </w:p>
    <w:p>
      <w:pPr>
        <w:wordWrap w:val="0"/>
        <w:autoSpaceDE w:val="0"/>
        <w:autoSpaceDN w:val="0"/>
        <w:rPr>
          <w:rFonts w:ascii="宋体" w:hAnsi="宋体"/>
          <w:color w:val="000000"/>
          <w:szCs w:val="24"/>
        </w:rPr>
      </w:pPr>
    </w:p>
    <w:p>
      <w:pPr>
        <w:ind w:left="720" w:hanging="720" w:hangingChars="300"/>
        <w:rPr>
          <w:rFonts w:ascii="宋体" w:hAnsi="宋体"/>
          <w:b/>
          <w:color w:val="000000"/>
          <w:szCs w:val="24"/>
        </w:rPr>
      </w:pPr>
      <w:r>
        <w:rPr>
          <w:rFonts w:hint="eastAsia" w:ascii="宋体" w:hAnsi="宋体"/>
          <w:b/>
          <w:color w:val="000000"/>
          <w:szCs w:val="24"/>
        </w:rPr>
        <w:t>备注：</w:t>
      </w:r>
    </w:p>
    <w:p>
      <w:pPr>
        <w:ind w:firstLine="480" w:firstLineChars="200"/>
        <w:rPr>
          <w:rFonts w:ascii="宋体" w:hAnsi="宋体"/>
          <w:color w:val="000000"/>
          <w:szCs w:val="24"/>
        </w:rPr>
      </w:pPr>
      <w:r>
        <w:rPr>
          <w:rFonts w:hint="eastAsia" w:ascii="宋体" w:hAnsi="宋体"/>
          <w:color w:val="000000"/>
          <w:szCs w:val="24"/>
        </w:rPr>
        <w:t>1.此表报价是所有需采购人支付的金额总数，包括《采购需求》要求的全部内容。</w:t>
      </w:r>
    </w:p>
    <w:p>
      <w:pPr>
        <w:ind w:firstLine="480" w:firstLineChars="200"/>
        <w:rPr>
          <w:rFonts w:ascii="宋体" w:hAnsi="宋体"/>
          <w:color w:val="000000"/>
          <w:szCs w:val="24"/>
        </w:rPr>
      </w:pPr>
      <w:r>
        <w:rPr>
          <w:rFonts w:hint="eastAsia" w:ascii="宋体" w:hAnsi="宋体"/>
          <w:color w:val="000000"/>
          <w:szCs w:val="24"/>
        </w:rPr>
        <w:t>2.报价中必须包含项目实施的全部工作内容、保证期内服务及售后服务、全额含税发票、雇员费用、合同实施过程中应预见和不可预见费用等。所有价格均应以人民币报价，金额单位为元。</w:t>
      </w:r>
    </w:p>
    <w:p>
      <w:pPr>
        <w:ind w:firstLine="480" w:firstLineChars="200"/>
        <w:rPr>
          <w:rFonts w:ascii="宋体" w:hAnsi="宋体"/>
          <w:color w:val="000000"/>
          <w:szCs w:val="24"/>
        </w:rPr>
      </w:pPr>
      <w:r>
        <w:rPr>
          <w:rFonts w:hint="eastAsia" w:ascii="宋体" w:hAnsi="宋体"/>
          <w:color w:val="000000"/>
          <w:szCs w:val="24"/>
        </w:rPr>
        <w:t>3.</w:t>
      </w:r>
      <w:r>
        <w:rPr>
          <w:rFonts w:hint="eastAsia"/>
          <w:b/>
          <w:color w:val="000000"/>
          <w:spacing w:val="4"/>
          <w:szCs w:val="24"/>
        </w:rPr>
        <w:t>温馨提示：</w:t>
      </w:r>
      <w:r>
        <w:rPr>
          <w:rFonts w:hint="eastAsia"/>
          <w:color w:val="000000"/>
          <w:spacing w:val="4"/>
          <w:szCs w:val="24"/>
        </w:rPr>
        <w:t>中文大写金额用汉字，如壹、贰、叁、肆、伍、陆、柒、捌、玖、拾、佰、仟、万、亿、元、角、分、零、整（正）等。</w:t>
      </w:r>
    </w:p>
    <w:p>
      <w:pPr>
        <w:ind w:firstLine="480" w:firstLineChars="200"/>
        <w:rPr>
          <w:rFonts w:ascii="宋体" w:hAnsi="宋体"/>
          <w:color w:val="000000"/>
          <w:szCs w:val="24"/>
        </w:rPr>
      </w:pPr>
      <w:r>
        <w:rPr>
          <w:rFonts w:hint="eastAsia" w:ascii="宋体" w:hAnsi="宋体"/>
          <w:color w:val="000000"/>
          <w:szCs w:val="24"/>
        </w:rPr>
        <w:t>4.建议供应商自留一份《首次报价一览表》，以供最后报价时参考使用。</w:t>
      </w:r>
    </w:p>
    <w:p>
      <w:pPr>
        <w:wordWrap w:val="0"/>
        <w:autoSpaceDE w:val="0"/>
        <w:autoSpaceDN w:val="0"/>
        <w:rPr>
          <w:rFonts w:ascii="宋体" w:hAnsi="宋体"/>
          <w:color w:val="000000"/>
          <w:szCs w:val="24"/>
        </w:rPr>
      </w:pPr>
    </w:p>
    <w:p>
      <w:pPr>
        <w:wordWrap w:val="0"/>
        <w:autoSpaceDE w:val="0"/>
        <w:autoSpaceDN w:val="0"/>
        <w:rPr>
          <w:rFonts w:ascii="宋体" w:hAnsi="宋体"/>
          <w:color w:val="000000"/>
          <w:szCs w:val="24"/>
        </w:rPr>
      </w:pPr>
    </w:p>
    <w:p>
      <w:pPr>
        <w:wordWrap w:val="0"/>
        <w:autoSpaceDE w:val="0"/>
        <w:autoSpaceDN w:val="0"/>
        <w:rPr>
          <w:rFonts w:ascii="宋体" w:hAnsi="宋体"/>
          <w:color w:val="000000"/>
          <w:szCs w:val="24"/>
        </w:rPr>
      </w:pPr>
    </w:p>
    <w:p>
      <w:pPr>
        <w:wordWrap w:val="0"/>
        <w:autoSpaceDE w:val="0"/>
        <w:autoSpaceDN w:val="0"/>
        <w:rPr>
          <w:rFonts w:ascii="宋体" w:hAnsi="宋体"/>
          <w:color w:val="000000"/>
          <w:szCs w:val="24"/>
        </w:rPr>
      </w:pPr>
    </w:p>
    <w:p>
      <w:pPr>
        <w:wordWrap w:val="0"/>
        <w:autoSpaceDE w:val="0"/>
        <w:autoSpaceDN w:val="0"/>
        <w:rPr>
          <w:rFonts w:ascii="宋体" w:hAnsi="宋体"/>
          <w:color w:val="000000"/>
          <w:szCs w:val="24"/>
        </w:rPr>
      </w:pPr>
    </w:p>
    <w:p>
      <w:pPr>
        <w:wordWrap w:val="0"/>
        <w:autoSpaceDE w:val="0"/>
        <w:autoSpaceDN w:val="0"/>
        <w:rPr>
          <w:rFonts w:ascii="宋体" w:hAnsi="宋体"/>
          <w:color w:val="000000"/>
          <w:szCs w:val="24"/>
        </w:rPr>
      </w:pPr>
    </w:p>
    <w:p>
      <w:pPr>
        <w:wordWrap w:val="0"/>
        <w:autoSpaceDE w:val="0"/>
        <w:autoSpaceDN w:val="0"/>
        <w:rPr>
          <w:rFonts w:ascii="宋体" w:hAnsi="宋体"/>
          <w:color w:val="000000"/>
          <w:szCs w:val="24"/>
        </w:rPr>
      </w:pPr>
    </w:p>
    <w:p>
      <w:pPr>
        <w:pStyle w:val="5"/>
        <w:numPr>
          <w:ilvl w:val="0"/>
          <w:numId w:val="69"/>
        </w:numPr>
        <w:tabs>
          <w:tab w:val="left" w:pos="945"/>
        </w:tabs>
        <w:spacing w:before="0" w:after="0" w:line="360" w:lineRule="auto"/>
        <w:ind w:left="0" w:firstLine="0"/>
        <w:rPr>
          <w:color w:val="000000"/>
          <w:sz w:val="28"/>
          <w:szCs w:val="28"/>
        </w:rPr>
      </w:pPr>
      <w:bookmarkStart w:id="479" w:name="_Toc22806244"/>
      <w:bookmarkStart w:id="480" w:name="_Toc50460267"/>
      <w:bookmarkStart w:id="481" w:name="_Toc56180373"/>
      <w:bookmarkStart w:id="482" w:name="_Toc55398779"/>
      <w:r>
        <w:rPr>
          <w:rFonts w:hint="eastAsia"/>
          <w:color w:val="000000"/>
          <w:sz w:val="28"/>
          <w:szCs w:val="28"/>
        </w:rPr>
        <w:t>分项报价明细表</w:t>
      </w:r>
      <w:bookmarkEnd w:id="479"/>
      <w:bookmarkEnd w:id="480"/>
      <w:bookmarkEnd w:id="481"/>
      <w:bookmarkEnd w:id="482"/>
    </w:p>
    <w:p>
      <w:pPr>
        <w:ind w:left="1078" w:hanging="1078" w:hangingChars="337"/>
        <w:jc w:val="center"/>
        <w:rPr>
          <w:rFonts w:ascii="宋体" w:hAnsi="宋体"/>
          <w:b/>
          <w:color w:val="000000"/>
          <w:sz w:val="32"/>
          <w:szCs w:val="32"/>
        </w:rPr>
      </w:pPr>
      <w:r>
        <w:rPr>
          <w:rFonts w:hint="eastAsia" w:ascii="宋体" w:hAnsi="宋体"/>
          <w:b/>
          <w:color w:val="000000"/>
          <w:sz w:val="32"/>
          <w:szCs w:val="32"/>
        </w:rPr>
        <w:t>分项报价明细表</w:t>
      </w:r>
    </w:p>
    <w:p>
      <w:pPr>
        <w:ind w:left="808" w:hanging="808" w:hangingChars="337"/>
        <w:rPr>
          <w:rFonts w:ascii="宋体" w:hAnsi="宋体"/>
          <w:color w:val="000000"/>
          <w:szCs w:val="24"/>
        </w:rPr>
      </w:pPr>
      <w:r>
        <w:rPr>
          <w:rFonts w:hint="eastAsia" w:ascii="宋体" w:hAnsi="宋体"/>
          <w:color w:val="000000"/>
          <w:szCs w:val="24"/>
        </w:rPr>
        <w:t>采购项目名称：2026-2027年广州白云机场海关南1、2号楼物业管理服务</w:t>
      </w:r>
    </w:p>
    <w:p>
      <w:pPr>
        <w:ind w:left="808" w:hanging="808" w:hangingChars="337"/>
        <w:rPr>
          <w:rFonts w:ascii="宋体" w:hAnsi="宋体"/>
          <w:szCs w:val="24"/>
        </w:rPr>
      </w:pPr>
      <w:r>
        <w:rPr>
          <w:rFonts w:hint="eastAsia" w:ascii="宋体" w:hAnsi="宋体"/>
          <w:szCs w:val="24"/>
        </w:rPr>
        <w:t>采购包号：</w:t>
      </w:r>
    </w:p>
    <w:tbl>
      <w:tblPr>
        <w:tblStyle w:val="30"/>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55"/>
        <w:gridCol w:w="3828"/>
        <w:gridCol w:w="728"/>
        <w:gridCol w:w="709"/>
        <w:gridCol w:w="1262"/>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710" w:type="dxa"/>
            <w:tcBorders>
              <w:left w:val="single" w:color="auto" w:sz="4" w:space="0"/>
            </w:tcBorders>
            <w:vAlign w:val="center"/>
          </w:tcPr>
          <w:p>
            <w:pPr>
              <w:jc w:val="center"/>
              <w:rPr>
                <w:rFonts w:ascii="宋体" w:hAnsi="宋体"/>
                <w:szCs w:val="24"/>
              </w:rPr>
            </w:pPr>
            <w:r>
              <w:rPr>
                <w:rFonts w:hint="eastAsia" w:ascii="宋体" w:hAnsi="宋体"/>
                <w:szCs w:val="24"/>
              </w:rPr>
              <w:t>序号</w:t>
            </w:r>
          </w:p>
        </w:tc>
        <w:tc>
          <w:tcPr>
            <w:tcW w:w="1255" w:type="dxa"/>
            <w:vAlign w:val="center"/>
          </w:tcPr>
          <w:p>
            <w:pPr>
              <w:jc w:val="center"/>
              <w:rPr>
                <w:rFonts w:ascii="宋体" w:hAnsi="宋体"/>
                <w:szCs w:val="24"/>
              </w:rPr>
            </w:pPr>
            <w:r>
              <w:rPr>
                <w:rFonts w:hint="eastAsia" w:ascii="宋体" w:hAnsi="宋体"/>
                <w:szCs w:val="24"/>
              </w:rPr>
              <w:t>分项名称</w:t>
            </w:r>
          </w:p>
        </w:tc>
        <w:tc>
          <w:tcPr>
            <w:tcW w:w="3828" w:type="dxa"/>
            <w:vAlign w:val="center"/>
          </w:tcPr>
          <w:p>
            <w:pPr>
              <w:jc w:val="center"/>
              <w:rPr>
                <w:rFonts w:ascii="宋体" w:hAnsi="宋体"/>
                <w:szCs w:val="24"/>
              </w:rPr>
            </w:pPr>
            <w:r>
              <w:rPr>
                <w:rFonts w:hint="eastAsia" w:ascii="宋体" w:hAnsi="宋体"/>
                <w:szCs w:val="24"/>
              </w:rPr>
              <w:t>服务内容（简述）</w:t>
            </w:r>
          </w:p>
        </w:tc>
        <w:tc>
          <w:tcPr>
            <w:tcW w:w="728" w:type="dxa"/>
            <w:vAlign w:val="center"/>
          </w:tcPr>
          <w:p>
            <w:pPr>
              <w:jc w:val="center"/>
              <w:rPr>
                <w:rFonts w:ascii="宋体" w:hAnsi="宋体"/>
                <w:szCs w:val="24"/>
              </w:rPr>
            </w:pPr>
            <w:r>
              <w:rPr>
                <w:rFonts w:hint="eastAsia" w:ascii="宋体" w:hAnsi="宋体"/>
                <w:szCs w:val="24"/>
              </w:rPr>
              <w:t>单位</w:t>
            </w:r>
          </w:p>
        </w:tc>
        <w:tc>
          <w:tcPr>
            <w:tcW w:w="709" w:type="dxa"/>
            <w:vAlign w:val="center"/>
          </w:tcPr>
          <w:p>
            <w:pPr>
              <w:jc w:val="center"/>
              <w:rPr>
                <w:rFonts w:ascii="宋体" w:hAnsi="宋体"/>
                <w:szCs w:val="24"/>
              </w:rPr>
            </w:pPr>
            <w:r>
              <w:rPr>
                <w:rFonts w:hint="eastAsia" w:ascii="宋体" w:hAnsi="宋体"/>
                <w:szCs w:val="24"/>
              </w:rPr>
              <w:t>数量</w:t>
            </w:r>
          </w:p>
        </w:tc>
        <w:tc>
          <w:tcPr>
            <w:tcW w:w="1262" w:type="dxa"/>
            <w:tcBorders>
              <w:right w:val="single" w:color="auto" w:sz="4" w:space="0"/>
            </w:tcBorders>
            <w:vAlign w:val="center"/>
          </w:tcPr>
          <w:p>
            <w:pPr>
              <w:jc w:val="center"/>
              <w:rPr>
                <w:rFonts w:ascii="宋体" w:hAnsi="宋体"/>
                <w:szCs w:val="24"/>
              </w:rPr>
            </w:pPr>
            <w:r>
              <w:rPr>
                <w:rFonts w:hint="eastAsia" w:ascii="宋体" w:hAnsi="宋体"/>
                <w:szCs w:val="24"/>
              </w:rPr>
              <w:t>单价（元）</w:t>
            </w:r>
          </w:p>
        </w:tc>
        <w:tc>
          <w:tcPr>
            <w:tcW w:w="1219" w:type="dxa"/>
            <w:tcBorders>
              <w:left w:val="single" w:color="auto" w:sz="4" w:space="0"/>
              <w:right w:val="single" w:color="auto" w:sz="4" w:space="0"/>
            </w:tcBorders>
            <w:vAlign w:val="center"/>
          </w:tcPr>
          <w:p>
            <w:pPr>
              <w:jc w:val="center"/>
              <w:rPr>
                <w:rFonts w:ascii="宋体" w:hAnsi="宋体"/>
                <w:szCs w:val="24"/>
              </w:rPr>
            </w:pPr>
            <w:r>
              <w:rPr>
                <w:rFonts w:hint="eastAsia" w:ascii="宋体" w:hAnsi="宋体"/>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710" w:type="dxa"/>
            <w:tcBorders>
              <w:left w:val="single" w:color="auto" w:sz="4" w:space="0"/>
            </w:tcBorders>
            <w:vAlign w:val="center"/>
          </w:tcPr>
          <w:p>
            <w:pPr>
              <w:jc w:val="center"/>
              <w:rPr>
                <w:rFonts w:ascii="宋体" w:hAnsi="宋体"/>
                <w:szCs w:val="24"/>
              </w:rPr>
            </w:pPr>
          </w:p>
        </w:tc>
        <w:tc>
          <w:tcPr>
            <w:tcW w:w="1255"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3828"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728"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709"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1262" w:type="dxa"/>
            <w:tcBorders>
              <w:right w:val="single" w:color="auto" w:sz="4" w:space="0"/>
            </w:tcBorders>
            <w:vAlign w:val="center"/>
          </w:tcPr>
          <w:p>
            <w:pPr>
              <w:jc w:val="center"/>
              <w:rPr>
                <w:rFonts w:ascii="宋体" w:hAnsi="宋体"/>
                <w:szCs w:val="24"/>
              </w:rPr>
            </w:pPr>
          </w:p>
        </w:tc>
        <w:tc>
          <w:tcPr>
            <w:tcW w:w="1219" w:type="dxa"/>
            <w:tcBorders>
              <w:left w:val="single" w:color="auto" w:sz="4" w:space="0"/>
              <w:right w:val="single" w:color="auto" w:sz="4" w:space="0"/>
            </w:tcBorders>
            <w:vAlign w:val="center"/>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710" w:type="dxa"/>
            <w:tcBorders>
              <w:left w:val="single" w:color="auto" w:sz="4" w:space="0"/>
            </w:tcBorders>
            <w:vAlign w:val="center"/>
          </w:tcPr>
          <w:p>
            <w:pPr>
              <w:jc w:val="center"/>
              <w:rPr>
                <w:rFonts w:ascii="宋体" w:hAnsi="宋体"/>
                <w:szCs w:val="24"/>
              </w:rPr>
            </w:pPr>
          </w:p>
        </w:tc>
        <w:tc>
          <w:tcPr>
            <w:tcW w:w="1255"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3828"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728"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709"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1262" w:type="dxa"/>
            <w:tcBorders>
              <w:right w:val="single" w:color="auto" w:sz="4" w:space="0"/>
            </w:tcBorders>
            <w:vAlign w:val="center"/>
          </w:tcPr>
          <w:p>
            <w:pPr>
              <w:jc w:val="center"/>
              <w:rPr>
                <w:rFonts w:ascii="宋体" w:hAnsi="宋体"/>
                <w:szCs w:val="24"/>
              </w:rPr>
            </w:pPr>
          </w:p>
        </w:tc>
        <w:tc>
          <w:tcPr>
            <w:tcW w:w="1219" w:type="dxa"/>
            <w:tcBorders>
              <w:left w:val="single" w:color="auto" w:sz="4" w:space="0"/>
              <w:right w:val="single" w:color="auto" w:sz="4" w:space="0"/>
            </w:tcBorders>
            <w:vAlign w:val="center"/>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710" w:type="dxa"/>
            <w:tcBorders>
              <w:left w:val="single" w:color="auto" w:sz="4" w:space="0"/>
            </w:tcBorders>
            <w:vAlign w:val="center"/>
          </w:tcPr>
          <w:p>
            <w:pPr>
              <w:jc w:val="center"/>
              <w:rPr>
                <w:rFonts w:ascii="宋体" w:hAnsi="宋体"/>
                <w:szCs w:val="24"/>
              </w:rPr>
            </w:pPr>
            <w:r>
              <w:rPr>
                <w:rFonts w:ascii="宋体" w:hAnsi="宋体"/>
                <w:szCs w:val="24"/>
              </w:rPr>
              <w:t>……</w:t>
            </w:r>
          </w:p>
        </w:tc>
        <w:tc>
          <w:tcPr>
            <w:tcW w:w="1255"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3828"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728"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709" w:type="dxa"/>
            <w:tcBorders>
              <w:top w:val="single" w:color="auto" w:sz="4" w:space="0"/>
              <w:left w:val="single" w:color="auto" w:sz="4" w:space="0"/>
              <w:right w:val="single" w:color="auto" w:sz="4" w:space="0"/>
            </w:tcBorders>
            <w:vAlign w:val="center"/>
          </w:tcPr>
          <w:p>
            <w:pPr>
              <w:jc w:val="center"/>
              <w:rPr>
                <w:rFonts w:ascii="宋体" w:hAnsi="宋体"/>
                <w:szCs w:val="24"/>
              </w:rPr>
            </w:pPr>
          </w:p>
        </w:tc>
        <w:tc>
          <w:tcPr>
            <w:tcW w:w="1262" w:type="dxa"/>
            <w:tcBorders>
              <w:right w:val="single" w:color="auto" w:sz="4" w:space="0"/>
            </w:tcBorders>
            <w:vAlign w:val="center"/>
          </w:tcPr>
          <w:p>
            <w:pPr>
              <w:jc w:val="center"/>
              <w:rPr>
                <w:rFonts w:ascii="宋体" w:hAnsi="宋体"/>
                <w:szCs w:val="24"/>
              </w:rPr>
            </w:pPr>
          </w:p>
        </w:tc>
        <w:tc>
          <w:tcPr>
            <w:tcW w:w="1219" w:type="dxa"/>
            <w:tcBorders>
              <w:left w:val="single" w:color="auto" w:sz="4" w:space="0"/>
              <w:right w:val="single" w:color="auto" w:sz="4" w:space="0"/>
            </w:tcBorders>
            <w:vAlign w:val="center"/>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9711" w:type="dxa"/>
            <w:gridSpan w:val="7"/>
            <w:tcBorders>
              <w:left w:val="single" w:color="auto" w:sz="4" w:space="0"/>
              <w:bottom w:val="single" w:color="auto" w:sz="4" w:space="0"/>
              <w:right w:val="single" w:color="auto" w:sz="4" w:space="0"/>
            </w:tcBorders>
            <w:vAlign w:val="center"/>
          </w:tcPr>
          <w:p>
            <w:pPr>
              <w:pStyle w:val="23"/>
              <w:rPr>
                <w:rFonts w:ascii="宋体" w:hAnsi="宋体"/>
                <w:szCs w:val="24"/>
                <w:lang w:val="en-GB"/>
              </w:rPr>
            </w:pPr>
            <w:r>
              <w:rPr>
                <w:rFonts w:hint="eastAsia" w:ascii="宋体" w:hAnsi="宋体"/>
                <w:bCs/>
                <w:szCs w:val="24"/>
              </w:rPr>
              <w:t>总计（投标总价）：（大写）人民币</w:t>
            </w:r>
            <w:r>
              <w:rPr>
                <w:rFonts w:hint="eastAsia" w:ascii="宋体" w:hAnsi="宋体"/>
                <w:bCs/>
                <w:szCs w:val="24"/>
                <w:u w:val="single"/>
              </w:rPr>
              <w:t xml:space="preserve">                      </w:t>
            </w:r>
            <w:r>
              <w:rPr>
                <w:rFonts w:hint="eastAsia" w:ascii="宋体" w:hAnsi="宋体"/>
                <w:bCs/>
                <w:szCs w:val="24"/>
              </w:rPr>
              <w:t>元（¥</w:t>
            </w:r>
            <w:r>
              <w:rPr>
                <w:rFonts w:hint="eastAsia" w:ascii="宋体" w:hAnsi="宋体"/>
                <w:bCs/>
                <w:szCs w:val="24"/>
                <w:u w:val="single"/>
              </w:rPr>
              <w:t xml:space="preserve">           </w:t>
            </w:r>
            <w:r>
              <w:rPr>
                <w:rFonts w:hint="eastAsia" w:ascii="宋体" w:hAnsi="宋体"/>
                <w:bCs/>
                <w:szCs w:val="24"/>
              </w:rPr>
              <w:t>）</w:t>
            </w:r>
          </w:p>
        </w:tc>
      </w:tr>
    </w:tbl>
    <w:p>
      <w:pPr>
        <w:pStyle w:val="2"/>
      </w:pPr>
    </w:p>
    <w:p>
      <w:pPr>
        <w:wordWrap w:val="0"/>
        <w:autoSpaceDE w:val="0"/>
        <w:autoSpaceDN w:val="0"/>
        <w:rPr>
          <w:rFonts w:ascii="宋体" w:hAnsi="宋体"/>
          <w:color w:val="000000"/>
          <w:szCs w:val="24"/>
        </w:rPr>
      </w:pPr>
      <w:r>
        <w:rPr>
          <w:rFonts w:hint="eastAsia" w:ascii="宋体" w:hAnsi="宋体"/>
          <w:color w:val="000000"/>
          <w:szCs w:val="24"/>
        </w:rPr>
        <w:t>供应商名称（加盖公章）：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供应商法定代表人或授权代表（签字或盖章）：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日期：</w:t>
      </w:r>
      <w:r>
        <w:rPr>
          <w:rFonts w:hint="eastAsia" w:ascii="宋体" w:hAnsi="宋体"/>
          <w:color w:val="000000"/>
          <w:szCs w:val="24"/>
          <w:u w:val="single"/>
        </w:rPr>
        <w:t xml:space="preserve">        </w:t>
      </w:r>
      <w:r>
        <w:rPr>
          <w:rFonts w:hint="eastAsia" w:ascii="宋体" w:hAnsi="宋体"/>
          <w:color w:val="000000"/>
          <w:szCs w:val="24"/>
        </w:rPr>
        <w:t>年</w:t>
      </w:r>
      <w:r>
        <w:rPr>
          <w:rFonts w:hint="eastAsia" w:ascii="宋体" w:hAnsi="宋体"/>
          <w:color w:val="000000"/>
          <w:szCs w:val="24"/>
          <w:u w:val="single"/>
        </w:rPr>
        <w:t xml:space="preserve">    </w:t>
      </w:r>
      <w:r>
        <w:rPr>
          <w:rFonts w:hint="eastAsia" w:ascii="宋体" w:hAnsi="宋体"/>
          <w:color w:val="000000"/>
          <w:szCs w:val="24"/>
        </w:rPr>
        <w:t>月</w:t>
      </w:r>
      <w:r>
        <w:rPr>
          <w:rFonts w:hint="eastAsia" w:ascii="宋体" w:hAnsi="宋体"/>
          <w:color w:val="000000"/>
          <w:szCs w:val="24"/>
          <w:u w:val="single"/>
        </w:rPr>
        <w:t xml:space="preserve">    </w:t>
      </w:r>
      <w:r>
        <w:rPr>
          <w:rFonts w:hint="eastAsia" w:ascii="宋体" w:hAnsi="宋体"/>
          <w:color w:val="000000"/>
          <w:szCs w:val="24"/>
        </w:rPr>
        <w:t>日</w:t>
      </w:r>
    </w:p>
    <w:p>
      <w:pPr>
        <w:wordWrap w:val="0"/>
        <w:autoSpaceDE w:val="0"/>
        <w:autoSpaceDN w:val="0"/>
        <w:rPr>
          <w:rFonts w:ascii="宋体" w:hAnsi="宋体"/>
          <w:b/>
          <w:color w:val="000000"/>
          <w:szCs w:val="24"/>
        </w:rPr>
      </w:pPr>
    </w:p>
    <w:p>
      <w:pPr>
        <w:wordWrap w:val="0"/>
        <w:autoSpaceDE w:val="0"/>
        <w:autoSpaceDN w:val="0"/>
        <w:rPr>
          <w:rFonts w:ascii="宋体" w:hAnsi="宋体"/>
          <w:b/>
          <w:color w:val="000000"/>
          <w:szCs w:val="24"/>
        </w:rPr>
      </w:pPr>
      <w:r>
        <w:rPr>
          <w:rFonts w:hint="eastAsia" w:ascii="宋体" w:hAnsi="宋体"/>
          <w:b/>
          <w:color w:val="000000"/>
          <w:szCs w:val="24"/>
        </w:rPr>
        <w:t>备注：</w:t>
      </w:r>
    </w:p>
    <w:p>
      <w:pPr>
        <w:ind w:firstLine="480" w:firstLineChars="200"/>
        <w:rPr>
          <w:rFonts w:ascii="宋体" w:hAnsi="宋体"/>
          <w:color w:val="000000"/>
          <w:szCs w:val="24"/>
        </w:rPr>
      </w:pPr>
      <w:r>
        <w:rPr>
          <w:rFonts w:hint="eastAsia" w:ascii="宋体" w:hAnsi="宋体"/>
          <w:color w:val="000000"/>
          <w:szCs w:val="24"/>
        </w:rPr>
        <w:t>1.以上各部分合计（总价）应与《首次报价一览表》中的总价保持一致。</w:t>
      </w:r>
    </w:p>
    <w:p>
      <w:pPr>
        <w:ind w:firstLine="480" w:firstLineChars="200"/>
        <w:rPr>
          <w:rFonts w:ascii="宋体" w:hAnsi="宋体"/>
          <w:color w:val="000000"/>
          <w:szCs w:val="24"/>
        </w:rPr>
      </w:pPr>
      <w:r>
        <w:rPr>
          <w:rFonts w:hint="eastAsia" w:ascii="宋体" w:hAnsi="宋体"/>
          <w:color w:val="000000"/>
          <w:szCs w:val="24"/>
        </w:rPr>
        <w:t>2.如《采购需求》提供了分项服务清单，供应商须按照《采购需求》的分项服务清单逐项提供各分项服务报价；如《采购需求》没有提供分项服务清单，供应商可参照本表格式提供各分项服务报价，也可以自定格式提供各分项服务报价。</w:t>
      </w:r>
    </w:p>
    <w:p>
      <w:pPr>
        <w:wordWrap w:val="0"/>
        <w:autoSpaceDE w:val="0"/>
        <w:autoSpaceDN w:val="0"/>
        <w:ind w:firstLine="480" w:firstLineChars="200"/>
        <w:rPr>
          <w:rFonts w:ascii="宋体" w:hAnsi="宋体"/>
          <w:color w:val="000000"/>
          <w:szCs w:val="24"/>
        </w:rPr>
      </w:pPr>
      <w:r>
        <w:rPr>
          <w:rFonts w:hint="eastAsia" w:ascii="宋体" w:hAnsi="宋体"/>
          <w:color w:val="000000"/>
          <w:szCs w:val="24"/>
        </w:rPr>
        <w:t>3.供应商提供各分项服务报价，应明确列明各分项服务名称、数量及关键（主要）内容，供应商未按《采购需求》的分项服务清单（如有）逐项列明分项服务的，如成交，采购人有权按照对项目最有利原则要求成交供应商完善，采购人无需另外支付任何费用。</w:t>
      </w:r>
      <w:r>
        <w:rPr>
          <w:rFonts w:hint="eastAsia" w:ascii="宋体" w:hAnsi="宋体"/>
          <w:b/>
          <w:color w:val="000000"/>
          <w:szCs w:val="24"/>
        </w:rPr>
        <w:t>供应商需在电子文档里放入《分项报价明细表》（如有）的 excel 格式文件。</w:t>
      </w:r>
    </w:p>
    <w:p>
      <w:pPr>
        <w:wordWrap w:val="0"/>
        <w:autoSpaceDE w:val="0"/>
        <w:autoSpaceDN w:val="0"/>
        <w:ind w:firstLine="480" w:firstLineChars="200"/>
        <w:rPr>
          <w:rFonts w:ascii="宋体" w:hAnsi="宋体"/>
          <w:color w:val="000000"/>
          <w:szCs w:val="24"/>
        </w:rPr>
      </w:pPr>
      <w:r>
        <w:rPr>
          <w:rFonts w:hint="eastAsia" w:ascii="宋体" w:hAnsi="宋体"/>
          <w:color w:val="000000"/>
          <w:szCs w:val="24"/>
        </w:rPr>
        <w:t>4.建议供应商自留一份《分项报价明细表》，以供最后报价时参考使用。</w:t>
      </w:r>
    </w:p>
    <w:p>
      <w:pPr>
        <w:pStyle w:val="5"/>
        <w:numPr>
          <w:ilvl w:val="0"/>
          <w:numId w:val="69"/>
        </w:numPr>
        <w:tabs>
          <w:tab w:val="left" w:pos="945"/>
        </w:tabs>
        <w:spacing w:before="0" w:after="0" w:line="360" w:lineRule="auto"/>
        <w:ind w:left="0" w:firstLine="0"/>
        <w:rPr>
          <w:color w:val="000000"/>
          <w:sz w:val="28"/>
          <w:szCs w:val="28"/>
        </w:rPr>
      </w:pPr>
      <w:bookmarkStart w:id="483" w:name="_Toc55398868"/>
      <w:bookmarkEnd w:id="483"/>
      <w:bookmarkStart w:id="484" w:name="_Toc55398870"/>
      <w:bookmarkEnd w:id="484"/>
      <w:bookmarkStart w:id="485" w:name="_Toc55398805"/>
      <w:bookmarkEnd w:id="485"/>
      <w:bookmarkStart w:id="486" w:name="_Toc55398875"/>
      <w:bookmarkEnd w:id="486"/>
      <w:bookmarkStart w:id="487" w:name="_Toc55398871"/>
      <w:bookmarkEnd w:id="487"/>
      <w:bookmarkStart w:id="488" w:name="_Toc55398872"/>
      <w:bookmarkEnd w:id="488"/>
      <w:bookmarkStart w:id="489" w:name="_Toc55398866"/>
      <w:bookmarkEnd w:id="489"/>
      <w:bookmarkStart w:id="490" w:name="_Toc55398786"/>
      <w:bookmarkEnd w:id="490"/>
      <w:bookmarkStart w:id="491" w:name="_Toc55398835"/>
      <w:bookmarkEnd w:id="491"/>
      <w:bookmarkStart w:id="492" w:name="_Toc55398867"/>
      <w:bookmarkEnd w:id="492"/>
      <w:bookmarkStart w:id="493" w:name="_Toc55398782"/>
      <w:bookmarkEnd w:id="493"/>
      <w:bookmarkStart w:id="494" w:name="_Toc55398865"/>
      <w:bookmarkEnd w:id="494"/>
      <w:bookmarkStart w:id="495" w:name="_Toc55398843"/>
      <w:bookmarkEnd w:id="495"/>
      <w:bookmarkStart w:id="496" w:name="_Toc55398797"/>
      <w:bookmarkEnd w:id="496"/>
      <w:bookmarkStart w:id="497" w:name="_Toc55398781"/>
      <w:bookmarkEnd w:id="497"/>
      <w:bookmarkStart w:id="498" w:name="_Toc55398873"/>
      <w:bookmarkEnd w:id="498"/>
      <w:bookmarkStart w:id="499" w:name="_Toc55398780"/>
      <w:bookmarkEnd w:id="499"/>
      <w:bookmarkStart w:id="500" w:name="_Toc55398874"/>
      <w:bookmarkEnd w:id="500"/>
      <w:bookmarkStart w:id="501" w:name="_Toc55398783"/>
      <w:bookmarkEnd w:id="501"/>
      <w:bookmarkStart w:id="502" w:name="_Toc55398869"/>
      <w:bookmarkEnd w:id="502"/>
      <w:bookmarkStart w:id="503" w:name="_Toc22806245"/>
      <w:bookmarkStart w:id="504" w:name="_Toc55398876"/>
      <w:bookmarkStart w:id="505" w:name="_Toc56180374"/>
      <w:bookmarkStart w:id="506" w:name="_Toc50460268"/>
      <w:r>
        <w:rPr>
          <w:rFonts w:hint="eastAsia"/>
          <w:color w:val="000000"/>
          <w:sz w:val="28"/>
          <w:szCs w:val="28"/>
        </w:rPr>
        <w:br w:type="page"/>
      </w:r>
      <w:r>
        <w:rPr>
          <w:rFonts w:hint="eastAsia"/>
          <w:color w:val="000000"/>
          <w:sz w:val="28"/>
          <w:szCs w:val="28"/>
        </w:rPr>
        <w:t>政策适用性说明</w:t>
      </w:r>
      <w:bookmarkEnd w:id="503"/>
      <w:r>
        <w:rPr>
          <w:rFonts w:hint="eastAsia"/>
          <w:color w:val="000000"/>
          <w:sz w:val="28"/>
          <w:szCs w:val="28"/>
        </w:rPr>
        <w:t>（如适用）</w:t>
      </w:r>
      <w:bookmarkEnd w:id="504"/>
      <w:bookmarkEnd w:id="505"/>
      <w:bookmarkEnd w:id="506"/>
    </w:p>
    <w:p>
      <w:pPr>
        <w:ind w:left="1078" w:hanging="1078" w:hangingChars="337"/>
        <w:jc w:val="center"/>
        <w:rPr>
          <w:rFonts w:ascii="宋体" w:hAnsi="宋体"/>
          <w:b/>
          <w:color w:val="000000"/>
          <w:sz w:val="32"/>
          <w:szCs w:val="32"/>
        </w:rPr>
      </w:pPr>
      <w:r>
        <w:rPr>
          <w:rFonts w:hint="eastAsia" w:ascii="宋体" w:hAnsi="宋体"/>
          <w:b/>
          <w:color w:val="000000"/>
          <w:sz w:val="32"/>
          <w:szCs w:val="32"/>
        </w:rPr>
        <w:t>政策适用性说明</w:t>
      </w:r>
    </w:p>
    <w:p>
      <w:pPr>
        <w:ind w:left="808" w:hanging="808" w:hangingChars="337"/>
        <w:rPr>
          <w:rFonts w:ascii="宋体" w:hAnsi="宋体"/>
          <w:color w:val="000000"/>
          <w:szCs w:val="24"/>
        </w:rPr>
      </w:pPr>
      <w:r>
        <w:rPr>
          <w:rFonts w:hint="eastAsia" w:ascii="宋体" w:hAnsi="宋体"/>
          <w:color w:val="000000"/>
          <w:szCs w:val="24"/>
        </w:rPr>
        <w:t>采购项目名称：2026-2027年广州白云机场海关南1、2号楼物业管理服务</w:t>
      </w:r>
    </w:p>
    <w:p>
      <w:pPr>
        <w:ind w:left="808" w:hanging="808" w:hangingChars="337"/>
        <w:rPr>
          <w:rFonts w:ascii="宋体" w:hAnsi="宋体"/>
          <w:color w:val="000000"/>
          <w:szCs w:val="24"/>
        </w:rPr>
      </w:pPr>
      <w:r>
        <w:rPr>
          <w:rFonts w:hint="eastAsia" w:ascii="宋体" w:hAnsi="宋体"/>
          <w:color w:val="000000"/>
          <w:szCs w:val="24"/>
        </w:rPr>
        <w:t>采购包号：</w:t>
      </w:r>
    </w:p>
    <w:tbl>
      <w:tblPr>
        <w:tblStyle w:val="30"/>
        <w:tblpPr w:leftFromText="180" w:rightFromText="180" w:vertAnchor="text" w:horzAnchor="page" w:tblpX="1842" w:tblpY="1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592"/>
        <w:gridCol w:w="1187"/>
        <w:gridCol w:w="1001"/>
        <w:gridCol w:w="1334"/>
        <w:gridCol w:w="1203"/>
        <w:gridCol w:w="1188"/>
        <w:gridCol w:w="1210"/>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613" w:type="dxa"/>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中小企业政策扶持</w:t>
            </w:r>
          </w:p>
        </w:tc>
        <w:tc>
          <w:tcPr>
            <w:tcW w:w="8501" w:type="dxa"/>
            <w:gridSpan w:val="8"/>
            <w:vAlign w:val="center"/>
          </w:tcPr>
          <w:p>
            <w:pPr>
              <w:ind w:left="808" w:hanging="808" w:hangingChars="337"/>
              <w:rPr>
                <w:rFonts w:ascii="宋体" w:hAnsi="宋体"/>
                <w:color w:val="000000"/>
                <w:szCs w:val="24"/>
              </w:rPr>
            </w:pPr>
            <w:r>
              <w:rPr>
                <w:rFonts w:hint="eastAsia" w:ascii="宋体" w:hAnsi="宋体"/>
                <w:color w:val="000000"/>
                <w:szCs w:val="24"/>
              </w:rPr>
              <w:t>是否出具如下文件材料，在如下“□”标记黑“■”或打勾“</w:t>
            </w:r>
            <w:r>
              <w:rPr>
                <w:rFonts w:hint="eastAsia" w:ascii="宋体" w:hAnsi="宋体"/>
                <w:b/>
                <w:color w:val="000000"/>
                <w:szCs w:val="24"/>
                <w:bdr w:val="single" w:color="auto" w:sz="4" w:space="0"/>
              </w:rPr>
              <w:t>√</w:t>
            </w:r>
            <w:r>
              <w:rPr>
                <w:rFonts w:hint="eastAsia" w:ascii="宋体" w:hAnsi="宋体"/>
                <w:color w:val="000000"/>
                <w:szCs w:val="24"/>
              </w:rPr>
              <w:t>”：</w:t>
            </w:r>
          </w:p>
          <w:p>
            <w:pPr>
              <w:pStyle w:val="45"/>
              <w:tabs>
                <w:tab w:val="left" w:pos="1260"/>
              </w:tabs>
              <w:ind w:left="240" w:hanging="240" w:hangingChars="100"/>
              <w:jc w:val="left"/>
              <w:rPr>
                <w:rFonts w:ascii="宋体" w:hAnsi="宋体"/>
                <w:color w:val="000000"/>
                <w:sz w:val="24"/>
                <w:lang w:val="en-GB"/>
              </w:rPr>
            </w:pPr>
            <w:r>
              <w:rPr>
                <w:rFonts w:hint="eastAsia" w:ascii="宋体" w:hAnsi="宋体"/>
                <w:color w:val="000000"/>
                <w:sz w:val="24"/>
              </w:rPr>
              <w:t>□《</w:t>
            </w:r>
            <w:r>
              <w:rPr>
                <w:rFonts w:hint="eastAsia" w:ascii="宋体" w:hAnsi="宋体" w:cs="宋体"/>
                <w:color w:val="000000"/>
                <w:sz w:val="24"/>
                <w:shd w:val="clear" w:color="auto" w:fill="FFFFFF"/>
              </w:rPr>
              <w:t>中小企业声明函</w:t>
            </w:r>
            <w:r>
              <w:rPr>
                <w:rFonts w:hint="eastAsia" w:ascii="宋体" w:hAnsi="宋体"/>
                <w:color w:val="000000"/>
                <w:sz w:val="24"/>
              </w:rPr>
              <w:t>》</w:t>
            </w:r>
          </w:p>
          <w:p>
            <w:pPr>
              <w:pStyle w:val="45"/>
              <w:tabs>
                <w:tab w:val="left" w:pos="1260"/>
              </w:tabs>
              <w:ind w:left="240" w:hanging="240" w:hangingChars="100"/>
              <w:jc w:val="left"/>
              <w:rPr>
                <w:rFonts w:ascii="宋体" w:hAnsi="宋体"/>
                <w:color w:val="000000"/>
                <w:sz w:val="24"/>
              </w:rPr>
            </w:pPr>
            <w:r>
              <w:rPr>
                <w:rFonts w:hint="eastAsia" w:ascii="宋体" w:hAnsi="宋体"/>
                <w:color w:val="000000"/>
                <w:sz w:val="24"/>
              </w:rPr>
              <w:t>□监狱企业证明文件</w:t>
            </w:r>
          </w:p>
          <w:p>
            <w:pPr>
              <w:pStyle w:val="45"/>
              <w:tabs>
                <w:tab w:val="left" w:pos="1260"/>
              </w:tabs>
              <w:ind w:left="240" w:hanging="240" w:hangingChars="100"/>
              <w:jc w:val="left"/>
              <w:rPr>
                <w:rFonts w:ascii="宋体" w:hAnsi="宋体"/>
                <w:color w:val="000000"/>
                <w:sz w:val="24"/>
              </w:rPr>
            </w:pPr>
            <w:r>
              <w:rPr>
                <w:rFonts w:hint="eastAsia" w:ascii="宋体" w:hAnsi="宋体"/>
                <w:color w:val="000000"/>
                <w:sz w:val="24"/>
              </w:rPr>
              <w:t>□《残疾人福利性单位声明函》</w:t>
            </w:r>
          </w:p>
          <w:p>
            <w:pPr>
              <w:pStyle w:val="45"/>
              <w:tabs>
                <w:tab w:val="left" w:pos="1260"/>
              </w:tabs>
              <w:ind w:left="240" w:hanging="240" w:hangingChars="100"/>
              <w:jc w:val="left"/>
              <w:rPr>
                <w:rFonts w:ascii="宋体" w:hAnsi="宋体"/>
                <w:color w:val="000000"/>
                <w:sz w:val="24"/>
              </w:rPr>
            </w:pPr>
            <w:r>
              <w:rPr>
                <w:rFonts w:hint="eastAsia" w:ascii="宋体" w:hAnsi="宋体"/>
                <w:color w:val="000000"/>
                <w:sz w:val="24"/>
              </w:rPr>
              <w:t>□《联合协议》</w:t>
            </w:r>
          </w:p>
          <w:p>
            <w:pPr>
              <w:ind w:left="240" w:hanging="240" w:hangingChars="100"/>
              <w:rPr>
                <w:rFonts w:ascii="宋体" w:hAnsi="宋体"/>
                <w:color w:val="000000"/>
                <w:lang w:val="en-GB"/>
              </w:rPr>
            </w:pPr>
            <w:r>
              <w:rPr>
                <w:rFonts w:hint="eastAsia" w:ascii="宋体" w:hAnsi="宋体"/>
                <w:color w:val="000000"/>
              </w:rPr>
              <w:t>□《分包意向协议》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13" w:type="dxa"/>
            <w:vMerge w:val="restart"/>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节能</w:t>
            </w:r>
          </w:p>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产品</w:t>
            </w:r>
          </w:p>
        </w:tc>
        <w:tc>
          <w:tcPr>
            <w:tcW w:w="592" w:type="dxa"/>
            <w:vMerge w:val="restart"/>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序号</w:t>
            </w:r>
          </w:p>
        </w:tc>
        <w:tc>
          <w:tcPr>
            <w:tcW w:w="1187" w:type="dxa"/>
            <w:vMerge w:val="restart"/>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产品名称（品牌、型号）</w:t>
            </w:r>
          </w:p>
        </w:tc>
        <w:tc>
          <w:tcPr>
            <w:tcW w:w="1001" w:type="dxa"/>
            <w:vMerge w:val="restart"/>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制造商</w:t>
            </w:r>
          </w:p>
        </w:tc>
        <w:tc>
          <w:tcPr>
            <w:tcW w:w="1334" w:type="dxa"/>
            <w:vMerge w:val="restart"/>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rPr>
              <w:t>对应品目清单中的名称</w:t>
            </w:r>
          </w:p>
        </w:tc>
        <w:tc>
          <w:tcPr>
            <w:tcW w:w="3601" w:type="dxa"/>
            <w:gridSpan w:val="3"/>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kern w:val="0"/>
                <w:sz w:val="24"/>
              </w:rPr>
              <w:t>节能产品认证证书</w:t>
            </w:r>
          </w:p>
        </w:tc>
        <w:tc>
          <w:tcPr>
            <w:tcW w:w="786" w:type="dxa"/>
            <w:vMerge w:val="restart"/>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613" w:type="dxa"/>
            <w:vMerge w:val="continue"/>
            <w:vAlign w:val="center"/>
          </w:tcPr>
          <w:p/>
        </w:tc>
        <w:tc>
          <w:tcPr>
            <w:tcW w:w="592" w:type="dxa"/>
            <w:vMerge w:val="continue"/>
            <w:tcBorders>
              <w:top w:val="single" w:color="auto" w:sz="4" w:space="0"/>
              <w:left w:val="single" w:color="auto" w:sz="4" w:space="0"/>
              <w:right w:val="single" w:color="auto" w:sz="4" w:space="0"/>
            </w:tcBorders>
            <w:vAlign w:val="center"/>
          </w:tcPr>
          <w:p/>
        </w:tc>
        <w:tc>
          <w:tcPr>
            <w:tcW w:w="1187" w:type="dxa"/>
            <w:vMerge w:val="continue"/>
            <w:tcBorders>
              <w:top w:val="single" w:color="auto" w:sz="4" w:space="0"/>
              <w:left w:val="single" w:color="auto" w:sz="4" w:space="0"/>
              <w:right w:val="single" w:color="auto" w:sz="4" w:space="0"/>
            </w:tcBorders>
            <w:vAlign w:val="center"/>
          </w:tcPr>
          <w:p/>
        </w:tc>
        <w:tc>
          <w:tcPr>
            <w:tcW w:w="1001" w:type="dxa"/>
            <w:vMerge w:val="continue"/>
            <w:tcBorders>
              <w:top w:val="single" w:color="auto" w:sz="4" w:space="0"/>
              <w:left w:val="single" w:color="auto" w:sz="4" w:space="0"/>
              <w:right w:val="single" w:color="auto" w:sz="4" w:space="0"/>
            </w:tcBorders>
            <w:vAlign w:val="center"/>
          </w:tcPr>
          <w:p/>
        </w:tc>
        <w:tc>
          <w:tcPr>
            <w:tcW w:w="1334" w:type="dxa"/>
            <w:vMerge w:val="continue"/>
            <w:tcBorders>
              <w:top w:val="single" w:color="auto" w:sz="4" w:space="0"/>
              <w:left w:val="single" w:color="auto" w:sz="4" w:space="0"/>
              <w:right w:val="single" w:color="auto" w:sz="4" w:space="0"/>
            </w:tcBorders>
            <w:vAlign w:val="center"/>
          </w:tcPr>
          <w:p/>
        </w:tc>
        <w:tc>
          <w:tcPr>
            <w:tcW w:w="1203"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kern w:val="0"/>
                <w:sz w:val="24"/>
                <w:lang w:val="en-GB"/>
              </w:rPr>
            </w:pPr>
            <w:r>
              <w:rPr>
                <w:rFonts w:hint="eastAsia" w:ascii="宋体" w:hAnsi="宋体" w:cs="宋体"/>
                <w:color w:val="000000"/>
                <w:kern w:val="0"/>
                <w:sz w:val="24"/>
              </w:rPr>
              <w:t>认证机构</w:t>
            </w:r>
          </w:p>
        </w:tc>
        <w:tc>
          <w:tcPr>
            <w:tcW w:w="1188"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kern w:val="0"/>
                <w:sz w:val="24"/>
              </w:rPr>
            </w:pPr>
            <w:r>
              <w:rPr>
                <w:rFonts w:hint="eastAsia" w:ascii="宋体" w:hAnsi="宋体" w:cs="宋体"/>
                <w:color w:val="000000"/>
                <w:kern w:val="0"/>
                <w:sz w:val="24"/>
              </w:rPr>
              <w:t>认证证书编号</w:t>
            </w:r>
          </w:p>
        </w:tc>
        <w:tc>
          <w:tcPr>
            <w:tcW w:w="1210"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kern w:val="0"/>
                <w:sz w:val="24"/>
              </w:rPr>
            </w:pPr>
            <w:r>
              <w:rPr>
                <w:rFonts w:hint="eastAsia" w:ascii="宋体" w:hAnsi="宋体" w:cs="宋体"/>
                <w:color w:val="000000"/>
                <w:kern w:val="0"/>
                <w:sz w:val="24"/>
              </w:rPr>
              <w:t>证书有效期</w:t>
            </w:r>
          </w:p>
        </w:tc>
        <w:tc>
          <w:tcPr>
            <w:tcW w:w="786"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613" w:type="dxa"/>
            <w:vMerge w:val="continue"/>
            <w:vAlign w:val="center"/>
          </w:tcPr>
          <w:p/>
        </w:tc>
        <w:tc>
          <w:tcPr>
            <w:tcW w:w="592"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1</w:t>
            </w:r>
          </w:p>
        </w:tc>
        <w:tc>
          <w:tcPr>
            <w:tcW w:w="1187"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001"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334"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03"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188"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10"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786" w:type="dxa"/>
            <w:vAlign w:val="center"/>
          </w:tcPr>
          <w:p>
            <w:pPr>
              <w:pStyle w:val="45"/>
              <w:tabs>
                <w:tab w:val="left" w:pos="1260"/>
              </w:tabs>
              <w:jc w:val="center"/>
              <w:rPr>
                <w:rFonts w:ascii="宋体" w:hAnsi="宋体" w:cs="宋体"/>
                <w:color w:val="000000"/>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613" w:type="dxa"/>
            <w:vMerge w:val="continue"/>
            <w:vAlign w:val="center"/>
          </w:tcPr>
          <w:p/>
        </w:tc>
        <w:tc>
          <w:tcPr>
            <w:tcW w:w="592"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2</w:t>
            </w:r>
          </w:p>
        </w:tc>
        <w:tc>
          <w:tcPr>
            <w:tcW w:w="1187"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001"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334"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03"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188"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10"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786" w:type="dxa"/>
            <w:vAlign w:val="center"/>
          </w:tcPr>
          <w:p>
            <w:pPr>
              <w:pStyle w:val="45"/>
              <w:tabs>
                <w:tab w:val="left" w:pos="1260"/>
              </w:tabs>
              <w:jc w:val="center"/>
              <w:rPr>
                <w:rFonts w:ascii="宋体" w:hAnsi="宋体" w:cs="宋体"/>
                <w:color w:val="000000"/>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613" w:type="dxa"/>
            <w:vMerge w:val="continue"/>
            <w:vAlign w:val="center"/>
          </w:tcPr>
          <w:p/>
        </w:tc>
        <w:tc>
          <w:tcPr>
            <w:tcW w:w="592"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w:t>
            </w:r>
          </w:p>
        </w:tc>
        <w:tc>
          <w:tcPr>
            <w:tcW w:w="1187"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001"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334"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03"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188"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10"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786" w:type="dxa"/>
            <w:vAlign w:val="center"/>
          </w:tcPr>
          <w:p>
            <w:pPr>
              <w:pStyle w:val="45"/>
              <w:tabs>
                <w:tab w:val="left" w:pos="1260"/>
              </w:tabs>
              <w:jc w:val="center"/>
              <w:rPr>
                <w:rFonts w:ascii="宋体" w:hAnsi="宋体" w:cs="宋体"/>
                <w:color w:val="000000"/>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613" w:type="dxa"/>
            <w:vMerge w:val="continue"/>
            <w:vAlign w:val="center"/>
          </w:tcPr>
          <w:p/>
        </w:tc>
        <w:tc>
          <w:tcPr>
            <w:tcW w:w="7715" w:type="dxa"/>
            <w:gridSpan w:val="7"/>
            <w:tcBorders>
              <w:top w:val="single" w:color="auto" w:sz="4" w:space="0"/>
              <w:left w:val="single" w:color="auto" w:sz="4" w:space="0"/>
              <w:right w:val="single" w:color="auto" w:sz="4" w:space="0"/>
            </w:tcBorders>
            <w:vAlign w:val="center"/>
          </w:tcPr>
          <w:p>
            <w:pPr>
              <w:pStyle w:val="45"/>
              <w:tabs>
                <w:tab w:val="left" w:pos="1260"/>
              </w:tabs>
              <w:jc w:val="left"/>
              <w:rPr>
                <w:rFonts w:ascii="宋体" w:hAnsi="宋体" w:cs="宋体"/>
                <w:color w:val="000000"/>
                <w:sz w:val="24"/>
                <w:lang w:val="en-GB"/>
              </w:rPr>
            </w:pPr>
            <w:r>
              <w:rPr>
                <w:rFonts w:hint="eastAsia" w:ascii="宋体" w:hAnsi="宋体" w:cs="宋体"/>
                <w:color w:val="000000"/>
                <w:sz w:val="24"/>
                <w:lang w:val="en-GB"/>
              </w:rPr>
              <w:t>节能产品金额合计</w:t>
            </w:r>
          </w:p>
        </w:tc>
        <w:tc>
          <w:tcPr>
            <w:tcW w:w="786" w:type="dxa"/>
            <w:vAlign w:val="center"/>
          </w:tcPr>
          <w:p>
            <w:pPr>
              <w:pStyle w:val="45"/>
              <w:tabs>
                <w:tab w:val="left" w:pos="1260"/>
              </w:tabs>
              <w:jc w:val="center"/>
              <w:rPr>
                <w:rFonts w:ascii="宋体" w:hAnsi="宋体" w:cs="宋体"/>
                <w:color w:val="000000"/>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613" w:type="dxa"/>
            <w:vMerge w:val="continue"/>
            <w:vAlign w:val="center"/>
          </w:tcPr>
          <w:p/>
        </w:tc>
        <w:tc>
          <w:tcPr>
            <w:tcW w:w="7715" w:type="dxa"/>
            <w:gridSpan w:val="7"/>
            <w:tcBorders>
              <w:top w:val="single" w:color="auto" w:sz="4" w:space="0"/>
              <w:left w:val="single" w:color="auto" w:sz="4" w:space="0"/>
              <w:right w:val="single" w:color="auto" w:sz="4" w:space="0"/>
            </w:tcBorders>
            <w:vAlign w:val="center"/>
          </w:tcPr>
          <w:p>
            <w:pPr>
              <w:pStyle w:val="45"/>
              <w:tabs>
                <w:tab w:val="left" w:pos="1260"/>
              </w:tabs>
              <w:jc w:val="left"/>
              <w:rPr>
                <w:rFonts w:ascii="宋体" w:hAnsi="宋体" w:cs="宋体"/>
                <w:color w:val="000000"/>
                <w:sz w:val="24"/>
                <w:lang w:val="en-GB"/>
              </w:rPr>
            </w:pPr>
            <w:r>
              <w:rPr>
                <w:rFonts w:hint="eastAsia" w:ascii="宋体" w:hAnsi="宋体" w:cs="宋体"/>
                <w:color w:val="000000"/>
                <w:sz w:val="24"/>
                <w:lang w:val="en-GB"/>
              </w:rPr>
              <w:t>节能产品证明材料见响应文件第（    ）页。</w:t>
            </w:r>
          </w:p>
        </w:tc>
        <w:tc>
          <w:tcPr>
            <w:tcW w:w="786" w:type="dxa"/>
            <w:vAlign w:val="center"/>
          </w:tcPr>
          <w:p>
            <w:pPr>
              <w:pStyle w:val="45"/>
              <w:tabs>
                <w:tab w:val="left" w:pos="1260"/>
              </w:tabs>
              <w:jc w:val="center"/>
              <w:rPr>
                <w:rFonts w:ascii="宋体" w:hAnsi="宋体" w:cs="宋体"/>
                <w:color w:val="000000"/>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13" w:type="dxa"/>
            <w:vMerge w:val="restart"/>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环境标志产品</w:t>
            </w:r>
          </w:p>
        </w:tc>
        <w:tc>
          <w:tcPr>
            <w:tcW w:w="592" w:type="dxa"/>
            <w:vMerge w:val="restart"/>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序号</w:t>
            </w:r>
          </w:p>
        </w:tc>
        <w:tc>
          <w:tcPr>
            <w:tcW w:w="1187" w:type="dxa"/>
            <w:vMerge w:val="restart"/>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产品名称（品牌、型号）</w:t>
            </w:r>
          </w:p>
        </w:tc>
        <w:tc>
          <w:tcPr>
            <w:tcW w:w="1001" w:type="dxa"/>
            <w:vMerge w:val="restart"/>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制造商</w:t>
            </w:r>
          </w:p>
        </w:tc>
        <w:tc>
          <w:tcPr>
            <w:tcW w:w="1334" w:type="dxa"/>
            <w:vMerge w:val="restart"/>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rPr>
              <w:t>对应品目清单中的名称</w:t>
            </w:r>
          </w:p>
        </w:tc>
        <w:tc>
          <w:tcPr>
            <w:tcW w:w="3601" w:type="dxa"/>
            <w:gridSpan w:val="3"/>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rPr>
              <w:t>环境标志产品认证证书</w:t>
            </w:r>
          </w:p>
        </w:tc>
        <w:tc>
          <w:tcPr>
            <w:tcW w:w="786" w:type="dxa"/>
            <w:vMerge w:val="restart"/>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613" w:type="dxa"/>
            <w:vMerge w:val="continue"/>
            <w:vAlign w:val="center"/>
          </w:tcPr>
          <w:p/>
        </w:tc>
        <w:tc>
          <w:tcPr>
            <w:tcW w:w="592" w:type="dxa"/>
            <w:vMerge w:val="continue"/>
            <w:tcBorders>
              <w:top w:val="single" w:color="auto" w:sz="4" w:space="0"/>
              <w:left w:val="single" w:color="auto" w:sz="4" w:space="0"/>
              <w:right w:val="single" w:color="auto" w:sz="4" w:space="0"/>
            </w:tcBorders>
            <w:vAlign w:val="center"/>
          </w:tcPr>
          <w:p/>
        </w:tc>
        <w:tc>
          <w:tcPr>
            <w:tcW w:w="1187" w:type="dxa"/>
            <w:vMerge w:val="continue"/>
            <w:tcBorders>
              <w:top w:val="single" w:color="auto" w:sz="4" w:space="0"/>
              <w:left w:val="single" w:color="auto" w:sz="4" w:space="0"/>
              <w:right w:val="single" w:color="auto" w:sz="4" w:space="0"/>
            </w:tcBorders>
            <w:vAlign w:val="center"/>
          </w:tcPr>
          <w:p/>
        </w:tc>
        <w:tc>
          <w:tcPr>
            <w:tcW w:w="1001" w:type="dxa"/>
            <w:vMerge w:val="continue"/>
            <w:tcBorders>
              <w:top w:val="single" w:color="auto" w:sz="4" w:space="0"/>
              <w:left w:val="single" w:color="auto" w:sz="4" w:space="0"/>
              <w:right w:val="single" w:color="auto" w:sz="4" w:space="0"/>
            </w:tcBorders>
            <w:vAlign w:val="center"/>
          </w:tcPr>
          <w:p/>
        </w:tc>
        <w:tc>
          <w:tcPr>
            <w:tcW w:w="1334" w:type="dxa"/>
            <w:vMerge w:val="continue"/>
            <w:tcBorders>
              <w:top w:val="single" w:color="auto" w:sz="4" w:space="0"/>
              <w:left w:val="single" w:color="auto" w:sz="4" w:space="0"/>
              <w:right w:val="single" w:color="auto" w:sz="4" w:space="0"/>
            </w:tcBorders>
            <w:vAlign w:val="center"/>
          </w:tcPr>
          <w:p/>
        </w:tc>
        <w:tc>
          <w:tcPr>
            <w:tcW w:w="1203"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kern w:val="0"/>
                <w:sz w:val="24"/>
              </w:rPr>
              <w:t>认证机构</w:t>
            </w:r>
          </w:p>
        </w:tc>
        <w:tc>
          <w:tcPr>
            <w:tcW w:w="1188"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kern w:val="0"/>
                <w:sz w:val="24"/>
              </w:rPr>
            </w:pPr>
            <w:r>
              <w:rPr>
                <w:rFonts w:hint="eastAsia" w:ascii="宋体" w:hAnsi="宋体" w:cs="宋体"/>
                <w:color w:val="000000"/>
                <w:kern w:val="0"/>
                <w:sz w:val="24"/>
              </w:rPr>
              <w:t>认证证书编号</w:t>
            </w:r>
          </w:p>
        </w:tc>
        <w:tc>
          <w:tcPr>
            <w:tcW w:w="1210"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kern w:val="0"/>
                <w:sz w:val="24"/>
              </w:rPr>
              <w:t>证书有效期</w:t>
            </w:r>
          </w:p>
        </w:tc>
        <w:tc>
          <w:tcPr>
            <w:tcW w:w="786"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613" w:type="dxa"/>
            <w:vMerge w:val="continue"/>
            <w:vAlign w:val="center"/>
          </w:tcPr>
          <w:p/>
        </w:tc>
        <w:tc>
          <w:tcPr>
            <w:tcW w:w="592"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1</w:t>
            </w:r>
          </w:p>
        </w:tc>
        <w:tc>
          <w:tcPr>
            <w:tcW w:w="1187"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001"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334"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03"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188"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10"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786" w:type="dxa"/>
            <w:vAlign w:val="center"/>
          </w:tcPr>
          <w:p>
            <w:pPr>
              <w:pStyle w:val="45"/>
              <w:tabs>
                <w:tab w:val="left" w:pos="1260"/>
              </w:tabs>
              <w:jc w:val="center"/>
              <w:rPr>
                <w:rFonts w:ascii="宋体" w:hAnsi="宋体" w:cs="宋体"/>
                <w:color w:val="000000"/>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613" w:type="dxa"/>
            <w:vMerge w:val="continue"/>
            <w:vAlign w:val="center"/>
          </w:tcPr>
          <w:p/>
        </w:tc>
        <w:tc>
          <w:tcPr>
            <w:tcW w:w="592"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2</w:t>
            </w:r>
          </w:p>
        </w:tc>
        <w:tc>
          <w:tcPr>
            <w:tcW w:w="1187"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001"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334"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03"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188"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10"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786" w:type="dxa"/>
            <w:vAlign w:val="center"/>
          </w:tcPr>
          <w:p>
            <w:pPr>
              <w:pStyle w:val="45"/>
              <w:tabs>
                <w:tab w:val="left" w:pos="1260"/>
              </w:tabs>
              <w:jc w:val="center"/>
              <w:rPr>
                <w:rFonts w:ascii="宋体" w:hAnsi="宋体" w:cs="宋体"/>
                <w:color w:val="000000"/>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613" w:type="dxa"/>
            <w:vMerge w:val="continue"/>
            <w:vAlign w:val="center"/>
          </w:tcPr>
          <w:p/>
        </w:tc>
        <w:tc>
          <w:tcPr>
            <w:tcW w:w="592"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r>
              <w:rPr>
                <w:rFonts w:hint="eastAsia" w:ascii="宋体" w:hAnsi="宋体" w:cs="宋体"/>
                <w:color w:val="000000"/>
                <w:sz w:val="24"/>
                <w:lang w:val="en-GB"/>
              </w:rPr>
              <w:t>……</w:t>
            </w:r>
          </w:p>
        </w:tc>
        <w:tc>
          <w:tcPr>
            <w:tcW w:w="1187"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001"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334"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03"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188"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1210" w:type="dxa"/>
            <w:tcBorders>
              <w:top w:val="single" w:color="auto" w:sz="4" w:space="0"/>
              <w:left w:val="single" w:color="auto" w:sz="4" w:space="0"/>
              <w:right w:val="single" w:color="auto" w:sz="4" w:space="0"/>
            </w:tcBorders>
            <w:vAlign w:val="center"/>
          </w:tcPr>
          <w:p>
            <w:pPr>
              <w:pStyle w:val="45"/>
              <w:tabs>
                <w:tab w:val="left" w:pos="1260"/>
              </w:tabs>
              <w:jc w:val="center"/>
              <w:rPr>
                <w:rFonts w:ascii="宋体" w:hAnsi="宋体" w:cs="宋体"/>
                <w:color w:val="000000"/>
                <w:sz w:val="24"/>
                <w:lang w:val="en-GB"/>
              </w:rPr>
            </w:pPr>
          </w:p>
        </w:tc>
        <w:tc>
          <w:tcPr>
            <w:tcW w:w="786" w:type="dxa"/>
            <w:vAlign w:val="center"/>
          </w:tcPr>
          <w:p>
            <w:pPr>
              <w:pStyle w:val="45"/>
              <w:tabs>
                <w:tab w:val="left" w:pos="1260"/>
              </w:tabs>
              <w:jc w:val="center"/>
              <w:rPr>
                <w:rFonts w:ascii="宋体" w:hAnsi="宋体" w:cs="宋体"/>
                <w:color w:val="000000"/>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613" w:type="dxa"/>
            <w:vMerge w:val="continue"/>
            <w:vAlign w:val="center"/>
          </w:tcPr>
          <w:p/>
        </w:tc>
        <w:tc>
          <w:tcPr>
            <w:tcW w:w="7715" w:type="dxa"/>
            <w:gridSpan w:val="7"/>
            <w:tcBorders>
              <w:top w:val="single" w:color="auto" w:sz="4" w:space="0"/>
              <w:left w:val="single" w:color="auto" w:sz="4" w:space="0"/>
              <w:right w:val="single" w:color="auto" w:sz="4" w:space="0"/>
            </w:tcBorders>
            <w:vAlign w:val="center"/>
          </w:tcPr>
          <w:p>
            <w:pPr>
              <w:pStyle w:val="45"/>
              <w:tabs>
                <w:tab w:val="left" w:pos="1260"/>
              </w:tabs>
              <w:jc w:val="left"/>
              <w:rPr>
                <w:rFonts w:ascii="宋体" w:hAnsi="宋体" w:cs="宋体"/>
                <w:color w:val="000000"/>
                <w:sz w:val="24"/>
                <w:lang w:val="en-GB"/>
              </w:rPr>
            </w:pPr>
            <w:r>
              <w:rPr>
                <w:rFonts w:hint="eastAsia" w:ascii="宋体" w:hAnsi="宋体" w:cs="宋体"/>
                <w:color w:val="000000"/>
                <w:sz w:val="24"/>
                <w:lang w:val="en-GB"/>
              </w:rPr>
              <w:t>环境标志产品金额合计</w:t>
            </w:r>
          </w:p>
        </w:tc>
        <w:tc>
          <w:tcPr>
            <w:tcW w:w="786" w:type="dxa"/>
            <w:vAlign w:val="center"/>
          </w:tcPr>
          <w:p>
            <w:pPr>
              <w:pStyle w:val="45"/>
              <w:tabs>
                <w:tab w:val="left" w:pos="1260"/>
              </w:tabs>
              <w:jc w:val="center"/>
              <w:rPr>
                <w:rFonts w:ascii="宋体" w:hAnsi="宋体" w:cs="宋体"/>
                <w:color w:val="000000"/>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613" w:type="dxa"/>
            <w:vMerge w:val="continue"/>
            <w:vAlign w:val="center"/>
          </w:tcPr>
          <w:p/>
        </w:tc>
        <w:tc>
          <w:tcPr>
            <w:tcW w:w="7715" w:type="dxa"/>
            <w:gridSpan w:val="7"/>
            <w:tcBorders>
              <w:top w:val="single" w:color="auto" w:sz="4" w:space="0"/>
              <w:left w:val="single" w:color="auto" w:sz="4" w:space="0"/>
              <w:right w:val="single" w:color="auto" w:sz="4" w:space="0"/>
            </w:tcBorders>
            <w:vAlign w:val="center"/>
          </w:tcPr>
          <w:p>
            <w:pPr>
              <w:pStyle w:val="45"/>
              <w:tabs>
                <w:tab w:val="left" w:pos="1260"/>
              </w:tabs>
              <w:jc w:val="left"/>
              <w:rPr>
                <w:rFonts w:ascii="宋体" w:hAnsi="宋体" w:cs="宋体"/>
                <w:color w:val="000000"/>
                <w:sz w:val="24"/>
                <w:lang w:val="en-GB"/>
              </w:rPr>
            </w:pPr>
            <w:r>
              <w:rPr>
                <w:rFonts w:hint="eastAsia" w:ascii="宋体" w:hAnsi="宋体" w:cs="宋体"/>
                <w:color w:val="000000"/>
                <w:sz w:val="24"/>
                <w:lang w:val="en-GB"/>
              </w:rPr>
              <w:t>环境标志产品证明材料见响应文件第（    ）页。</w:t>
            </w:r>
          </w:p>
        </w:tc>
        <w:tc>
          <w:tcPr>
            <w:tcW w:w="786" w:type="dxa"/>
            <w:vAlign w:val="center"/>
          </w:tcPr>
          <w:p>
            <w:pPr>
              <w:pStyle w:val="45"/>
              <w:tabs>
                <w:tab w:val="left" w:pos="1260"/>
              </w:tabs>
              <w:jc w:val="center"/>
              <w:rPr>
                <w:rFonts w:ascii="宋体" w:hAnsi="宋体" w:cs="宋体"/>
                <w:color w:val="000000"/>
                <w:sz w:val="24"/>
                <w:lang w:val="en-GB"/>
              </w:rPr>
            </w:pPr>
          </w:p>
        </w:tc>
      </w:tr>
    </w:tbl>
    <w:p>
      <w:pPr>
        <w:wordWrap w:val="0"/>
        <w:autoSpaceDE w:val="0"/>
        <w:autoSpaceDN w:val="0"/>
        <w:rPr>
          <w:rFonts w:ascii="宋体" w:hAnsi="宋体"/>
          <w:color w:val="000000"/>
          <w:szCs w:val="24"/>
        </w:rPr>
      </w:pPr>
    </w:p>
    <w:p>
      <w:pPr>
        <w:wordWrap w:val="0"/>
        <w:autoSpaceDE w:val="0"/>
        <w:autoSpaceDN w:val="0"/>
        <w:rPr>
          <w:rFonts w:ascii="宋体" w:hAnsi="宋体"/>
          <w:color w:val="000000"/>
          <w:szCs w:val="24"/>
        </w:rPr>
      </w:pPr>
      <w:r>
        <w:rPr>
          <w:rFonts w:hint="eastAsia" w:ascii="宋体" w:hAnsi="宋体"/>
          <w:color w:val="000000"/>
          <w:szCs w:val="24"/>
        </w:rPr>
        <w:t>供应商名称（加盖公章）：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供应商法定代表人或授权代表（签字或盖章）：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日期：</w:t>
      </w:r>
      <w:r>
        <w:rPr>
          <w:rFonts w:hint="eastAsia" w:ascii="宋体" w:hAnsi="宋体"/>
          <w:color w:val="000000"/>
          <w:szCs w:val="24"/>
          <w:u w:val="single"/>
        </w:rPr>
        <w:t xml:space="preserve">        </w:t>
      </w:r>
      <w:r>
        <w:rPr>
          <w:rFonts w:hint="eastAsia" w:ascii="宋体" w:hAnsi="宋体"/>
          <w:color w:val="000000"/>
          <w:szCs w:val="24"/>
        </w:rPr>
        <w:t>年</w:t>
      </w:r>
      <w:r>
        <w:rPr>
          <w:rFonts w:hint="eastAsia" w:ascii="宋体" w:hAnsi="宋体"/>
          <w:color w:val="000000"/>
          <w:szCs w:val="24"/>
          <w:u w:val="single"/>
        </w:rPr>
        <w:t xml:space="preserve">    </w:t>
      </w:r>
      <w:r>
        <w:rPr>
          <w:rFonts w:hint="eastAsia" w:ascii="宋体" w:hAnsi="宋体"/>
          <w:color w:val="000000"/>
          <w:szCs w:val="24"/>
        </w:rPr>
        <w:t>月</w:t>
      </w:r>
      <w:r>
        <w:rPr>
          <w:rFonts w:hint="eastAsia" w:ascii="宋体" w:hAnsi="宋体"/>
          <w:color w:val="000000"/>
          <w:szCs w:val="24"/>
          <w:u w:val="single"/>
        </w:rPr>
        <w:t xml:space="preserve">    </w:t>
      </w:r>
      <w:r>
        <w:rPr>
          <w:rFonts w:hint="eastAsia" w:ascii="宋体" w:hAnsi="宋体"/>
          <w:color w:val="000000"/>
          <w:szCs w:val="24"/>
        </w:rPr>
        <w:t>日</w:t>
      </w:r>
    </w:p>
    <w:p>
      <w:pPr>
        <w:spacing w:line="312" w:lineRule="auto"/>
        <w:ind w:left="720" w:hanging="720" w:hangingChars="300"/>
        <w:rPr>
          <w:rFonts w:ascii="宋体" w:hAnsi="宋体"/>
          <w:b/>
          <w:color w:val="000000"/>
          <w:szCs w:val="24"/>
        </w:rPr>
      </w:pPr>
    </w:p>
    <w:p>
      <w:pPr>
        <w:spacing w:line="312" w:lineRule="auto"/>
        <w:ind w:left="720" w:hanging="720" w:hangingChars="300"/>
        <w:rPr>
          <w:rFonts w:ascii="宋体" w:hAnsi="宋体"/>
          <w:b/>
          <w:color w:val="000000"/>
          <w:szCs w:val="24"/>
        </w:rPr>
      </w:pPr>
      <w:r>
        <w:rPr>
          <w:rFonts w:hint="eastAsia" w:ascii="宋体" w:hAnsi="宋体"/>
          <w:b/>
          <w:color w:val="000000"/>
          <w:szCs w:val="24"/>
        </w:rPr>
        <w:t>备注：</w:t>
      </w:r>
    </w:p>
    <w:p>
      <w:pPr>
        <w:ind w:firstLine="480" w:firstLineChars="200"/>
        <w:rPr>
          <w:rFonts w:ascii="宋体" w:hAnsi="宋体"/>
          <w:color w:val="000000"/>
          <w:szCs w:val="24"/>
        </w:rPr>
      </w:pPr>
      <w:r>
        <w:rPr>
          <w:rFonts w:hint="eastAsia" w:ascii="宋体" w:hAnsi="宋体"/>
          <w:color w:val="000000"/>
          <w:szCs w:val="24"/>
        </w:rPr>
        <w:t>1.如适用，请供应商正确填写本表，所填内容将作为评审的依据。其内容或数据应与对应的证明资料相符。</w:t>
      </w:r>
    </w:p>
    <w:p>
      <w:pPr>
        <w:ind w:firstLine="480" w:firstLineChars="200"/>
        <w:rPr>
          <w:rFonts w:ascii="宋体" w:hAnsi="宋体"/>
          <w:color w:val="000000"/>
          <w:szCs w:val="24"/>
        </w:rPr>
      </w:pPr>
      <w:r>
        <w:rPr>
          <w:rFonts w:hint="eastAsia" w:ascii="宋体" w:hAnsi="宋体"/>
          <w:color w:val="000000"/>
          <w:szCs w:val="24"/>
        </w:rPr>
        <w:t>2.本表的产品名称、品牌、型号和金额应与《分项报价明细表》（如有）对应的货物一致。</w:t>
      </w:r>
    </w:p>
    <w:p>
      <w:pPr>
        <w:ind w:firstLine="480" w:firstLineChars="200"/>
        <w:rPr>
          <w:rFonts w:ascii="宋体" w:hAnsi="宋体" w:cs="宋体"/>
          <w:color w:val="000000"/>
          <w:lang w:val="en-GB"/>
        </w:rPr>
      </w:pPr>
      <w:r>
        <w:rPr>
          <w:rFonts w:hint="eastAsia" w:ascii="宋体" w:hAnsi="宋体"/>
          <w:color w:val="000000"/>
          <w:szCs w:val="24"/>
        </w:rPr>
        <w:t>3.</w:t>
      </w:r>
      <w:r>
        <w:rPr>
          <w:rFonts w:hint="eastAsia" w:ascii="宋体" w:hAnsi="宋体" w:cs="宋体"/>
          <w:color w:val="000000"/>
          <w:lang w:val="en-GB"/>
        </w:rPr>
        <w:t>中小企业政策扶持</w:t>
      </w:r>
    </w:p>
    <w:p>
      <w:pPr>
        <w:ind w:firstLine="480" w:firstLineChars="200"/>
        <w:rPr>
          <w:rFonts w:ascii="宋体" w:hAnsi="宋体"/>
          <w:color w:val="000000"/>
          <w:szCs w:val="24"/>
        </w:rPr>
      </w:pPr>
      <w:r>
        <w:rPr>
          <w:rFonts w:hint="eastAsia" w:ascii="宋体" w:hAnsi="宋体"/>
          <w:color w:val="000000"/>
          <w:szCs w:val="24"/>
        </w:rPr>
        <w:t>（1）报价供应商</w:t>
      </w:r>
      <w:r>
        <w:rPr>
          <w:rFonts w:hint="eastAsia" w:ascii="宋体" w:hAnsi="宋体"/>
          <w:color w:val="000000"/>
        </w:rPr>
        <w:t>希望获得</w:t>
      </w:r>
      <w:r>
        <w:rPr>
          <w:rFonts w:hint="eastAsia" w:ascii="宋体" w:hAnsi="宋体"/>
          <w:color w:val="000000"/>
          <w:szCs w:val="24"/>
        </w:rPr>
        <w:t>《办法》规定政策扶持</w:t>
      </w:r>
      <w:r>
        <w:rPr>
          <w:rFonts w:hint="eastAsia" w:ascii="宋体" w:hAnsi="宋体" w:cs="宋体"/>
          <w:color w:val="000000"/>
          <w:szCs w:val="24"/>
        </w:rPr>
        <w:t>的，须提供相关中小企业声明函（</w:t>
      </w:r>
      <w:r>
        <w:rPr>
          <w:rFonts w:hint="eastAsia" w:ascii="宋体" w:hAnsi="宋体"/>
          <w:color w:val="000000"/>
        </w:rPr>
        <w:t>监狱企业、残疾人福利性单位视同为小型、微型企业）</w:t>
      </w:r>
      <w:r>
        <w:rPr>
          <w:rFonts w:hint="eastAsia" w:ascii="宋体" w:hAnsi="宋体" w:cs="宋体"/>
          <w:color w:val="000000"/>
          <w:szCs w:val="24"/>
        </w:rPr>
        <w:t>和证明材料（详见响应文件格式第7.条）。</w:t>
      </w:r>
    </w:p>
    <w:p>
      <w:pPr>
        <w:ind w:firstLine="480" w:firstLineChars="200"/>
        <w:rPr>
          <w:rFonts w:ascii="宋体" w:hAnsi="宋体"/>
          <w:color w:val="000000"/>
          <w:szCs w:val="24"/>
        </w:rPr>
      </w:pPr>
      <w:r>
        <w:rPr>
          <w:rFonts w:hint="eastAsia" w:ascii="宋体" w:hAnsi="宋体"/>
          <w:color w:val="000000"/>
          <w:szCs w:val="24"/>
        </w:rPr>
        <w:t>（2）非专门面向中小企业采购的项目（采购包），如报价供应商为大中型企业（其他自然人、法人或者其他组织）与小型、微型企业组成联合体或以合同分包形式参加政府采购活动，《联合协议》或《分包意向协议》中约定，小微企业的协议合同金额占到协议合同总金额30%以上，享受政府采购政策评审优惠，</w:t>
      </w:r>
      <w:r>
        <w:rPr>
          <w:rFonts w:hint="eastAsia" w:ascii="宋体" w:hAnsi="宋体"/>
          <w:color w:val="000000"/>
          <w:kern w:val="0"/>
          <w:szCs w:val="24"/>
        </w:rPr>
        <w:t>组成联合体或者接受分包合同的小微企业与联合体内其他企业、分包企业之间不得存在直接控股、管理关系，</w:t>
      </w:r>
      <w:r>
        <w:rPr>
          <w:rFonts w:hint="eastAsia" w:ascii="宋体" w:hAnsi="宋体"/>
          <w:color w:val="000000"/>
          <w:szCs w:val="24"/>
        </w:rPr>
        <w:t>否则不能进行价格扣除</w:t>
      </w:r>
      <w:r>
        <w:rPr>
          <w:rFonts w:hint="eastAsia" w:ascii="宋体" w:hAnsi="宋体"/>
          <w:b/>
          <w:color w:val="000000"/>
          <w:kern w:val="0"/>
          <w:szCs w:val="24"/>
        </w:rPr>
        <w:t>。</w:t>
      </w:r>
    </w:p>
    <w:p>
      <w:pPr>
        <w:ind w:firstLine="480" w:firstLineChars="200"/>
        <w:rPr>
          <w:rFonts w:ascii="宋体" w:hAnsi="宋体"/>
          <w:color w:val="000000"/>
          <w:szCs w:val="24"/>
        </w:rPr>
      </w:pPr>
      <w:r>
        <w:rPr>
          <w:rFonts w:hint="eastAsia" w:ascii="宋体" w:hAnsi="宋体"/>
          <w:color w:val="000000"/>
          <w:szCs w:val="24"/>
        </w:rPr>
        <w:t>4.节能、环境标志产品</w:t>
      </w:r>
    </w:p>
    <w:p>
      <w:pPr>
        <w:ind w:firstLine="480" w:firstLineChars="200"/>
        <w:rPr>
          <w:rFonts w:ascii="宋体" w:hAnsi="宋体"/>
          <w:szCs w:val="24"/>
        </w:rPr>
      </w:pPr>
      <w:r>
        <w:rPr>
          <w:rFonts w:hint="eastAsia" w:ascii="宋体" w:hAnsi="宋体"/>
          <w:szCs w:val="24"/>
        </w:rPr>
        <w:t>（1）供应商所投节能产品属于《节能产品政府采购品目清单》范围中政府优先采购产品类别的，须在上表中明确列明具体的产品名称及认证证书编号，并提供由国家确定的认证机构出具的处于有效期之内的节能产品认证证书复印件，同时按照采购需求或评审标准的规定提供其他证明材料（如要求）</w:t>
      </w:r>
      <w:r>
        <w:rPr>
          <w:rFonts w:hint="eastAsia" w:ascii="宋体" w:hAnsi="宋体"/>
          <w:b/>
          <w:szCs w:val="24"/>
        </w:rPr>
        <w:t>（注：属于《节能产品政府采购品目清单》范围中政府强制采购产品类别的，在价格评审中不作价格扣除，供应商无需将该产品填写在此表中）。</w:t>
      </w:r>
    </w:p>
    <w:p>
      <w:pPr>
        <w:ind w:firstLine="480" w:firstLineChars="200"/>
        <w:rPr>
          <w:rFonts w:ascii="宋体" w:hAnsi="宋体"/>
          <w:szCs w:val="24"/>
        </w:rPr>
      </w:pPr>
      <w:r>
        <w:rPr>
          <w:rFonts w:hint="eastAsia" w:ascii="宋体" w:hAnsi="宋体"/>
          <w:szCs w:val="24"/>
        </w:rPr>
        <w:t>（2）供应商所投环境标志产品属于《环境标志产品政府采购品目清单》范围的，须在上表中明确列明具体的产品名称及认证证书编号，并提供国家确定的认证机构出具的处于有效期之内的环境标志产品认证证书复印件，同时按照采购需求或评审标准的规定提供其他证明材料（如要求）。</w:t>
      </w:r>
    </w:p>
    <w:p>
      <w:pPr>
        <w:wordWrap w:val="0"/>
        <w:autoSpaceDE w:val="0"/>
        <w:autoSpaceDN w:val="0"/>
        <w:rPr>
          <w:rFonts w:ascii="宋体" w:hAnsi="宋体"/>
          <w:szCs w:val="24"/>
        </w:rPr>
      </w:pPr>
    </w:p>
    <w:p>
      <w:pPr>
        <w:spacing w:line="312" w:lineRule="auto"/>
        <w:ind w:left="240" w:hanging="240" w:hangingChars="100"/>
        <w:rPr>
          <w:rFonts w:ascii="宋体" w:hAnsi="宋体"/>
          <w:szCs w:val="24"/>
        </w:rPr>
      </w:pPr>
    </w:p>
    <w:p>
      <w:pPr>
        <w:wordWrap w:val="0"/>
        <w:autoSpaceDE w:val="0"/>
        <w:autoSpaceDN w:val="0"/>
        <w:rPr>
          <w:rFonts w:ascii="宋体" w:hAnsi="宋体"/>
          <w:szCs w:val="24"/>
        </w:rPr>
      </w:pPr>
    </w:p>
    <w:p>
      <w:pPr>
        <w:pStyle w:val="4"/>
        <w:numPr>
          <w:ilvl w:val="0"/>
          <w:numId w:val="59"/>
        </w:numPr>
        <w:tabs>
          <w:tab w:val="left" w:pos="945"/>
        </w:tabs>
        <w:spacing w:before="0" w:after="0" w:line="360" w:lineRule="auto"/>
        <w:ind w:left="840" w:hanging="840" w:hangingChars="350"/>
        <w:rPr>
          <w:rFonts w:ascii="宋体" w:hAnsi="宋体"/>
          <w:sz w:val="24"/>
          <w:szCs w:val="24"/>
        </w:rPr>
      </w:pPr>
      <w:bookmarkStart w:id="507" w:name="_Toc55398877"/>
      <w:bookmarkStart w:id="508" w:name="_Toc56180375"/>
      <w:bookmarkStart w:id="509" w:name="_Toc50460269"/>
      <w:r>
        <w:rPr>
          <w:rFonts w:ascii="宋体" w:hAnsi="宋体"/>
          <w:sz w:val="24"/>
          <w:szCs w:val="24"/>
        </w:rPr>
        <w:br w:type="page"/>
      </w:r>
      <w:r>
        <w:rPr>
          <w:rFonts w:hint="eastAsia" w:ascii="宋体" w:hAnsi="宋体"/>
          <w:sz w:val="24"/>
          <w:szCs w:val="24"/>
        </w:rPr>
        <w:t>报价信封</w:t>
      </w:r>
      <w:bookmarkEnd w:id="507"/>
      <w:bookmarkEnd w:id="508"/>
      <w:bookmarkEnd w:id="509"/>
    </w:p>
    <w:p>
      <w:pPr>
        <w:pStyle w:val="5"/>
        <w:numPr>
          <w:ilvl w:val="0"/>
          <w:numId w:val="69"/>
        </w:numPr>
        <w:tabs>
          <w:tab w:val="left" w:pos="945"/>
        </w:tabs>
        <w:spacing w:before="0" w:after="0" w:line="360" w:lineRule="auto"/>
        <w:ind w:left="0" w:firstLine="0"/>
        <w:rPr>
          <w:color w:val="000000"/>
          <w:sz w:val="28"/>
          <w:szCs w:val="28"/>
        </w:rPr>
      </w:pPr>
      <w:bookmarkStart w:id="510" w:name="_Toc55398878"/>
      <w:bookmarkStart w:id="511" w:name="_Toc50460270"/>
      <w:bookmarkStart w:id="512" w:name="_Toc56180376"/>
      <w:r>
        <w:rPr>
          <w:rFonts w:hint="eastAsia"/>
          <w:color w:val="000000"/>
          <w:sz w:val="28"/>
          <w:szCs w:val="28"/>
        </w:rPr>
        <w:t>报价信封</w:t>
      </w:r>
      <w:bookmarkEnd w:id="510"/>
      <w:bookmarkEnd w:id="511"/>
      <w:bookmarkEnd w:id="512"/>
    </w:p>
    <w:p>
      <w:pPr>
        <w:wordWrap w:val="0"/>
        <w:autoSpaceDE w:val="0"/>
        <w:autoSpaceDN w:val="0"/>
        <w:ind w:firstLine="480" w:firstLineChars="200"/>
        <w:rPr>
          <w:rFonts w:ascii="宋体" w:hAnsi="宋体"/>
          <w:color w:val="000000"/>
          <w:szCs w:val="24"/>
        </w:rPr>
      </w:pPr>
      <w:r>
        <w:rPr>
          <w:rFonts w:hint="eastAsia" w:ascii="宋体" w:hAnsi="宋体"/>
          <w:color w:val="000000"/>
          <w:szCs w:val="24"/>
        </w:rPr>
        <w:t>将下列内容单独密封装入“报价信封”。</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977"/>
        <w:gridCol w:w="1559"/>
        <w:gridCol w:w="4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ordWrap w:val="0"/>
              <w:autoSpaceDE w:val="0"/>
              <w:autoSpaceDN w:val="0"/>
              <w:jc w:val="center"/>
              <w:rPr>
                <w:rFonts w:ascii="宋体" w:hAnsi="宋体"/>
                <w:b/>
                <w:color w:val="000000"/>
                <w:szCs w:val="24"/>
              </w:rPr>
            </w:pPr>
            <w:r>
              <w:rPr>
                <w:rFonts w:hint="eastAsia" w:ascii="宋体" w:hAnsi="宋体"/>
                <w:b/>
                <w:color w:val="000000"/>
                <w:szCs w:val="24"/>
              </w:rPr>
              <w:t>序号</w:t>
            </w:r>
          </w:p>
        </w:tc>
        <w:tc>
          <w:tcPr>
            <w:tcW w:w="2977" w:type="dxa"/>
            <w:vAlign w:val="center"/>
          </w:tcPr>
          <w:p>
            <w:pPr>
              <w:wordWrap w:val="0"/>
              <w:autoSpaceDE w:val="0"/>
              <w:autoSpaceDN w:val="0"/>
              <w:jc w:val="center"/>
              <w:rPr>
                <w:rFonts w:ascii="宋体" w:hAnsi="宋体"/>
                <w:b/>
                <w:color w:val="000000"/>
                <w:szCs w:val="24"/>
              </w:rPr>
            </w:pPr>
            <w:r>
              <w:rPr>
                <w:rFonts w:hint="eastAsia" w:ascii="宋体" w:hAnsi="宋体"/>
                <w:b/>
                <w:color w:val="000000"/>
                <w:szCs w:val="24"/>
              </w:rPr>
              <w:t>内容名称</w:t>
            </w:r>
          </w:p>
        </w:tc>
        <w:tc>
          <w:tcPr>
            <w:tcW w:w="1559" w:type="dxa"/>
            <w:vAlign w:val="center"/>
          </w:tcPr>
          <w:p>
            <w:pPr>
              <w:wordWrap w:val="0"/>
              <w:autoSpaceDE w:val="0"/>
              <w:autoSpaceDN w:val="0"/>
              <w:jc w:val="center"/>
              <w:rPr>
                <w:rFonts w:ascii="宋体" w:hAnsi="宋体"/>
                <w:b/>
                <w:color w:val="000000"/>
                <w:szCs w:val="24"/>
              </w:rPr>
            </w:pPr>
            <w:r>
              <w:rPr>
                <w:rFonts w:hint="eastAsia" w:ascii="宋体" w:hAnsi="宋体"/>
                <w:b/>
                <w:color w:val="000000"/>
                <w:szCs w:val="24"/>
              </w:rPr>
              <w:t>资料形式</w:t>
            </w:r>
          </w:p>
        </w:tc>
        <w:tc>
          <w:tcPr>
            <w:tcW w:w="4047" w:type="dxa"/>
            <w:vAlign w:val="center"/>
          </w:tcPr>
          <w:p>
            <w:pPr>
              <w:wordWrap w:val="0"/>
              <w:autoSpaceDE w:val="0"/>
              <w:autoSpaceDN w:val="0"/>
              <w:jc w:val="center"/>
              <w:rPr>
                <w:rFonts w:ascii="宋体" w:hAnsi="宋体"/>
                <w:b/>
                <w:color w:val="000000"/>
                <w:szCs w:val="24"/>
              </w:rPr>
            </w:pPr>
            <w:r>
              <w:rPr>
                <w:rFonts w:hint="eastAsia" w:ascii="宋体" w:hAnsi="宋体"/>
                <w:b/>
                <w:color w:val="00000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numPr>
                <w:ilvl w:val="0"/>
                <w:numId w:val="70"/>
              </w:numPr>
              <w:wordWrap w:val="0"/>
              <w:autoSpaceDE w:val="0"/>
              <w:autoSpaceDN w:val="0"/>
              <w:jc w:val="center"/>
              <w:rPr>
                <w:rFonts w:ascii="宋体" w:hAnsi="宋体"/>
                <w:color w:val="000000"/>
                <w:szCs w:val="24"/>
              </w:rPr>
            </w:pPr>
          </w:p>
        </w:tc>
        <w:tc>
          <w:tcPr>
            <w:tcW w:w="297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《首次报价一览表》</w:t>
            </w:r>
          </w:p>
        </w:tc>
        <w:tc>
          <w:tcPr>
            <w:tcW w:w="155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1份，复印件</w:t>
            </w:r>
          </w:p>
        </w:tc>
        <w:tc>
          <w:tcPr>
            <w:tcW w:w="4047" w:type="dxa"/>
            <w:vAlign w:val="center"/>
          </w:tcPr>
          <w:p>
            <w:pPr>
              <w:wordWrap w:val="0"/>
              <w:autoSpaceDE w:val="0"/>
              <w:autoSpaceDN w:val="0"/>
              <w:rPr>
                <w:rFonts w:ascii="宋体" w:hAnsi="宋体"/>
                <w:color w:val="000000"/>
                <w:szCs w:val="24"/>
              </w:rPr>
            </w:pPr>
            <w:r>
              <w:rPr>
                <w:rFonts w:hint="eastAsia" w:ascii="宋体" w:hAnsi="宋体"/>
                <w:color w:val="000000"/>
                <w:szCs w:val="24"/>
              </w:rPr>
              <w:t>从响应文件正本中复印并盖章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numPr>
                <w:ilvl w:val="0"/>
                <w:numId w:val="70"/>
              </w:numPr>
              <w:wordWrap w:val="0"/>
              <w:autoSpaceDE w:val="0"/>
              <w:autoSpaceDN w:val="0"/>
              <w:jc w:val="center"/>
              <w:rPr>
                <w:rFonts w:ascii="宋体" w:hAnsi="宋体"/>
                <w:color w:val="000000"/>
                <w:szCs w:val="24"/>
              </w:rPr>
            </w:pPr>
          </w:p>
        </w:tc>
        <w:tc>
          <w:tcPr>
            <w:tcW w:w="297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《法定代表人证明书》</w:t>
            </w:r>
          </w:p>
        </w:tc>
        <w:tc>
          <w:tcPr>
            <w:tcW w:w="155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1份，原件</w:t>
            </w:r>
          </w:p>
        </w:tc>
        <w:tc>
          <w:tcPr>
            <w:tcW w:w="4047" w:type="dxa"/>
            <w:vAlign w:val="center"/>
          </w:tcPr>
          <w:p>
            <w:pPr>
              <w:wordWrap w:val="0"/>
              <w:autoSpaceDE w:val="0"/>
              <w:autoSpaceDN w:val="0"/>
              <w:rPr>
                <w:rFonts w:ascii="宋体" w:hAnsi="宋体"/>
                <w:color w:val="000000"/>
                <w:szCs w:val="24"/>
              </w:rPr>
            </w:pPr>
            <w:r>
              <w:rPr>
                <w:rFonts w:hint="eastAsia" w:ascii="宋体" w:hAnsi="宋体"/>
                <w:color w:val="000000"/>
                <w:szCs w:val="24"/>
              </w:rPr>
              <w:t>另外提供（响应文件正本同时放置）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pPr>
              <w:numPr>
                <w:ilvl w:val="0"/>
                <w:numId w:val="70"/>
              </w:numPr>
              <w:wordWrap w:val="0"/>
              <w:autoSpaceDE w:val="0"/>
              <w:autoSpaceDN w:val="0"/>
              <w:jc w:val="center"/>
              <w:rPr>
                <w:rFonts w:ascii="宋体" w:hAnsi="宋体"/>
                <w:color w:val="000000"/>
                <w:szCs w:val="24"/>
              </w:rPr>
            </w:pPr>
          </w:p>
        </w:tc>
        <w:tc>
          <w:tcPr>
            <w:tcW w:w="297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《法定代表人授权委托书》（如适用）</w:t>
            </w:r>
          </w:p>
        </w:tc>
        <w:tc>
          <w:tcPr>
            <w:tcW w:w="155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1份，原件</w:t>
            </w:r>
          </w:p>
        </w:tc>
        <w:tc>
          <w:tcPr>
            <w:tcW w:w="4047" w:type="dxa"/>
            <w:vAlign w:val="center"/>
          </w:tcPr>
          <w:p>
            <w:pPr>
              <w:wordWrap w:val="0"/>
              <w:autoSpaceDE w:val="0"/>
              <w:autoSpaceDN w:val="0"/>
              <w:rPr>
                <w:rFonts w:ascii="宋体" w:hAnsi="宋体"/>
                <w:color w:val="000000"/>
                <w:szCs w:val="24"/>
              </w:rPr>
            </w:pPr>
            <w:r>
              <w:rPr>
                <w:rFonts w:hint="eastAsia" w:ascii="宋体" w:hAnsi="宋体"/>
                <w:color w:val="000000"/>
                <w:szCs w:val="24"/>
              </w:rPr>
              <w:t>如不是法定代表人签署响应文件时另外提供（响应文件正本同时放置）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numPr>
                <w:ilvl w:val="0"/>
                <w:numId w:val="70"/>
              </w:numPr>
              <w:wordWrap w:val="0"/>
              <w:autoSpaceDE w:val="0"/>
              <w:autoSpaceDN w:val="0"/>
              <w:jc w:val="center"/>
              <w:rPr>
                <w:rFonts w:ascii="宋体" w:hAnsi="宋体"/>
                <w:color w:val="000000"/>
                <w:szCs w:val="24"/>
              </w:rPr>
            </w:pPr>
          </w:p>
        </w:tc>
        <w:tc>
          <w:tcPr>
            <w:tcW w:w="297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《联合协议》（如适用）</w:t>
            </w:r>
          </w:p>
        </w:tc>
        <w:tc>
          <w:tcPr>
            <w:tcW w:w="155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1份，复印件</w:t>
            </w:r>
          </w:p>
        </w:tc>
        <w:tc>
          <w:tcPr>
            <w:tcW w:w="4047" w:type="dxa"/>
            <w:vAlign w:val="center"/>
          </w:tcPr>
          <w:p>
            <w:pPr>
              <w:wordWrap w:val="0"/>
              <w:autoSpaceDE w:val="0"/>
              <w:autoSpaceDN w:val="0"/>
              <w:rPr>
                <w:rFonts w:ascii="宋体" w:hAnsi="宋体"/>
                <w:color w:val="000000"/>
                <w:szCs w:val="24"/>
              </w:rPr>
            </w:pPr>
            <w:r>
              <w:rPr>
                <w:rFonts w:hint="eastAsia" w:ascii="宋体" w:hAnsi="宋体"/>
                <w:color w:val="000000"/>
                <w:szCs w:val="24"/>
              </w:rPr>
              <w:t>从响应文件正本中复印并盖章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numPr>
                <w:ilvl w:val="0"/>
                <w:numId w:val="70"/>
              </w:numPr>
              <w:wordWrap w:val="0"/>
              <w:autoSpaceDE w:val="0"/>
              <w:autoSpaceDN w:val="0"/>
              <w:jc w:val="center"/>
              <w:rPr>
                <w:rFonts w:ascii="宋体" w:hAnsi="宋体"/>
                <w:color w:val="000000"/>
                <w:szCs w:val="24"/>
              </w:rPr>
            </w:pPr>
          </w:p>
        </w:tc>
        <w:tc>
          <w:tcPr>
            <w:tcW w:w="297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《分包意向协议》（如适用）</w:t>
            </w:r>
          </w:p>
        </w:tc>
        <w:tc>
          <w:tcPr>
            <w:tcW w:w="155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1份，复印件</w:t>
            </w:r>
          </w:p>
        </w:tc>
        <w:tc>
          <w:tcPr>
            <w:tcW w:w="4047" w:type="dxa"/>
            <w:vAlign w:val="center"/>
          </w:tcPr>
          <w:p>
            <w:pPr>
              <w:wordWrap w:val="0"/>
              <w:autoSpaceDE w:val="0"/>
              <w:autoSpaceDN w:val="0"/>
              <w:rPr>
                <w:rFonts w:ascii="宋体" w:hAnsi="宋体"/>
                <w:color w:val="000000"/>
                <w:szCs w:val="24"/>
              </w:rPr>
            </w:pPr>
            <w:r>
              <w:rPr>
                <w:rFonts w:hint="eastAsia" w:ascii="宋体" w:hAnsi="宋体"/>
                <w:color w:val="000000"/>
                <w:szCs w:val="24"/>
              </w:rPr>
              <w:t>从响应文件正本中复印并盖章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pPr>
              <w:numPr>
                <w:ilvl w:val="0"/>
                <w:numId w:val="70"/>
              </w:numPr>
              <w:wordWrap w:val="0"/>
              <w:autoSpaceDE w:val="0"/>
              <w:autoSpaceDN w:val="0"/>
              <w:jc w:val="center"/>
              <w:rPr>
                <w:rFonts w:ascii="宋体" w:hAnsi="宋体"/>
                <w:color w:val="000000"/>
                <w:szCs w:val="24"/>
              </w:rPr>
            </w:pPr>
          </w:p>
        </w:tc>
        <w:tc>
          <w:tcPr>
            <w:tcW w:w="297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《磋商保证金交纳凭证》</w:t>
            </w:r>
          </w:p>
        </w:tc>
        <w:tc>
          <w:tcPr>
            <w:tcW w:w="155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1份，复印件</w:t>
            </w:r>
          </w:p>
        </w:tc>
        <w:tc>
          <w:tcPr>
            <w:tcW w:w="4047" w:type="dxa"/>
            <w:vAlign w:val="center"/>
          </w:tcPr>
          <w:p>
            <w:pPr>
              <w:wordWrap w:val="0"/>
              <w:autoSpaceDE w:val="0"/>
              <w:autoSpaceDN w:val="0"/>
              <w:rPr>
                <w:rFonts w:ascii="宋体" w:hAnsi="宋体"/>
                <w:color w:val="000000"/>
                <w:szCs w:val="24"/>
              </w:rPr>
            </w:pPr>
            <w:r>
              <w:rPr>
                <w:rFonts w:hint="eastAsia" w:ascii="宋体" w:hAnsi="宋体"/>
                <w:color w:val="000000"/>
                <w:szCs w:val="24"/>
              </w:rPr>
              <w:t>原件放在响应文件正本中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Merge w:val="continue"/>
            <w:vAlign w:val="center"/>
          </w:tcPr>
          <w:p/>
        </w:tc>
        <w:tc>
          <w:tcPr>
            <w:tcW w:w="297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银行回单（银行转账方式）</w:t>
            </w:r>
          </w:p>
        </w:tc>
        <w:tc>
          <w:tcPr>
            <w:tcW w:w="155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1份，复印件</w:t>
            </w:r>
          </w:p>
        </w:tc>
        <w:tc>
          <w:tcPr>
            <w:tcW w:w="4047" w:type="dxa"/>
            <w:vAlign w:val="center"/>
          </w:tcPr>
          <w:p>
            <w:pPr>
              <w:wordWrap w:val="0"/>
              <w:autoSpaceDE w:val="0"/>
              <w:autoSpaceDN w:val="0"/>
              <w:rPr>
                <w:rFonts w:ascii="宋体" w:hAnsi="宋体"/>
                <w:color w:val="000000"/>
                <w:szCs w:val="24"/>
              </w:rPr>
            </w:pPr>
            <w:r>
              <w:rPr>
                <w:rFonts w:hint="eastAsia" w:ascii="宋体" w:hAnsi="宋体"/>
                <w:color w:val="000000"/>
                <w:szCs w:val="24"/>
              </w:rPr>
              <w:t>复印件放在响应文件正本中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tc>
        <w:tc>
          <w:tcPr>
            <w:tcW w:w="297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支票或汇票或本票或保函或担保函或保证保险函</w:t>
            </w:r>
          </w:p>
        </w:tc>
        <w:tc>
          <w:tcPr>
            <w:tcW w:w="155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1份，原件</w:t>
            </w:r>
          </w:p>
        </w:tc>
        <w:tc>
          <w:tcPr>
            <w:tcW w:w="4047" w:type="dxa"/>
            <w:vAlign w:val="center"/>
          </w:tcPr>
          <w:p>
            <w:pPr>
              <w:wordWrap w:val="0"/>
              <w:autoSpaceDE w:val="0"/>
              <w:autoSpaceDN w:val="0"/>
              <w:rPr>
                <w:rFonts w:ascii="宋体" w:hAnsi="宋体"/>
                <w:color w:val="000000"/>
                <w:szCs w:val="24"/>
              </w:rPr>
            </w:pPr>
            <w:r>
              <w:rPr>
                <w:rFonts w:hint="eastAsia" w:ascii="宋体" w:hAnsi="宋体"/>
                <w:color w:val="000000"/>
                <w:szCs w:val="24"/>
              </w:rPr>
              <w:t>复印件放在响应文件正本中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tc>
        <w:tc>
          <w:tcPr>
            <w:tcW w:w="297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《磋商保证金退还说明》</w:t>
            </w:r>
          </w:p>
        </w:tc>
        <w:tc>
          <w:tcPr>
            <w:tcW w:w="155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1份，原件</w:t>
            </w:r>
          </w:p>
        </w:tc>
        <w:tc>
          <w:tcPr>
            <w:tcW w:w="4047" w:type="dxa"/>
            <w:vAlign w:val="center"/>
          </w:tcPr>
          <w:p>
            <w:pPr>
              <w:wordWrap w:val="0"/>
              <w:autoSpaceDE w:val="0"/>
              <w:autoSpaceDN w:val="0"/>
              <w:rPr>
                <w:rFonts w:ascii="宋体" w:hAnsi="宋体"/>
                <w:color w:val="000000"/>
                <w:szCs w:val="24"/>
              </w:rPr>
            </w:pPr>
            <w:r>
              <w:rPr>
                <w:rFonts w:hint="eastAsia" w:ascii="宋体" w:hAnsi="宋体"/>
                <w:color w:val="000000"/>
                <w:szCs w:val="24"/>
              </w:rPr>
              <w:t>复印件放在响应文件正本中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numPr>
                <w:ilvl w:val="0"/>
                <w:numId w:val="70"/>
              </w:numPr>
              <w:wordWrap w:val="0"/>
              <w:autoSpaceDE w:val="0"/>
              <w:autoSpaceDN w:val="0"/>
              <w:jc w:val="center"/>
              <w:rPr>
                <w:rFonts w:ascii="宋体" w:hAnsi="宋体"/>
                <w:color w:val="000000"/>
                <w:szCs w:val="24"/>
              </w:rPr>
            </w:pPr>
          </w:p>
        </w:tc>
        <w:tc>
          <w:tcPr>
            <w:tcW w:w="2977"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ab/>
            </w:r>
            <w:r>
              <w:rPr>
                <w:rFonts w:hint="eastAsia" w:ascii="宋体" w:hAnsi="宋体"/>
                <w:color w:val="000000"/>
                <w:szCs w:val="24"/>
              </w:rPr>
              <w:t>开票资料说明函</w:t>
            </w:r>
          </w:p>
        </w:tc>
        <w:tc>
          <w:tcPr>
            <w:tcW w:w="1559" w:type="dxa"/>
            <w:tcBorders>
              <w:top w:val="single" w:color="auto" w:sz="4" w:space="0"/>
              <w:left w:val="single" w:color="auto" w:sz="4" w:space="0"/>
              <w:right w:val="single" w:color="auto" w:sz="4" w:space="0"/>
            </w:tcBorders>
            <w:vAlign w:val="center"/>
          </w:tcPr>
          <w:p>
            <w:pPr>
              <w:wordWrap w:val="0"/>
              <w:autoSpaceDE w:val="0"/>
              <w:autoSpaceDN w:val="0"/>
              <w:rPr>
                <w:rFonts w:ascii="宋体" w:hAnsi="宋体"/>
                <w:color w:val="000000"/>
                <w:szCs w:val="24"/>
              </w:rPr>
            </w:pPr>
            <w:r>
              <w:rPr>
                <w:rFonts w:hint="eastAsia" w:ascii="宋体" w:hAnsi="宋体"/>
                <w:color w:val="000000"/>
                <w:szCs w:val="24"/>
              </w:rPr>
              <w:t>1份，原件</w:t>
            </w:r>
          </w:p>
        </w:tc>
        <w:tc>
          <w:tcPr>
            <w:tcW w:w="4047" w:type="dxa"/>
            <w:vAlign w:val="center"/>
          </w:tcPr>
          <w:p>
            <w:pPr>
              <w:wordWrap w:val="0"/>
              <w:autoSpaceDE w:val="0"/>
              <w:autoSpaceDN w:val="0"/>
              <w:rPr>
                <w:rFonts w:ascii="宋体" w:hAnsi="宋体"/>
                <w:color w:val="000000"/>
                <w:szCs w:val="24"/>
              </w:rPr>
            </w:pPr>
            <w:r>
              <w:rPr>
                <w:rFonts w:hint="eastAsia" w:ascii="宋体" w:hAnsi="宋体"/>
                <w:color w:val="000000"/>
                <w:szCs w:val="24"/>
              </w:rPr>
              <w:t>复印件放在响应文件正本中</w:t>
            </w:r>
          </w:p>
        </w:tc>
      </w:tr>
    </w:tbl>
    <w:p>
      <w:pPr>
        <w:wordWrap w:val="0"/>
        <w:autoSpaceDE w:val="0"/>
        <w:autoSpaceDN w:val="0"/>
        <w:ind w:firstLine="960" w:firstLineChars="400"/>
        <w:rPr>
          <w:rFonts w:ascii="宋体" w:hAnsi="宋体"/>
          <w:color w:val="000000"/>
          <w:szCs w:val="24"/>
        </w:rPr>
      </w:pPr>
    </w:p>
    <w:p>
      <w:pPr>
        <w:wordWrap w:val="0"/>
        <w:autoSpaceDE w:val="0"/>
        <w:autoSpaceDN w:val="0"/>
        <w:ind w:left="480" w:hanging="480" w:hangingChars="200"/>
        <w:rPr>
          <w:rFonts w:ascii="宋体" w:hAnsi="宋体"/>
          <w:b/>
          <w:color w:val="000000"/>
          <w:szCs w:val="24"/>
        </w:rPr>
      </w:pPr>
      <w:r>
        <w:rPr>
          <w:rFonts w:hint="eastAsia" w:ascii="宋体" w:hAnsi="宋体"/>
          <w:b/>
          <w:color w:val="000000"/>
          <w:szCs w:val="24"/>
        </w:rPr>
        <w:t>备注：</w:t>
      </w:r>
    </w:p>
    <w:p>
      <w:pPr>
        <w:wordWrap w:val="0"/>
        <w:autoSpaceDE w:val="0"/>
        <w:autoSpaceDN w:val="0"/>
        <w:ind w:firstLine="480" w:firstLineChars="200"/>
        <w:rPr>
          <w:rFonts w:ascii="宋体" w:hAnsi="宋体"/>
          <w:color w:val="000000"/>
          <w:szCs w:val="24"/>
        </w:rPr>
      </w:pPr>
      <w:r>
        <w:rPr>
          <w:rFonts w:hint="eastAsia" w:ascii="宋体" w:hAnsi="宋体"/>
          <w:color w:val="000000"/>
          <w:szCs w:val="24"/>
        </w:rPr>
        <w:t>1.</w:t>
      </w:r>
      <w:r>
        <w:rPr>
          <w:rFonts w:hint="eastAsia" w:ascii="宋体" w:hAnsi="宋体"/>
          <w:szCs w:val="24"/>
        </w:rPr>
        <w:t>序号6的资料仅适合需要缴纳磋商保证金</w:t>
      </w:r>
      <w:r>
        <w:rPr>
          <w:rFonts w:hint="eastAsia" w:ascii="宋体" w:hAnsi="宋体"/>
          <w:color w:val="000000"/>
          <w:szCs w:val="24"/>
        </w:rPr>
        <w:t>的项目。</w:t>
      </w:r>
    </w:p>
    <w:p>
      <w:pPr>
        <w:wordWrap w:val="0"/>
        <w:autoSpaceDE w:val="0"/>
        <w:autoSpaceDN w:val="0"/>
        <w:ind w:firstLine="480" w:firstLineChars="200"/>
        <w:rPr>
          <w:rFonts w:ascii="宋体" w:hAnsi="宋体"/>
          <w:color w:val="000000"/>
          <w:szCs w:val="24"/>
        </w:rPr>
      </w:pPr>
      <w:r>
        <w:rPr>
          <w:rFonts w:hint="eastAsia" w:ascii="宋体" w:hAnsi="宋体"/>
          <w:color w:val="000000"/>
          <w:szCs w:val="24"/>
        </w:rPr>
        <w:t>2. 以联合体形式或合同分包形式响应的，按本文件格式提供的《联合协议》或《分包意向协议》可以作为法定代表人证明书及授权代表证明书，不需要提供上述第2、3项资料。</w:t>
      </w:r>
    </w:p>
    <w:p>
      <w:pPr>
        <w:wordWrap w:val="0"/>
        <w:autoSpaceDE w:val="0"/>
        <w:autoSpaceDN w:val="0"/>
        <w:ind w:firstLine="480" w:firstLineChars="200"/>
        <w:rPr>
          <w:rFonts w:ascii="宋体" w:hAnsi="宋体"/>
          <w:color w:val="000000"/>
          <w:szCs w:val="24"/>
        </w:rPr>
      </w:pPr>
      <w:r>
        <w:rPr>
          <w:rFonts w:hint="eastAsia" w:ascii="宋体" w:hAnsi="宋体"/>
          <w:color w:val="000000"/>
          <w:szCs w:val="24"/>
        </w:rPr>
        <w:t>3.如“报价信封”中的内容与响应文件正本不一致的，以响应文件正本为准。</w:t>
      </w:r>
    </w:p>
    <w:p>
      <w:pPr>
        <w:wordWrap w:val="0"/>
        <w:autoSpaceDE w:val="0"/>
        <w:autoSpaceDN w:val="0"/>
        <w:ind w:firstLine="480" w:firstLineChars="200"/>
        <w:rPr>
          <w:rFonts w:ascii="宋体" w:hAnsi="宋体"/>
          <w:color w:val="000000"/>
          <w:szCs w:val="24"/>
        </w:rPr>
      </w:pPr>
    </w:p>
    <w:p>
      <w:pPr>
        <w:wordWrap w:val="0"/>
        <w:autoSpaceDE w:val="0"/>
        <w:autoSpaceDN w:val="0"/>
        <w:ind w:firstLine="480" w:firstLineChars="200"/>
        <w:rPr>
          <w:rFonts w:ascii="宋体" w:hAnsi="宋体"/>
          <w:color w:val="000000"/>
          <w:szCs w:val="24"/>
        </w:rPr>
      </w:pPr>
    </w:p>
    <w:p>
      <w:pPr>
        <w:pStyle w:val="4"/>
        <w:numPr>
          <w:ilvl w:val="0"/>
          <w:numId w:val="59"/>
        </w:numPr>
        <w:tabs>
          <w:tab w:val="left" w:pos="945"/>
        </w:tabs>
        <w:spacing w:before="0" w:after="0" w:line="360" w:lineRule="auto"/>
        <w:ind w:left="980" w:hanging="980" w:hangingChars="350"/>
        <w:rPr>
          <w:rFonts w:ascii="宋体" w:hAnsi="宋体"/>
          <w:color w:val="000000"/>
          <w:sz w:val="28"/>
          <w:szCs w:val="28"/>
        </w:rPr>
      </w:pPr>
      <w:bookmarkStart w:id="513" w:name="_Toc22806246"/>
      <w:bookmarkStart w:id="514" w:name="_Toc56180377"/>
      <w:bookmarkStart w:id="515" w:name="_Toc55398879"/>
      <w:bookmarkStart w:id="516" w:name="_Toc50460271"/>
      <w:r>
        <w:rPr>
          <w:rFonts w:hint="eastAsia" w:ascii="宋体" w:hAnsi="宋体"/>
          <w:color w:val="000000"/>
          <w:sz w:val="28"/>
          <w:szCs w:val="28"/>
        </w:rPr>
        <w:br w:type="page"/>
      </w:r>
      <w:r>
        <w:rPr>
          <w:rFonts w:hint="eastAsia" w:ascii="宋体" w:hAnsi="宋体"/>
          <w:color w:val="000000"/>
          <w:sz w:val="28"/>
          <w:szCs w:val="28"/>
        </w:rPr>
        <w:t>附件（如有）</w:t>
      </w:r>
      <w:bookmarkEnd w:id="513"/>
      <w:bookmarkEnd w:id="514"/>
      <w:bookmarkEnd w:id="515"/>
      <w:bookmarkEnd w:id="516"/>
    </w:p>
    <w:p>
      <w:pPr>
        <w:pStyle w:val="5"/>
        <w:numPr>
          <w:ilvl w:val="0"/>
          <w:numId w:val="69"/>
        </w:numPr>
        <w:tabs>
          <w:tab w:val="left" w:pos="945"/>
        </w:tabs>
        <w:spacing w:before="0" w:after="0" w:line="360" w:lineRule="auto"/>
        <w:ind w:left="0" w:firstLine="0"/>
        <w:rPr>
          <w:color w:val="000000"/>
          <w:sz w:val="28"/>
          <w:szCs w:val="28"/>
        </w:rPr>
      </w:pPr>
      <w:bookmarkStart w:id="517" w:name="_Toc55398880"/>
      <w:bookmarkStart w:id="518" w:name="_Toc22806212"/>
      <w:bookmarkStart w:id="519" w:name="_Toc50460272"/>
      <w:bookmarkStart w:id="520" w:name="_Toc56180378"/>
      <w:bookmarkStart w:id="521" w:name="_Toc25769771"/>
      <w:r>
        <w:rPr>
          <w:rFonts w:hint="eastAsia"/>
          <w:color w:val="000000"/>
          <w:sz w:val="28"/>
          <w:szCs w:val="28"/>
        </w:rPr>
        <w:t>磋商保证金（如要求）</w:t>
      </w:r>
      <w:bookmarkEnd w:id="517"/>
      <w:bookmarkEnd w:id="518"/>
      <w:bookmarkEnd w:id="519"/>
      <w:bookmarkEnd w:id="520"/>
      <w:bookmarkEnd w:id="521"/>
    </w:p>
    <w:p>
      <w:pPr>
        <w:pStyle w:val="6"/>
        <w:numPr>
          <w:ilvl w:val="0"/>
          <w:numId w:val="0"/>
        </w:numPr>
        <w:tabs>
          <w:tab w:val="left" w:pos="945"/>
        </w:tabs>
        <w:rPr>
          <w:rFonts w:ascii="宋体" w:hAnsi="宋体"/>
          <w:color w:val="000000"/>
          <w:szCs w:val="24"/>
        </w:rPr>
      </w:pPr>
      <w:bookmarkStart w:id="522" w:name="_Toc22806213"/>
      <w:r>
        <w:rPr>
          <w:rFonts w:hint="eastAsia" w:ascii="宋体" w:hAnsi="宋体"/>
          <w:color w:val="000000"/>
          <w:szCs w:val="24"/>
        </w:rPr>
        <w:t>20.1.磋商保证金交纳凭证</w:t>
      </w:r>
      <w:bookmarkEnd w:id="522"/>
    </w:p>
    <w:p>
      <w:pPr>
        <w:rPr>
          <w:rFonts w:ascii="宋体" w:hAnsi="宋体"/>
          <w:b/>
          <w:color w:val="000000"/>
        </w:rPr>
      </w:pPr>
      <w:r>
        <w:rPr>
          <w:rFonts w:hint="eastAsia" w:ascii="宋体" w:hAnsi="宋体"/>
          <w:bCs/>
          <w:color w:val="000000"/>
        </w:rPr>
        <w:t>（采用响应保函或担保函或保证保险函提交的，格式（2）、（3）由供应商根据需要选用）</w:t>
      </w:r>
    </w:p>
    <w:p>
      <w:pPr>
        <w:rPr>
          <w:rFonts w:ascii="宋体" w:hAnsi="宋体"/>
          <w:b/>
          <w:color w:val="000000"/>
        </w:rPr>
      </w:pPr>
      <w:r>
        <w:rPr>
          <w:rFonts w:hint="eastAsia" w:ascii="宋体" w:hAnsi="宋体"/>
          <w:b/>
          <w:color w:val="000000"/>
        </w:rPr>
        <w:t>（1）以支票、汇票、本票、银行转账等非现金形式提交磋商保证金</w:t>
      </w:r>
    </w:p>
    <w:p>
      <w:pPr>
        <w:jc w:val="center"/>
        <w:rPr>
          <w:rFonts w:ascii="宋体" w:hAnsi="宋体"/>
          <w:b/>
          <w:color w:val="000000"/>
          <w:sz w:val="32"/>
          <w:szCs w:val="32"/>
        </w:rPr>
      </w:pPr>
      <w:r>
        <w:rPr>
          <w:rFonts w:hint="eastAsia" w:ascii="宋体" w:hAnsi="宋体"/>
          <w:b/>
          <w:color w:val="000000"/>
          <w:sz w:val="32"/>
          <w:szCs w:val="32"/>
        </w:rPr>
        <w:t>磋商保证金交纳凭证</w:t>
      </w:r>
    </w:p>
    <w:p>
      <w:pPr>
        <w:rPr>
          <w:rFonts w:ascii="宋体" w:hAnsi="宋体"/>
          <w:color w:val="000000"/>
        </w:rPr>
      </w:pPr>
    </w:p>
    <w:p>
      <w:pPr>
        <w:rPr>
          <w:rFonts w:ascii="宋体" w:hAnsi="宋体"/>
          <w:color w:val="000000"/>
        </w:rPr>
      </w:pPr>
      <w:r>
        <w:rPr>
          <w:rFonts w:ascii="宋体" w:hAnsi="宋体"/>
          <w:i/>
          <w:color w:val="000000"/>
          <w:u w:val="single"/>
        </w:rPr>
        <w:t>（采购人</w:t>
      </w:r>
      <w:r>
        <w:rPr>
          <w:rFonts w:hint="eastAsia" w:ascii="宋体" w:hAnsi="宋体"/>
          <w:i/>
          <w:color w:val="000000"/>
          <w:u w:val="single"/>
        </w:rPr>
        <w:t>）</w:t>
      </w:r>
      <w:r>
        <w:rPr>
          <w:rFonts w:ascii="宋体" w:hAnsi="宋体"/>
          <w:color w:val="000000"/>
          <w:u w:val="single"/>
        </w:rPr>
        <w:t>/</w:t>
      </w:r>
      <w:r>
        <w:rPr>
          <w:rFonts w:hint="eastAsia" w:ascii="宋体" w:hAnsi="宋体"/>
          <w:color w:val="000000"/>
          <w:u w:val="single"/>
        </w:rPr>
        <w:t>广东华伦招标有限公司</w:t>
      </w:r>
      <w:r>
        <w:rPr>
          <w:rFonts w:ascii="宋体" w:hAnsi="宋体"/>
          <w:color w:val="000000"/>
          <w:u w:val="single"/>
        </w:rPr>
        <w:t>：</w:t>
      </w:r>
    </w:p>
    <w:p>
      <w:pPr>
        <w:ind w:firstLine="480" w:firstLineChars="200"/>
        <w:rPr>
          <w:rFonts w:ascii="宋体" w:hAnsi="宋体"/>
          <w:color w:val="000000"/>
        </w:rPr>
      </w:pPr>
      <w:r>
        <w:rPr>
          <w:rFonts w:ascii="宋体" w:hAnsi="宋体"/>
          <w:i/>
          <w:color w:val="000000"/>
          <w:u w:val="single"/>
        </w:rPr>
        <w:t>（供应商</w:t>
      </w:r>
      <w:r>
        <w:rPr>
          <w:rFonts w:hint="eastAsia" w:ascii="宋体" w:hAnsi="宋体"/>
          <w:i/>
          <w:color w:val="000000"/>
          <w:u w:val="single"/>
        </w:rPr>
        <w:t>名称</w:t>
      </w:r>
      <w:r>
        <w:rPr>
          <w:rFonts w:ascii="宋体" w:hAnsi="宋体"/>
          <w:i/>
          <w:color w:val="000000"/>
          <w:u w:val="single"/>
        </w:rPr>
        <w:t>）</w:t>
      </w:r>
      <w:r>
        <w:rPr>
          <w:rFonts w:ascii="宋体" w:hAnsi="宋体"/>
          <w:color w:val="000000"/>
        </w:rPr>
        <w:t>参加贵方组织的、采购</w:t>
      </w:r>
      <w:r>
        <w:rPr>
          <w:rFonts w:hint="eastAsia" w:ascii="宋体" w:hAnsi="宋体"/>
          <w:color w:val="000000"/>
        </w:rPr>
        <w:t>文件</w:t>
      </w:r>
      <w:r>
        <w:rPr>
          <w:rFonts w:ascii="宋体" w:hAnsi="宋体"/>
          <w:color w:val="000000"/>
        </w:rPr>
        <w:t>编号为</w:t>
      </w:r>
      <w:r>
        <w:rPr>
          <w:rFonts w:hint="eastAsia" w:ascii="宋体" w:hAnsi="宋体"/>
          <w:color w:val="000000"/>
          <w:u w:val="single"/>
        </w:rPr>
        <w:t>0809-25401GJC302013801</w:t>
      </w:r>
      <w:r>
        <w:rPr>
          <w:rFonts w:ascii="宋体" w:hAnsi="宋体"/>
          <w:color w:val="000000"/>
        </w:rPr>
        <w:t>的</w:t>
      </w:r>
      <w:r>
        <w:rPr>
          <w:rFonts w:hint="eastAsia" w:ascii="宋体" w:hAnsi="宋体"/>
          <w:color w:val="000000"/>
          <w:u w:val="single"/>
        </w:rPr>
        <w:t>2026-2027年广州白云机场海关南1、2号楼物业管理服务</w:t>
      </w:r>
      <w:r>
        <w:rPr>
          <w:rFonts w:ascii="宋体" w:hAnsi="宋体"/>
          <w:color w:val="000000"/>
        </w:rPr>
        <w:t>项目采购活动。按磋商文件的规定，已通过</w:t>
      </w:r>
      <w:r>
        <w:rPr>
          <w:rFonts w:hint="eastAsia" w:ascii="宋体" w:hAnsi="宋体"/>
          <w:i/>
          <w:color w:val="000000"/>
          <w:u w:val="single"/>
        </w:rPr>
        <w:t>（请填写交纳形式：支票、汇票、本票、银行转账）</w:t>
      </w:r>
      <w:r>
        <w:rPr>
          <w:rFonts w:ascii="宋体" w:hAnsi="宋体"/>
          <w:color w:val="000000"/>
        </w:rPr>
        <w:t>形式交纳</w:t>
      </w:r>
      <w:r>
        <w:rPr>
          <w:rFonts w:hint="eastAsia" w:ascii="宋体" w:hAnsi="宋体"/>
          <w:color w:val="000000"/>
        </w:rPr>
        <w:t>项目/采购包</w:t>
      </w:r>
      <w:r>
        <w:rPr>
          <w:rFonts w:hint="eastAsia" w:ascii="宋体" w:hAnsi="宋体"/>
          <w:color w:val="000000"/>
          <w:u w:val="single"/>
        </w:rPr>
        <w:t xml:space="preserve">    </w:t>
      </w:r>
      <w:r>
        <w:rPr>
          <w:rFonts w:ascii="宋体" w:hAnsi="宋体"/>
          <w:color w:val="000000"/>
        </w:rPr>
        <w:t>磋商保证金人民币</w:t>
      </w:r>
      <w:r>
        <w:rPr>
          <w:rFonts w:ascii="宋体" w:hAnsi="宋体"/>
          <w:color w:val="000000"/>
          <w:u w:val="single"/>
        </w:rPr>
        <w:t xml:space="preserve">（大写）  </w:t>
      </w:r>
      <w:r>
        <w:rPr>
          <w:rFonts w:hint="eastAsia" w:ascii="宋体" w:hAnsi="宋体"/>
          <w:color w:val="000000"/>
          <w:u w:val="single"/>
        </w:rPr>
        <w:t xml:space="preserve">  </w:t>
      </w:r>
      <w:r>
        <w:rPr>
          <w:rFonts w:ascii="宋体" w:hAnsi="宋体"/>
          <w:color w:val="000000"/>
          <w:u w:val="single"/>
        </w:rPr>
        <w:t xml:space="preserve">  </w:t>
      </w:r>
      <w:r>
        <w:rPr>
          <w:rFonts w:ascii="宋体" w:hAnsi="宋体"/>
          <w:color w:val="000000"/>
        </w:rPr>
        <w:t>元</w:t>
      </w:r>
      <w:r>
        <w:rPr>
          <w:rFonts w:hint="eastAsia" w:ascii="宋体" w:hAnsi="宋体"/>
          <w:color w:val="000000"/>
        </w:rPr>
        <w:t>、（小写）</w:t>
      </w:r>
      <w:r>
        <w:rPr>
          <w:rFonts w:hint="eastAsia" w:ascii="宋体" w:hAnsi="宋体"/>
          <w:color w:val="000000"/>
          <w:u w:val="single"/>
        </w:rPr>
        <w:t xml:space="preserve">¥      </w:t>
      </w:r>
      <w:r>
        <w:rPr>
          <w:rFonts w:ascii="宋体" w:hAnsi="宋体"/>
          <w:color w:val="000000"/>
        </w:rPr>
        <w:t>。</w:t>
      </w:r>
    </w:p>
    <w:p>
      <w:pPr>
        <w:ind w:firstLine="480" w:firstLineChars="200"/>
        <w:rPr>
          <w:rFonts w:ascii="宋体" w:hAnsi="宋体"/>
          <w:color w:val="000000"/>
        </w:rPr>
      </w:pPr>
      <w:r>
        <w:rPr>
          <w:rFonts w:ascii="宋体" w:hAnsi="宋体"/>
          <w:color w:val="000000"/>
        </w:rPr>
        <w:t>供应商名称：</w:t>
      </w:r>
      <w:r>
        <w:rPr>
          <w:rFonts w:ascii="宋体" w:hAnsi="宋体"/>
          <w:color w:val="000000"/>
          <w:u w:val="single"/>
        </w:rPr>
        <w:t xml:space="preserve">                     </w:t>
      </w:r>
    </w:p>
    <w:p>
      <w:pPr>
        <w:ind w:firstLine="480" w:firstLineChars="200"/>
        <w:rPr>
          <w:rFonts w:ascii="宋体" w:hAnsi="宋体"/>
          <w:color w:val="000000"/>
        </w:rPr>
      </w:pPr>
      <w:r>
        <w:rPr>
          <w:rFonts w:ascii="宋体" w:hAnsi="宋体"/>
          <w:color w:val="000000"/>
        </w:rPr>
        <w:t>供应商开户银行：</w:t>
      </w:r>
      <w:r>
        <w:rPr>
          <w:rFonts w:ascii="宋体" w:hAnsi="宋体"/>
          <w:color w:val="000000"/>
          <w:u w:val="single"/>
        </w:rPr>
        <w:t xml:space="preserve">                 </w:t>
      </w:r>
    </w:p>
    <w:p>
      <w:pPr>
        <w:ind w:firstLine="480" w:firstLineChars="200"/>
        <w:rPr>
          <w:rFonts w:ascii="宋体" w:hAnsi="宋体"/>
          <w:color w:val="000000"/>
          <w:u w:val="single"/>
        </w:rPr>
      </w:pPr>
      <w:r>
        <w:rPr>
          <w:rFonts w:ascii="宋体" w:hAnsi="宋体"/>
          <w:color w:val="000000"/>
        </w:rPr>
        <w:t>供应商</w:t>
      </w:r>
      <w:r>
        <w:rPr>
          <w:rFonts w:hint="eastAsia" w:ascii="宋体" w:hAnsi="宋体"/>
          <w:color w:val="000000"/>
        </w:rPr>
        <w:t>银行账号</w:t>
      </w:r>
      <w:r>
        <w:rPr>
          <w:rFonts w:ascii="宋体" w:hAnsi="宋体"/>
          <w:color w:val="000000"/>
        </w:rPr>
        <w:t>：</w:t>
      </w:r>
      <w:r>
        <w:rPr>
          <w:rFonts w:ascii="宋体" w:hAnsi="宋体"/>
          <w:color w:val="000000"/>
          <w:u w:val="single"/>
        </w:rPr>
        <w:t xml:space="preserve">                 </w:t>
      </w:r>
    </w:p>
    <w:p>
      <w:pPr>
        <w:ind w:left="960" w:hanging="960" w:hangingChars="400"/>
        <w:rPr>
          <w:rFonts w:ascii="宋体" w:hAnsi="宋体"/>
          <w:color w:val="000000"/>
        </w:rPr>
      </w:pPr>
      <w:r>
        <w:rPr>
          <w:rFonts w:ascii="宋体" w:hAnsi="宋体"/>
          <w:color w:val="000000"/>
        </w:rPr>
        <w:t>说明：1.上述要素供银行转账及银行汇款方式填写，其他形式可不填。其他方式以现场递交为依据。</w:t>
      </w:r>
    </w:p>
    <w:p>
      <w:pPr>
        <w:ind w:left="960" w:leftChars="300" w:hanging="240" w:hangingChars="100"/>
        <w:rPr>
          <w:rFonts w:ascii="宋体" w:hAnsi="宋体"/>
          <w:color w:val="000000"/>
        </w:rPr>
      </w:pPr>
      <w:r>
        <w:rPr>
          <w:rFonts w:ascii="宋体" w:hAnsi="宋体"/>
          <w:color w:val="000000"/>
        </w:rPr>
        <w:t>2.上述要素的填写必须与银行转账或银行汇款凭证的要素一致，</w:t>
      </w:r>
      <w:r>
        <w:rPr>
          <w:rFonts w:hint="eastAsia" w:ascii="宋体" w:hAnsi="宋体"/>
          <w:color w:val="000000"/>
        </w:rPr>
        <w:t>收款机构</w:t>
      </w:r>
      <w:r>
        <w:rPr>
          <w:rFonts w:ascii="宋体" w:hAnsi="宋体"/>
          <w:color w:val="000000"/>
        </w:rPr>
        <w:t>依据此凭证信息退还磋商保证金。</w:t>
      </w:r>
    </w:p>
    <w:p>
      <w:pPr>
        <w:rPr>
          <w:rFonts w:ascii="宋体" w:hAnsi="宋体"/>
          <w:color w:val="000000"/>
        </w:rPr>
      </w:pPr>
    </w:p>
    <w:p>
      <w:pPr>
        <w:wordWrap w:val="0"/>
        <w:autoSpaceDE w:val="0"/>
        <w:autoSpaceDN w:val="0"/>
        <w:rPr>
          <w:rFonts w:ascii="宋体" w:hAnsi="宋体"/>
          <w:color w:val="000000"/>
          <w:szCs w:val="24"/>
        </w:rPr>
      </w:pPr>
      <w:r>
        <w:rPr>
          <w:rFonts w:hint="eastAsia" w:ascii="宋体" w:hAnsi="宋体"/>
          <w:color w:val="000000"/>
          <w:szCs w:val="24"/>
        </w:rPr>
        <w:t>供应商名称（加盖公章）：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供应商法定代表人或授权代表（签字或盖章）：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日期：</w:t>
      </w:r>
      <w:r>
        <w:rPr>
          <w:rFonts w:hint="eastAsia" w:ascii="宋体" w:hAnsi="宋体"/>
          <w:color w:val="000000"/>
          <w:szCs w:val="24"/>
          <w:u w:val="single"/>
        </w:rPr>
        <w:t xml:space="preserve">        </w:t>
      </w:r>
      <w:r>
        <w:rPr>
          <w:rFonts w:hint="eastAsia" w:ascii="宋体" w:hAnsi="宋体"/>
          <w:color w:val="000000"/>
          <w:szCs w:val="24"/>
        </w:rPr>
        <w:t>年</w:t>
      </w:r>
      <w:r>
        <w:rPr>
          <w:rFonts w:hint="eastAsia" w:ascii="宋体" w:hAnsi="宋体"/>
          <w:color w:val="000000"/>
          <w:szCs w:val="24"/>
          <w:u w:val="single"/>
        </w:rPr>
        <w:t xml:space="preserve">    </w:t>
      </w:r>
      <w:r>
        <w:rPr>
          <w:rFonts w:hint="eastAsia" w:ascii="宋体" w:hAnsi="宋体"/>
          <w:color w:val="000000"/>
          <w:szCs w:val="24"/>
        </w:rPr>
        <w:t>月</w:t>
      </w:r>
      <w:r>
        <w:rPr>
          <w:rFonts w:hint="eastAsia" w:ascii="宋体" w:hAnsi="宋体"/>
          <w:color w:val="000000"/>
          <w:szCs w:val="24"/>
          <w:u w:val="single"/>
        </w:rPr>
        <w:t xml:space="preserve">    </w:t>
      </w:r>
      <w:r>
        <w:rPr>
          <w:rFonts w:hint="eastAsia" w:ascii="宋体" w:hAnsi="宋体"/>
          <w:color w:val="000000"/>
          <w:szCs w:val="24"/>
        </w:rPr>
        <w:t>日</w:t>
      </w:r>
    </w:p>
    <w:p>
      <w:pPr>
        <w:spacing w:line="300" w:lineRule="auto"/>
        <w:rPr>
          <w:rFonts w:ascii="宋体" w:hAnsi="宋体"/>
          <w:color w:val="000000"/>
          <w:szCs w:val="24"/>
        </w:rPr>
      </w:pPr>
      <w:r>
        <w:rPr>
          <w:rFonts w:ascii="宋体" w:hAnsi="宋体"/>
          <w:color w:val="000000"/>
          <w:szCs w:val="24"/>
        </w:rPr>
        <w:t>附：</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9180" w:type="dxa"/>
            <w:vAlign w:val="center"/>
          </w:tcPr>
          <w:p>
            <w:pPr>
              <w:jc w:val="center"/>
              <w:rPr>
                <w:rFonts w:ascii="宋体" w:hAnsi="宋体"/>
                <w:color w:val="000000"/>
              </w:rPr>
            </w:pPr>
            <w:r>
              <w:rPr>
                <w:rFonts w:ascii="宋体" w:hAnsi="宋体"/>
                <w:color w:val="000000"/>
              </w:rPr>
              <w:t>粘贴交纳磋商保证金有效凭证的复印件（加盖公章）</w:t>
            </w:r>
          </w:p>
        </w:tc>
      </w:tr>
    </w:tbl>
    <w:p>
      <w:pPr>
        <w:rPr>
          <w:rFonts w:ascii="宋体" w:hAnsi="宋体"/>
          <w:b/>
          <w:color w:val="000000"/>
        </w:rPr>
      </w:pPr>
      <w:r>
        <w:rPr>
          <w:rFonts w:hint="eastAsia" w:ascii="宋体" w:hAnsi="宋体"/>
          <w:b/>
          <w:color w:val="000000"/>
        </w:rPr>
        <w:t>备注</w:t>
      </w:r>
      <w:r>
        <w:rPr>
          <w:rFonts w:ascii="宋体" w:hAnsi="宋体"/>
          <w:b/>
          <w:color w:val="000000"/>
        </w:rPr>
        <w:t>：</w:t>
      </w:r>
    </w:p>
    <w:p>
      <w:pPr>
        <w:ind w:firstLine="480" w:firstLineChars="200"/>
        <w:rPr>
          <w:rFonts w:ascii="宋体" w:hAnsi="宋体"/>
          <w:color w:val="000000"/>
        </w:rPr>
      </w:pPr>
      <w:r>
        <w:rPr>
          <w:rFonts w:ascii="宋体" w:hAnsi="宋体"/>
          <w:color w:val="000000"/>
        </w:rPr>
        <w:t>1.</w:t>
      </w:r>
      <w:r>
        <w:rPr>
          <w:rFonts w:hint="eastAsia" w:ascii="宋体" w:hAnsi="宋体"/>
          <w:color w:val="000000"/>
        </w:rPr>
        <w:t>供应商</w:t>
      </w:r>
      <w:r>
        <w:rPr>
          <w:rFonts w:ascii="宋体" w:hAnsi="宋体"/>
          <w:color w:val="000000"/>
        </w:rPr>
        <w:t>应当按</w:t>
      </w:r>
      <w:r>
        <w:rPr>
          <w:rFonts w:hint="eastAsia" w:ascii="宋体" w:hAnsi="宋体"/>
          <w:color w:val="000000"/>
        </w:rPr>
        <w:t>磋商</w:t>
      </w:r>
      <w:r>
        <w:rPr>
          <w:rFonts w:ascii="宋体" w:hAnsi="宋体"/>
          <w:color w:val="000000"/>
        </w:rPr>
        <w:t>文件要求交纳</w:t>
      </w:r>
      <w:r>
        <w:rPr>
          <w:rFonts w:hint="eastAsia" w:ascii="宋体" w:hAnsi="宋体"/>
          <w:color w:val="000000"/>
        </w:rPr>
        <w:t>磋商</w:t>
      </w:r>
      <w:r>
        <w:rPr>
          <w:rFonts w:ascii="宋体" w:hAnsi="宋体"/>
          <w:color w:val="000000"/>
        </w:rPr>
        <w:t>保证金。</w:t>
      </w:r>
    </w:p>
    <w:p>
      <w:pPr>
        <w:ind w:firstLine="480" w:firstLineChars="200"/>
        <w:rPr>
          <w:rFonts w:ascii="宋体" w:hAnsi="宋体"/>
          <w:color w:val="000000"/>
        </w:rPr>
      </w:pPr>
      <w:r>
        <w:rPr>
          <w:rFonts w:ascii="宋体" w:hAnsi="宋体"/>
          <w:color w:val="000000"/>
        </w:rPr>
        <w:t>2.</w:t>
      </w:r>
      <w:r>
        <w:rPr>
          <w:rFonts w:hint="eastAsia" w:ascii="宋体" w:hAnsi="宋体"/>
          <w:color w:val="000000"/>
        </w:rPr>
        <w:t>采用银行转账方式的，这里附上银行回单复印件。采用支票、汇票、本票方式，或采用响应</w:t>
      </w:r>
      <w:r>
        <w:rPr>
          <w:rFonts w:hint="eastAsia" w:ascii="宋体" w:hAnsi="宋体"/>
          <w:bCs/>
          <w:color w:val="000000"/>
        </w:rPr>
        <w:t>保函或担保函或保证保险函</w:t>
      </w:r>
      <w:r>
        <w:rPr>
          <w:rFonts w:hint="eastAsia" w:ascii="宋体" w:hAnsi="宋体"/>
          <w:color w:val="000000"/>
        </w:rPr>
        <w:t>方式的，凭证原件须放入《报价信封》中与响应文件一同递交，这里附上相应的票据复印件。</w:t>
      </w:r>
    </w:p>
    <w:p>
      <w:pPr>
        <w:rPr>
          <w:rFonts w:ascii="宋体" w:hAnsi="宋体"/>
          <w:b/>
          <w:color w:val="000000"/>
        </w:rPr>
      </w:pPr>
      <w:r>
        <w:rPr>
          <w:rFonts w:hint="eastAsia" w:ascii="宋体" w:hAnsi="宋体"/>
          <w:color w:val="000000"/>
          <w:szCs w:val="21"/>
        </w:rPr>
        <w:br w:type="page"/>
      </w:r>
      <w:r>
        <w:rPr>
          <w:rFonts w:hint="eastAsia" w:ascii="宋体" w:hAnsi="宋体"/>
          <w:b/>
          <w:color w:val="000000"/>
        </w:rPr>
        <w:t>（2）以金融机构出具的银行保函等非现金形式提交磋商保证金</w:t>
      </w:r>
    </w:p>
    <w:p>
      <w:pPr>
        <w:rPr>
          <w:rFonts w:ascii="宋体" w:hAnsi="宋体"/>
          <w:color w:val="000000"/>
          <w:szCs w:val="24"/>
        </w:rPr>
      </w:pPr>
    </w:p>
    <w:p>
      <w:pPr>
        <w:jc w:val="center"/>
        <w:rPr>
          <w:rFonts w:ascii="宋体" w:hAnsi="宋体"/>
          <w:b/>
          <w:color w:val="000000"/>
          <w:sz w:val="32"/>
          <w:szCs w:val="32"/>
        </w:rPr>
      </w:pPr>
      <w:r>
        <w:rPr>
          <w:rFonts w:hint="eastAsia" w:ascii="宋体" w:hAnsi="宋体"/>
          <w:b/>
          <w:color w:val="000000"/>
          <w:sz w:val="32"/>
          <w:szCs w:val="32"/>
        </w:rPr>
        <w:t>银行保函（可选）</w:t>
      </w:r>
    </w:p>
    <w:p>
      <w:pPr>
        <w:jc w:val="center"/>
        <w:rPr>
          <w:rFonts w:ascii="宋体" w:hAnsi="宋体"/>
          <w:color w:val="000000"/>
          <w:szCs w:val="24"/>
        </w:rPr>
      </w:pPr>
      <w:r>
        <w:rPr>
          <w:rFonts w:hint="eastAsia" w:ascii="宋体" w:hAnsi="宋体"/>
          <w:color w:val="000000"/>
          <w:szCs w:val="24"/>
        </w:rPr>
        <w:t>（可按照金融机构格式提供，但保证金额、主要权利和义务不得偏离）</w:t>
      </w:r>
    </w:p>
    <w:p>
      <w:pPr>
        <w:rPr>
          <w:rFonts w:ascii="宋体" w:hAnsi="宋体"/>
          <w:color w:val="000000"/>
          <w:szCs w:val="24"/>
        </w:rPr>
      </w:pPr>
    </w:p>
    <w:p>
      <w:pPr>
        <w:rPr>
          <w:rFonts w:ascii="宋体" w:hAnsi="宋体"/>
          <w:color w:val="000000"/>
          <w:szCs w:val="24"/>
        </w:rPr>
      </w:pPr>
      <w:r>
        <w:rPr>
          <w:rFonts w:hint="eastAsia" w:ascii="宋体" w:hAnsi="宋体"/>
          <w:color w:val="000000"/>
          <w:szCs w:val="24"/>
        </w:rPr>
        <w:t>开具日期：        年    月    日</w:t>
      </w:r>
    </w:p>
    <w:p>
      <w:pPr>
        <w:jc w:val="right"/>
        <w:rPr>
          <w:rFonts w:ascii="宋体" w:hAnsi="宋体"/>
          <w:color w:val="000000"/>
          <w:szCs w:val="24"/>
        </w:rPr>
      </w:pPr>
      <w:r>
        <w:rPr>
          <w:rFonts w:hint="eastAsia" w:ascii="宋体" w:hAnsi="宋体"/>
          <w:color w:val="000000"/>
          <w:szCs w:val="24"/>
        </w:rPr>
        <w:t>不可撤销保函第</w:t>
      </w:r>
      <w:r>
        <w:rPr>
          <w:rFonts w:hint="eastAsia" w:ascii="宋体" w:hAnsi="宋体"/>
          <w:color w:val="000000"/>
          <w:szCs w:val="24"/>
          <w:u w:val="single"/>
        </w:rPr>
        <w:t xml:space="preserve">            </w:t>
      </w:r>
      <w:r>
        <w:rPr>
          <w:rFonts w:hint="eastAsia" w:ascii="宋体" w:hAnsi="宋体"/>
          <w:color w:val="000000"/>
          <w:szCs w:val="24"/>
        </w:rPr>
        <w:t>号</w:t>
      </w:r>
    </w:p>
    <w:p>
      <w:pPr>
        <w:rPr>
          <w:rFonts w:ascii="宋体" w:hAnsi="宋体" w:cs="Tahoma"/>
          <w:b/>
          <w:color w:val="000000"/>
          <w:szCs w:val="24"/>
        </w:rPr>
      </w:pPr>
      <w:r>
        <w:rPr>
          <w:rFonts w:hint="eastAsia" w:ascii="宋体" w:hAnsi="宋体" w:cs="Tahoma"/>
          <w:color w:val="000000"/>
          <w:szCs w:val="24"/>
        </w:rPr>
        <w:t>致：（采购人）</w:t>
      </w:r>
    </w:p>
    <w:p>
      <w:pPr>
        <w:ind w:firstLine="480" w:firstLineChars="200"/>
        <w:rPr>
          <w:rFonts w:ascii="宋体" w:hAnsi="宋体"/>
          <w:color w:val="000000"/>
          <w:szCs w:val="24"/>
        </w:rPr>
      </w:pPr>
      <w:r>
        <w:rPr>
          <w:rFonts w:hint="eastAsia" w:ascii="宋体" w:hAnsi="宋体"/>
          <w:color w:val="000000"/>
          <w:szCs w:val="24"/>
        </w:rPr>
        <w:t>本保函作为</w:t>
      </w:r>
      <w:r>
        <w:rPr>
          <w:rFonts w:hint="eastAsia" w:ascii="宋体" w:hAnsi="宋体"/>
          <w:i/>
          <w:color w:val="000000"/>
          <w:szCs w:val="24"/>
          <w:u w:val="single"/>
        </w:rPr>
        <w:t>(供应商名称)</w:t>
      </w:r>
      <w:r>
        <w:rPr>
          <w:rFonts w:hint="eastAsia" w:ascii="宋体" w:hAnsi="宋体"/>
          <w:color w:val="000000"/>
          <w:szCs w:val="24"/>
        </w:rPr>
        <w:t>（以下简称供应商)响应采购文件编号</w:t>
      </w:r>
      <w:r>
        <w:rPr>
          <w:rFonts w:hint="eastAsia" w:ascii="宋体" w:hAnsi="宋体"/>
          <w:color w:val="000000"/>
          <w:szCs w:val="24"/>
          <w:u w:val="single"/>
        </w:rPr>
        <w:t>0809-25401GJC302013801</w:t>
      </w:r>
      <w:r>
        <w:rPr>
          <w:rFonts w:hint="eastAsia" w:ascii="宋体" w:hAnsi="宋体"/>
          <w:color w:val="000000"/>
          <w:szCs w:val="24"/>
        </w:rPr>
        <w:t>的</w:t>
      </w:r>
      <w:r>
        <w:rPr>
          <w:rFonts w:hint="eastAsia" w:ascii="宋体" w:hAnsi="宋体"/>
          <w:color w:val="000000"/>
          <w:szCs w:val="24"/>
          <w:u w:val="single"/>
        </w:rPr>
        <w:t>2026-2027年广州白云机场海关南1、2号楼物业管理服务</w:t>
      </w:r>
      <w:r>
        <w:rPr>
          <w:rFonts w:hint="eastAsia" w:ascii="宋体" w:hAnsi="宋体"/>
          <w:color w:val="000000"/>
          <w:szCs w:val="24"/>
        </w:rPr>
        <w:t>采购项目的磋商邀请提供的磋商保证金，</w:t>
      </w:r>
      <w:r>
        <w:rPr>
          <w:rFonts w:hint="eastAsia" w:ascii="宋体" w:hAnsi="宋体"/>
          <w:color w:val="000000"/>
          <w:szCs w:val="24"/>
          <w:u w:val="single"/>
        </w:rPr>
        <w:t>（</w:t>
      </w:r>
      <w:r>
        <w:rPr>
          <w:rFonts w:hint="eastAsia" w:ascii="宋体" w:hAnsi="宋体"/>
          <w:i/>
          <w:color w:val="000000"/>
          <w:szCs w:val="24"/>
          <w:u w:val="single"/>
        </w:rPr>
        <w:t>开具银行名称</w:t>
      </w:r>
      <w:r>
        <w:rPr>
          <w:rFonts w:hint="eastAsia" w:ascii="宋体" w:hAnsi="宋体"/>
          <w:color w:val="000000"/>
          <w:szCs w:val="24"/>
          <w:u w:val="single"/>
        </w:rPr>
        <w:t>）</w:t>
      </w:r>
      <w:r>
        <w:rPr>
          <w:rFonts w:hint="eastAsia" w:ascii="宋体" w:hAnsi="宋体"/>
          <w:color w:val="000000"/>
          <w:szCs w:val="24"/>
        </w:rPr>
        <w:t>在此无条件及不可撤销地具结保证并承诺，本行或其后继者或受让人一旦收到贵方提出的下述任何一种情况的书面通知（贵方不需要说明理由，不需要提供证明），立即无条件地向贵方支付人民币（大写）</w:t>
      </w:r>
      <w:r>
        <w:rPr>
          <w:rFonts w:hint="eastAsia" w:ascii="宋体" w:hAnsi="宋体"/>
          <w:i/>
          <w:color w:val="000000"/>
          <w:szCs w:val="24"/>
          <w:u w:val="single"/>
        </w:rPr>
        <w:t>（磋商保证金金额）</w:t>
      </w:r>
      <w:r>
        <w:rPr>
          <w:rFonts w:hint="eastAsia" w:ascii="宋体" w:hAnsi="宋体"/>
          <w:color w:val="000000"/>
          <w:szCs w:val="24"/>
        </w:rPr>
        <w:t>元整，（小写）¥</w:t>
      </w:r>
      <w:r>
        <w:rPr>
          <w:rFonts w:hint="eastAsia" w:ascii="宋体" w:hAnsi="宋体"/>
          <w:i/>
          <w:color w:val="000000"/>
          <w:szCs w:val="24"/>
          <w:u w:val="single"/>
        </w:rPr>
        <w:t>（磋商保证金金额）</w:t>
      </w:r>
      <w:r>
        <w:rPr>
          <w:rFonts w:hint="eastAsia" w:ascii="宋体" w:hAnsi="宋体"/>
          <w:color w:val="000000"/>
          <w:szCs w:val="24"/>
        </w:rPr>
        <w:t>：</w:t>
      </w:r>
    </w:p>
    <w:p>
      <w:pPr>
        <w:ind w:firstLine="480" w:firstLineChars="200"/>
        <w:rPr>
          <w:rFonts w:ascii="宋体" w:hAnsi="宋体"/>
          <w:color w:val="000000"/>
          <w:szCs w:val="24"/>
        </w:rPr>
      </w:pPr>
      <w:r>
        <w:rPr>
          <w:rFonts w:hint="eastAsia" w:ascii="宋体" w:hAnsi="宋体"/>
          <w:color w:val="000000"/>
          <w:szCs w:val="24"/>
        </w:rPr>
        <w:t>1.从提交首次响应文件截止之日起到磋商有效期满前，响应供应商撤回响应；</w:t>
      </w:r>
    </w:p>
    <w:p>
      <w:pPr>
        <w:ind w:firstLine="480" w:firstLineChars="200"/>
        <w:rPr>
          <w:rFonts w:ascii="宋体" w:hAnsi="宋体"/>
          <w:color w:val="000000"/>
          <w:szCs w:val="24"/>
        </w:rPr>
      </w:pPr>
      <w:r>
        <w:rPr>
          <w:rFonts w:hint="eastAsia" w:ascii="宋体" w:hAnsi="宋体"/>
          <w:color w:val="000000"/>
          <w:szCs w:val="24"/>
        </w:rPr>
        <w:t>2.供应商未能按成交通知书的要求与采购人签订合同；</w:t>
      </w:r>
    </w:p>
    <w:p>
      <w:pPr>
        <w:ind w:firstLine="480" w:firstLineChars="200"/>
        <w:rPr>
          <w:rFonts w:ascii="宋体" w:hAnsi="宋体"/>
          <w:color w:val="000000"/>
          <w:szCs w:val="24"/>
        </w:rPr>
      </w:pPr>
      <w:r>
        <w:rPr>
          <w:rFonts w:hint="eastAsia" w:ascii="宋体" w:hAnsi="宋体"/>
          <w:color w:val="000000"/>
          <w:szCs w:val="24"/>
        </w:rPr>
        <w:t>3.成交供应商未能按《供应商须知》的要求在规定期限内提交履约保证金。</w:t>
      </w:r>
    </w:p>
    <w:p>
      <w:pPr>
        <w:ind w:firstLine="480" w:firstLineChars="200"/>
        <w:rPr>
          <w:rFonts w:ascii="宋体" w:hAnsi="宋体"/>
          <w:color w:val="000000"/>
          <w:szCs w:val="24"/>
        </w:rPr>
      </w:pPr>
      <w:r>
        <w:rPr>
          <w:rFonts w:hint="eastAsia" w:ascii="宋体" w:hAnsi="宋体"/>
          <w:color w:val="000000"/>
          <w:szCs w:val="24"/>
        </w:rPr>
        <w:t>4.磋商文件中规定的其他情形。</w:t>
      </w:r>
    </w:p>
    <w:p>
      <w:pPr>
        <w:ind w:firstLine="480" w:firstLineChars="200"/>
        <w:rPr>
          <w:rFonts w:ascii="宋体" w:hAnsi="宋体" w:cs="Tahoma"/>
          <w:color w:val="000000"/>
          <w:szCs w:val="24"/>
        </w:rPr>
      </w:pPr>
      <w:r>
        <w:rPr>
          <w:rFonts w:hint="eastAsia" w:ascii="宋体" w:hAnsi="宋体"/>
          <w:color w:val="000000"/>
          <w:szCs w:val="24"/>
        </w:rPr>
        <w:t>本保函自出具之日起至该磋商有效期满后30天内持续有效，除非贵方提前终止或解除本保函。如果贵方和供应商同意需延长本保函有效期，只需在到期日前书面通知本行，本保函在任何延长的有效期内保持有效。本保函适用于中华人民共和国法律并按其进行解释。</w:t>
      </w:r>
    </w:p>
    <w:p>
      <w:pPr>
        <w:rPr>
          <w:rFonts w:ascii="宋体" w:hAnsi="宋体" w:cs="Tahoma"/>
          <w:color w:val="000000"/>
          <w:szCs w:val="24"/>
        </w:rPr>
      </w:pPr>
    </w:p>
    <w:p>
      <w:pPr>
        <w:rPr>
          <w:rFonts w:ascii="宋体" w:hAnsi="宋体"/>
          <w:color w:val="000000"/>
          <w:szCs w:val="24"/>
          <w:u w:val="single"/>
        </w:rPr>
      </w:pPr>
      <w:r>
        <w:rPr>
          <w:rFonts w:hint="eastAsia" w:ascii="宋体" w:hAnsi="宋体"/>
          <w:color w:val="000000"/>
          <w:szCs w:val="24"/>
        </w:rPr>
        <w:t>银行名称（打印）(公章)：</w:t>
      </w:r>
      <w:r>
        <w:rPr>
          <w:rFonts w:hint="eastAsia" w:ascii="宋体" w:hAnsi="宋体"/>
          <w:color w:val="000000"/>
          <w:szCs w:val="24"/>
          <w:u w:val="single"/>
        </w:rPr>
        <w:t xml:space="preserve">                                                  </w:t>
      </w:r>
    </w:p>
    <w:p>
      <w:pPr>
        <w:rPr>
          <w:rFonts w:ascii="宋体" w:hAnsi="宋体"/>
          <w:color w:val="000000"/>
          <w:szCs w:val="24"/>
          <w:u w:val="single"/>
        </w:rPr>
      </w:pPr>
      <w:r>
        <w:rPr>
          <w:rFonts w:hint="eastAsia" w:ascii="宋体" w:hAnsi="宋体"/>
          <w:color w:val="000000"/>
          <w:szCs w:val="24"/>
        </w:rPr>
        <w:t>银行地址：</w:t>
      </w:r>
      <w:r>
        <w:rPr>
          <w:rFonts w:hint="eastAsia" w:ascii="宋体" w:hAnsi="宋体"/>
          <w:color w:val="000000"/>
          <w:szCs w:val="24"/>
          <w:u w:val="single"/>
        </w:rPr>
        <w:t xml:space="preserve">                                          </w:t>
      </w:r>
      <w:r>
        <w:rPr>
          <w:rFonts w:hint="eastAsia" w:ascii="宋体" w:hAnsi="宋体"/>
          <w:color w:val="000000"/>
          <w:szCs w:val="24"/>
        </w:rPr>
        <w:t xml:space="preserve">  邮政编码：</w:t>
      </w:r>
      <w:r>
        <w:rPr>
          <w:rFonts w:hint="eastAsia" w:ascii="宋体" w:hAnsi="宋体"/>
          <w:color w:val="000000"/>
          <w:szCs w:val="24"/>
          <w:u w:val="single"/>
        </w:rPr>
        <w:t xml:space="preserve">          </w:t>
      </w:r>
    </w:p>
    <w:p>
      <w:pPr>
        <w:rPr>
          <w:rFonts w:ascii="宋体" w:hAnsi="宋体"/>
          <w:color w:val="000000"/>
          <w:szCs w:val="24"/>
        </w:rPr>
      </w:pPr>
      <w:r>
        <w:rPr>
          <w:rFonts w:hint="eastAsia" w:ascii="宋体" w:hAnsi="宋体"/>
          <w:color w:val="000000"/>
          <w:szCs w:val="24"/>
        </w:rPr>
        <w:t>联系电话：</w:t>
      </w:r>
      <w:r>
        <w:rPr>
          <w:rFonts w:hint="eastAsia" w:ascii="宋体" w:hAnsi="宋体"/>
          <w:color w:val="000000"/>
          <w:szCs w:val="24"/>
          <w:u w:val="single"/>
        </w:rPr>
        <w:t xml:space="preserve">                                          </w:t>
      </w:r>
      <w:r>
        <w:rPr>
          <w:rFonts w:hint="eastAsia" w:ascii="宋体" w:hAnsi="宋体"/>
          <w:color w:val="000000"/>
          <w:szCs w:val="24"/>
        </w:rPr>
        <w:t xml:space="preserve">  传真号码：</w:t>
      </w:r>
      <w:r>
        <w:rPr>
          <w:rFonts w:hint="eastAsia" w:ascii="宋体" w:hAnsi="宋体"/>
          <w:color w:val="000000"/>
          <w:szCs w:val="24"/>
          <w:u w:val="single"/>
        </w:rPr>
        <w:t xml:space="preserve">          </w:t>
      </w:r>
    </w:p>
    <w:p>
      <w:pPr>
        <w:rPr>
          <w:rFonts w:ascii="宋体" w:hAnsi="宋体"/>
          <w:color w:val="000000"/>
          <w:szCs w:val="24"/>
        </w:rPr>
      </w:pPr>
      <w:r>
        <w:rPr>
          <w:rFonts w:hint="eastAsia" w:ascii="宋体" w:hAnsi="宋体"/>
          <w:color w:val="000000"/>
          <w:szCs w:val="24"/>
        </w:rPr>
        <w:t>法定代表人或其授权的代理人亲笔签字：</w:t>
      </w:r>
      <w:r>
        <w:rPr>
          <w:rFonts w:hint="eastAsia" w:ascii="宋体" w:hAnsi="宋体"/>
          <w:color w:val="000000"/>
          <w:szCs w:val="24"/>
          <w:u w:val="single"/>
        </w:rPr>
        <w:t xml:space="preserve">                                      </w:t>
      </w:r>
    </w:p>
    <w:p>
      <w:pPr>
        <w:rPr>
          <w:rFonts w:ascii="宋体" w:hAnsi="宋体"/>
          <w:color w:val="000000"/>
          <w:szCs w:val="24"/>
        </w:rPr>
      </w:pPr>
      <w:r>
        <w:rPr>
          <w:rFonts w:hint="eastAsia" w:ascii="宋体" w:hAnsi="宋体"/>
          <w:color w:val="000000"/>
          <w:szCs w:val="24"/>
        </w:rPr>
        <w:t>法定代表人或其授权的代理人姓名和职务（打印）：</w:t>
      </w:r>
      <w:r>
        <w:rPr>
          <w:rFonts w:hint="eastAsia" w:ascii="宋体" w:hAnsi="宋体"/>
          <w:i/>
          <w:color w:val="000000"/>
          <w:szCs w:val="24"/>
          <w:u w:val="single"/>
        </w:rPr>
        <w:t>（姓名）</w:t>
      </w:r>
      <w:r>
        <w:rPr>
          <w:rFonts w:hint="eastAsia" w:ascii="宋体" w:hAnsi="宋体"/>
          <w:color w:val="000000"/>
          <w:szCs w:val="24"/>
        </w:rPr>
        <w:t xml:space="preserve">  职    务：</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日期：</w:t>
      </w:r>
      <w:r>
        <w:rPr>
          <w:rFonts w:hint="eastAsia" w:ascii="宋体" w:hAnsi="宋体"/>
          <w:color w:val="000000"/>
          <w:szCs w:val="24"/>
          <w:u w:val="single"/>
        </w:rPr>
        <w:t xml:space="preserve">        </w:t>
      </w:r>
      <w:r>
        <w:rPr>
          <w:rFonts w:hint="eastAsia" w:ascii="宋体" w:hAnsi="宋体"/>
          <w:color w:val="000000"/>
          <w:szCs w:val="24"/>
        </w:rPr>
        <w:t>年</w:t>
      </w:r>
      <w:r>
        <w:rPr>
          <w:rFonts w:hint="eastAsia" w:ascii="宋体" w:hAnsi="宋体"/>
          <w:color w:val="000000"/>
          <w:szCs w:val="24"/>
          <w:u w:val="single"/>
        </w:rPr>
        <w:t xml:space="preserve">    </w:t>
      </w:r>
      <w:r>
        <w:rPr>
          <w:rFonts w:hint="eastAsia" w:ascii="宋体" w:hAnsi="宋体"/>
          <w:color w:val="000000"/>
          <w:szCs w:val="24"/>
        </w:rPr>
        <w:t>月</w:t>
      </w:r>
      <w:r>
        <w:rPr>
          <w:rFonts w:hint="eastAsia" w:ascii="宋体" w:hAnsi="宋体"/>
          <w:color w:val="000000"/>
          <w:szCs w:val="24"/>
          <w:u w:val="single"/>
        </w:rPr>
        <w:t xml:space="preserve">    </w:t>
      </w:r>
      <w:r>
        <w:rPr>
          <w:rFonts w:hint="eastAsia" w:ascii="宋体" w:hAnsi="宋体"/>
          <w:color w:val="000000"/>
          <w:szCs w:val="24"/>
        </w:rPr>
        <w:t>日</w:t>
      </w:r>
    </w:p>
    <w:p>
      <w:pPr>
        <w:rPr>
          <w:rFonts w:ascii="宋体" w:hAnsi="宋体"/>
          <w:b/>
          <w:color w:val="000000"/>
        </w:rPr>
      </w:pPr>
      <w:r>
        <w:rPr>
          <w:rFonts w:ascii="宋体" w:hAnsi="宋体" w:cs="Tahoma"/>
          <w:b/>
          <w:bCs/>
          <w:color w:val="000000"/>
          <w:szCs w:val="24"/>
        </w:rPr>
        <w:br w:type="page"/>
      </w:r>
      <w:r>
        <w:rPr>
          <w:rFonts w:hint="eastAsia" w:ascii="宋体" w:hAnsi="宋体"/>
          <w:b/>
          <w:color w:val="000000"/>
        </w:rPr>
        <w:t>（3）以担保机构出具的担保函等非现金形式提交磋商保证金（参考）</w:t>
      </w:r>
    </w:p>
    <w:p>
      <w:pPr>
        <w:jc w:val="center"/>
        <w:rPr>
          <w:rFonts w:ascii="宋体" w:hAnsi="宋体" w:eastAsia="PMingLiU" w:cs="宋体"/>
          <w:b/>
          <w:bCs/>
          <w:color w:val="000000"/>
          <w:sz w:val="32"/>
          <w:szCs w:val="32"/>
        </w:rPr>
      </w:pPr>
      <w:r>
        <w:rPr>
          <w:b/>
          <w:bCs/>
          <w:color w:val="000000"/>
          <w:sz w:val="32"/>
          <w:szCs w:val="32"/>
        </w:rPr>
        <w:t>信用担保</w:t>
      </w:r>
      <w:r>
        <w:rPr>
          <w:b/>
          <w:bCs/>
          <w:color w:val="000000"/>
          <w:sz w:val="32"/>
          <w:szCs w:val="32"/>
          <w:lang w:val="zh-TW" w:eastAsia="zh-TW"/>
        </w:rPr>
        <w:t>函办理指南</w:t>
      </w:r>
    </w:p>
    <w:p>
      <w:pPr>
        <w:rPr>
          <w:rFonts w:ascii="宋体" w:hAnsi="宋体" w:cs="Tahoma"/>
          <w:color w:val="000000"/>
          <w:szCs w:val="24"/>
        </w:rPr>
      </w:pPr>
    </w:p>
    <w:p>
      <w:pPr>
        <w:numPr>
          <w:ilvl w:val="0"/>
          <w:numId w:val="71"/>
        </w:numPr>
        <w:rPr>
          <w:rFonts w:ascii="宋体" w:hAnsi="宋体"/>
          <w:color w:val="000000"/>
          <w:szCs w:val="24"/>
        </w:rPr>
      </w:pPr>
      <w:r>
        <w:rPr>
          <w:rFonts w:ascii="宋体" w:hAnsi="宋体"/>
          <w:color w:val="000000"/>
          <w:szCs w:val="24"/>
        </w:rPr>
        <w:t>根据财政部和广东省财政厅关于进一步推广信用担保机制的精神，在政府采购活动中引入信用担保机制，有利于降低中小企业参与政府采购的成本和风险，为中小企业提供有政策保障、便利的融资渠道，有效缓解资金短缺压力，优化中小企业发展环境。</w:t>
      </w:r>
    </w:p>
    <w:p>
      <w:pPr>
        <w:numPr>
          <w:ilvl w:val="0"/>
          <w:numId w:val="71"/>
        </w:numPr>
        <w:rPr>
          <w:rFonts w:ascii="宋体" w:hAnsi="宋体"/>
          <w:color w:val="000000"/>
          <w:szCs w:val="24"/>
        </w:rPr>
      </w:pPr>
      <w:r>
        <w:rPr>
          <w:rFonts w:ascii="宋体" w:hAnsi="宋体"/>
          <w:color w:val="000000"/>
          <w:szCs w:val="24"/>
        </w:rPr>
        <w:t>供应商可以以专业担保机构出具的担保函的形式交纳磋商保证金或履约保证金，供应商可自主决定是否使用信用担保方式，并选择专业担保机构提供的任何一种信用担保品种。</w:t>
      </w:r>
    </w:p>
    <w:p>
      <w:pPr>
        <w:numPr>
          <w:ilvl w:val="0"/>
          <w:numId w:val="71"/>
        </w:numPr>
        <w:rPr>
          <w:rFonts w:ascii="宋体" w:hAnsi="宋体"/>
          <w:color w:val="000000"/>
          <w:szCs w:val="24"/>
        </w:rPr>
      </w:pPr>
      <w:r>
        <w:rPr>
          <w:rFonts w:ascii="宋体" w:hAnsi="宋体"/>
          <w:color w:val="000000"/>
          <w:szCs w:val="24"/>
        </w:rPr>
        <w:t>供应商委托广东尚贤雅集政府采购信用担保有限公司办理信用担保函，可参考以下办理指南：</w:t>
      </w:r>
    </w:p>
    <w:p>
      <w:pPr>
        <w:numPr>
          <w:ilvl w:val="0"/>
          <w:numId w:val="72"/>
        </w:numPr>
        <w:rPr>
          <w:rFonts w:ascii="宋体" w:hAnsi="宋体" w:cs="Tahoma"/>
          <w:color w:val="000000"/>
          <w:szCs w:val="24"/>
        </w:rPr>
      </w:pPr>
      <w:r>
        <w:rPr>
          <w:rFonts w:ascii="宋体" w:hAnsi="宋体" w:cs="Tahoma"/>
          <w:color w:val="000000"/>
          <w:szCs w:val="24"/>
        </w:rPr>
        <w:t>扫描下方二维码，进入“尚贤雅集”小程序后按指示办理信用担保函。</w:t>
      </w:r>
    </w:p>
    <w:p>
      <w:pPr>
        <w:rPr>
          <w:rFonts w:ascii="宋体" w:hAnsi="宋体" w:cs="Tahoma"/>
          <w:color w:val="000000"/>
          <w:szCs w:val="24"/>
        </w:rPr>
      </w:pPr>
      <w:r>
        <w:rPr>
          <w:rFonts w:ascii="宋体" w:hAnsi="宋体" w:cs="Tahoma"/>
          <w:color w:val="000000"/>
          <w:szCs w:val="24"/>
        </w:rPr>
        <w:drawing>
          <wp:inline distT="0" distB="0" distL="114300" distR="114300">
            <wp:extent cx="1511935" cy="1511935"/>
            <wp:effectExtent l="0" t="0" r="12065" b="12065"/>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3"/>
                    <a:stretch>
                      <a:fillRect/>
                    </a:stretch>
                  </pic:blipFill>
                  <pic:spPr>
                    <a:xfrm>
                      <a:off x="0" y="0"/>
                      <a:ext cx="1511935" cy="1511935"/>
                    </a:xfrm>
                    <a:prstGeom prst="rect">
                      <a:avLst/>
                    </a:prstGeom>
                    <a:noFill/>
                    <a:ln w="9525" cap="flat" cmpd="sng">
                      <a:noFill/>
                      <a:prstDash val="solid"/>
                      <a:round/>
                    </a:ln>
                  </pic:spPr>
                </pic:pic>
              </a:graphicData>
            </a:graphic>
          </wp:inline>
        </w:drawing>
      </w:r>
    </w:p>
    <w:p>
      <w:pPr>
        <w:numPr>
          <w:ilvl w:val="0"/>
          <w:numId w:val="72"/>
        </w:numPr>
        <w:rPr>
          <w:rFonts w:ascii="宋体" w:hAnsi="宋体" w:cs="Tahoma"/>
          <w:color w:val="000000"/>
          <w:szCs w:val="24"/>
        </w:rPr>
      </w:pPr>
      <w:r>
        <w:rPr>
          <w:rFonts w:ascii="宋体" w:hAnsi="宋体" w:cs="Tahoma"/>
          <w:color w:val="000000"/>
          <w:szCs w:val="24"/>
        </w:rPr>
        <w:t>办理过程有任何疑问可联系“尚贤客服”咨询。</w:t>
      </w:r>
    </w:p>
    <w:p>
      <w:pPr>
        <w:ind w:firstLine="480" w:firstLineChars="200"/>
        <w:rPr>
          <w:rFonts w:ascii="宋体" w:hAnsi="宋体" w:cs="Tahoma"/>
          <w:color w:val="000000"/>
          <w:szCs w:val="24"/>
        </w:rPr>
      </w:pPr>
      <w:r>
        <w:rPr>
          <w:rFonts w:ascii="宋体" w:hAnsi="宋体" w:cs="Tahoma"/>
          <w:color w:val="000000"/>
          <w:szCs w:val="24"/>
        </w:rPr>
        <w:t>客服电话：18681024486</w:t>
      </w:r>
    </w:p>
    <w:p>
      <w:pPr>
        <w:ind w:firstLine="480" w:firstLineChars="200"/>
        <w:rPr>
          <w:rFonts w:ascii="宋体" w:hAnsi="宋体" w:cs="Tahoma"/>
          <w:color w:val="000000"/>
          <w:szCs w:val="24"/>
        </w:rPr>
      </w:pPr>
      <w:r>
        <w:rPr>
          <w:rFonts w:ascii="宋体" w:hAnsi="宋体" w:cs="Tahoma"/>
          <w:color w:val="000000"/>
          <w:szCs w:val="24"/>
        </w:rPr>
        <w:t>公司电话：0769-21665661</w:t>
      </w:r>
    </w:p>
    <w:p>
      <w:pPr>
        <w:ind w:firstLine="480" w:firstLineChars="200"/>
        <w:rPr>
          <w:rFonts w:ascii="宋体" w:hAnsi="宋体" w:cs="Tahoma"/>
          <w:color w:val="000000"/>
          <w:szCs w:val="24"/>
        </w:rPr>
      </w:pPr>
      <w:r>
        <w:rPr>
          <w:rFonts w:ascii="宋体" w:hAnsi="宋体" w:cs="Tahoma"/>
          <w:color w:val="000000"/>
          <w:szCs w:val="24"/>
        </w:rPr>
        <w:t>客服微信二维码：</w:t>
      </w:r>
    </w:p>
    <w:p>
      <w:pPr>
        <w:rPr>
          <w:rFonts w:ascii="宋体" w:hAnsi="宋体" w:cs="Tahoma"/>
          <w:color w:val="000000"/>
          <w:szCs w:val="24"/>
        </w:rPr>
      </w:pPr>
      <w:r>
        <w:rPr>
          <w:rFonts w:hint="eastAsia" w:ascii="宋体" w:hAnsi="宋体" w:cs="Tahoma"/>
          <w:color w:val="000000"/>
          <w:szCs w:val="24"/>
        </w:rPr>
        <w:drawing>
          <wp:inline distT="0" distB="0" distL="114300" distR="114300">
            <wp:extent cx="1511300" cy="1826260"/>
            <wp:effectExtent l="0" t="0" r="0" b="2540"/>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14"/>
                    <a:stretch>
                      <a:fillRect/>
                    </a:stretch>
                  </pic:blipFill>
                  <pic:spPr>
                    <a:xfrm>
                      <a:off x="0" y="0"/>
                      <a:ext cx="1511300" cy="1826260"/>
                    </a:xfrm>
                    <a:prstGeom prst="rect">
                      <a:avLst/>
                    </a:prstGeom>
                    <a:noFill/>
                    <a:ln w="9525" cap="flat" cmpd="sng">
                      <a:noFill/>
                      <a:prstDash val="solid"/>
                      <a:round/>
                    </a:ln>
                  </pic:spPr>
                </pic:pic>
              </a:graphicData>
            </a:graphic>
          </wp:inline>
        </w:drawing>
      </w:r>
    </w:p>
    <w:p>
      <w:pPr>
        <w:rPr>
          <w:rFonts w:ascii="宋体" w:hAnsi="宋体" w:cs="Tahoma"/>
          <w:color w:val="000000"/>
          <w:szCs w:val="24"/>
        </w:rPr>
      </w:pPr>
    </w:p>
    <w:p>
      <w:pPr>
        <w:jc w:val="center"/>
        <w:rPr>
          <w:b/>
          <w:bCs/>
          <w:color w:val="000000"/>
          <w:sz w:val="32"/>
          <w:szCs w:val="32"/>
        </w:rPr>
      </w:pPr>
      <w:r>
        <w:rPr>
          <w:b/>
          <w:bCs/>
          <w:color w:val="000000"/>
          <w:sz w:val="32"/>
          <w:szCs w:val="32"/>
        </w:rPr>
        <w:t>报价担保函</w:t>
      </w:r>
    </w:p>
    <w:p>
      <w:pPr>
        <w:jc w:val="right"/>
        <w:rPr>
          <w:rFonts w:ascii="宋体" w:hAnsi="宋体" w:cs="Tahoma"/>
          <w:color w:val="000000"/>
          <w:szCs w:val="24"/>
        </w:rPr>
      </w:pPr>
      <w:r>
        <w:rPr>
          <w:rFonts w:ascii="宋体" w:hAnsi="宋体" w:cs="Tahoma"/>
          <w:color w:val="000000"/>
          <w:szCs w:val="24"/>
        </w:rPr>
        <w:t>编号：第</w:t>
      </w:r>
      <w:r>
        <w:rPr>
          <w:rFonts w:ascii="宋体" w:hAnsi="宋体" w:cs="Tahoma"/>
          <w:color w:val="000000"/>
          <w:szCs w:val="24"/>
          <w:u w:val="single"/>
        </w:rPr>
        <w:t xml:space="preserve">           </w:t>
      </w:r>
      <w:r>
        <w:rPr>
          <w:rFonts w:ascii="宋体" w:hAnsi="宋体" w:cs="Tahoma"/>
          <w:color w:val="000000"/>
          <w:szCs w:val="24"/>
        </w:rPr>
        <w:t>号</w:t>
      </w:r>
    </w:p>
    <w:p>
      <w:pPr>
        <w:rPr>
          <w:rFonts w:ascii="宋体" w:hAnsi="宋体" w:cs="Tahoma"/>
          <w:color w:val="000000"/>
          <w:szCs w:val="24"/>
        </w:rPr>
      </w:pPr>
      <w:r>
        <w:rPr>
          <w:rFonts w:hint="eastAsia" w:ascii="宋体" w:hAnsi="宋体" w:cs="Tahoma"/>
          <w:color w:val="000000"/>
          <w:szCs w:val="24"/>
        </w:rPr>
        <w:t>（采购人）</w:t>
      </w:r>
      <w:r>
        <w:rPr>
          <w:rFonts w:ascii="宋体" w:hAnsi="宋体" w:cs="Tahoma"/>
          <w:color w:val="000000"/>
          <w:szCs w:val="24"/>
        </w:rPr>
        <w:t>：</w:t>
      </w:r>
    </w:p>
    <w:p>
      <w:pPr>
        <w:ind w:firstLine="480" w:firstLineChars="200"/>
        <w:rPr>
          <w:rFonts w:ascii="宋体" w:hAnsi="宋体"/>
          <w:color w:val="000000"/>
          <w:szCs w:val="24"/>
        </w:rPr>
      </w:pPr>
      <w:r>
        <w:rPr>
          <w:rFonts w:ascii="宋体" w:hAnsi="宋体"/>
          <w:color w:val="000000"/>
          <w:szCs w:val="24"/>
        </w:rPr>
        <w:t>鉴于</w:t>
      </w:r>
      <w:r>
        <w:rPr>
          <w:rFonts w:hint="eastAsia" w:ascii="宋体" w:hAnsi="宋体"/>
          <w:i/>
          <w:color w:val="000000"/>
          <w:szCs w:val="24"/>
          <w:u w:val="single"/>
        </w:rPr>
        <w:t>（供应商名称）</w:t>
      </w:r>
      <w:r>
        <w:rPr>
          <w:rFonts w:ascii="宋体" w:hAnsi="宋体"/>
          <w:color w:val="000000"/>
          <w:szCs w:val="24"/>
        </w:rPr>
        <w:t>（以下</w:t>
      </w:r>
      <w:r>
        <w:rPr>
          <w:rFonts w:ascii="宋体" w:hAnsi="宋体" w:cs="Tahoma"/>
          <w:color w:val="000000"/>
          <w:szCs w:val="24"/>
        </w:rPr>
        <w:t>简称</w:t>
      </w:r>
      <w:r>
        <w:rPr>
          <w:rFonts w:ascii="宋体" w:hAnsi="宋体"/>
          <w:color w:val="000000"/>
          <w:szCs w:val="24"/>
        </w:rPr>
        <w:t>“供应商”）拟参加编号为</w:t>
      </w:r>
      <w:r>
        <w:rPr>
          <w:rFonts w:hint="eastAsia" w:ascii="宋体" w:hAnsi="宋体"/>
          <w:color w:val="000000"/>
          <w:szCs w:val="24"/>
          <w:u w:val="single"/>
        </w:rPr>
        <w:t>0809-25401GJC302013801</w:t>
      </w:r>
      <w:r>
        <w:rPr>
          <w:rFonts w:ascii="宋体" w:hAnsi="宋体"/>
          <w:color w:val="000000"/>
          <w:szCs w:val="24"/>
        </w:rPr>
        <w:t>的</w:t>
      </w:r>
      <w:r>
        <w:rPr>
          <w:rFonts w:hint="eastAsia" w:ascii="宋体" w:hAnsi="宋体"/>
          <w:color w:val="000000"/>
          <w:szCs w:val="24"/>
          <w:u w:val="single"/>
        </w:rPr>
        <w:t>2026-2027年广州白云机场海关南1、2号楼物业管理服务</w:t>
      </w:r>
      <w:r>
        <w:rPr>
          <w:rFonts w:ascii="宋体" w:hAnsi="宋体"/>
          <w:color w:val="000000"/>
          <w:szCs w:val="24"/>
        </w:rPr>
        <w:t>（以下简称“本项目”）的</w:t>
      </w:r>
      <w:r>
        <w:rPr>
          <w:rFonts w:hint="eastAsia" w:ascii="宋体" w:hAnsi="宋体"/>
          <w:color w:val="000000"/>
          <w:szCs w:val="24"/>
        </w:rPr>
        <w:t>报价</w:t>
      </w:r>
      <w:r>
        <w:rPr>
          <w:rFonts w:ascii="宋体" w:hAnsi="宋体"/>
          <w:color w:val="000000"/>
          <w:szCs w:val="24"/>
        </w:rPr>
        <w:t>，根据本项目磋商文件，供应商参加</w:t>
      </w:r>
      <w:r>
        <w:rPr>
          <w:rFonts w:hint="eastAsia" w:ascii="宋体" w:hAnsi="宋体"/>
          <w:color w:val="000000"/>
          <w:szCs w:val="24"/>
        </w:rPr>
        <w:t>磋商</w:t>
      </w:r>
      <w:r>
        <w:rPr>
          <w:rFonts w:ascii="宋体" w:hAnsi="宋体"/>
          <w:color w:val="000000"/>
          <w:szCs w:val="24"/>
        </w:rPr>
        <w:t>时应向你方交纳磋商保证金，且可以报价担保函的</w:t>
      </w:r>
      <w:r>
        <w:rPr>
          <w:rFonts w:hint="eastAsia" w:ascii="宋体" w:hAnsi="宋体"/>
          <w:color w:val="000000"/>
          <w:szCs w:val="24"/>
        </w:rPr>
        <w:t>形式</w:t>
      </w:r>
      <w:r>
        <w:rPr>
          <w:rFonts w:ascii="宋体" w:hAnsi="宋体"/>
          <w:color w:val="000000"/>
          <w:szCs w:val="24"/>
        </w:rPr>
        <w:t>交纳磋商保证金。应供应商的申请，我方以保证的方式向您方提供如下磋商保证金担保：</w:t>
      </w:r>
    </w:p>
    <w:p>
      <w:pPr>
        <w:ind w:firstLine="480" w:firstLineChars="200"/>
        <w:rPr>
          <w:rFonts w:ascii="宋体" w:hAnsi="宋体"/>
          <w:color w:val="000000"/>
          <w:szCs w:val="24"/>
        </w:rPr>
      </w:pPr>
      <w:r>
        <w:rPr>
          <w:rFonts w:ascii="宋体" w:hAnsi="宋体"/>
          <w:color w:val="000000"/>
          <w:szCs w:val="24"/>
        </w:rPr>
        <w:t>一、保证责任的情形及保证金额</w:t>
      </w:r>
    </w:p>
    <w:p>
      <w:pPr>
        <w:ind w:firstLine="480" w:firstLineChars="200"/>
        <w:rPr>
          <w:rFonts w:ascii="宋体" w:hAnsi="宋体"/>
          <w:color w:val="000000"/>
          <w:szCs w:val="24"/>
        </w:rPr>
      </w:pPr>
      <w:r>
        <w:rPr>
          <w:rFonts w:ascii="宋体" w:hAnsi="宋体"/>
          <w:color w:val="000000"/>
          <w:szCs w:val="24"/>
        </w:rPr>
        <w:t>（一）在供应商出现下列情形之一时，我方承担保证责任：</w:t>
      </w:r>
    </w:p>
    <w:p>
      <w:pPr>
        <w:ind w:firstLine="480" w:firstLineChars="200"/>
        <w:rPr>
          <w:rFonts w:ascii="宋体" w:hAnsi="宋体"/>
          <w:color w:val="000000"/>
          <w:szCs w:val="24"/>
        </w:rPr>
      </w:pPr>
      <w:r>
        <w:rPr>
          <w:rFonts w:ascii="宋体" w:hAnsi="宋体"/>
          <w:color w:val="000000"/>
          <w:szCs w:val="24"/>
        </w:rPr>
        <w:t>1.成交后供应商无正当理由不与采购人签订《政府采购合同》；</w:t>
      </w:r>
    </w:p>
    <w:p>
      <w:pPr>
        <w:ind w:firstLine="480" w:firstLineChars="200"/>
        <w:rPr>
          <w:rFonts w:ascii="宋体" w:hAnsi="宋体"/>
          <w:color w:val="000000"/>
          <w:szCs w:val="24"/>
        </w:rPr>
      </w:pPr>
      <w:r>
        <w:rPr>
          <w:rFonts w:ascii="宋体" w:hAnsi="宋体"/>
          <w:color w:val="000000"/>
          <w:szCs w:val="24"/>
        </w:rPr>
        <w:t>2.磋商文件规定的应当缴纳磋商保证金的其他情形。</w:t>
      </w:r>
    </w:p>
    <w:p>
      <w:pPr>
        <w:ind w:firstLine="480" w:firstLineChars="200"/>
        <w:rPr>
          <w:rFonts w:ascii="宋体" w:hAnsi="宋体"/>
          <w:color w:val="000000"/>
          <w:szCs w:val="24"/>
        </w:rPr>
      </w:pPr>
      <w:r>
        <w:rPr>
          <w:rFonts w:ascii="宋体" w:hAnsi="宋体"/>
          <w:color w:val="000000"/>
          <w:szCs w:val="24"/>
        </w:rPr>
        <w:t>（二）我方承担保证责任的最高金额为人民币</w:t>
      </w:r>
      <w:r>
        <w:rPr>
          <w:rFonts w:ascii="宋体" w:hAnsi="宋体"/>
          <w:color w:val="000000"/>
          <w:szCs w:val="24"/>
          <w:u w:val="single"/>
        </w:rPr>
        <w:t xml:space="preserve">         </w:t>
      </w:r>
      <w:r>
        <w:rPr>
          <w:rFonts w:ascii="宋体" w:hAnsi="宋体"/>
          <w:color w:val="000000"/>
          <w:szCs w:val="24"/>
        </w:rPr>
        <w:t>元（大写</w:t>
      </w:r>
      <w:r>
        <w:rPr>
          <w:rFonts w:ascii="宋体" w:hAnsi="宋体"/>
          <w:color w:val="000000"/>
          <w:szCs w:val="24"/>
          <w:u w:val="single"/>
        </w:rPr>
        <w:t xml:space="preserve">        </w:t>
      </w:r>
      <w:r>
        <w:rPr>
          <w:rFonts w:ascii="宋体" w:hAnsi="宋体"/>
          <w:color w:val="000000"/>
          <w:szCs w:val="24"/>
        </w:rPr>
        <w:t>元整），即本项目的磋商保证金金额。</w:t>
      </w:r>
    </w:p>
    <w:p>
      <w:pPr>
        <w:ind w:firstLine="480" w:firstLineChars="200"/>
        <w:rPr>
          <w:rFonts w:ascii="宋体" w:hAnsi="宋体"/>
          <w:color w:val="000000"/>
          <w:szCs w:val="24"/>
        </w:rPr>
      </w:pPr>
      <w:r>
        <w:rPr>
          <w:rFonts w:ascii="宋体" w:hAnsi="宋体"/>
          <w:color w:val="000000"/>
          <w:szCs w:val="24"/>
        </w:rPr>
        <w:t>二、保证的方式及保证期间</w:t>
      </w:r>
    </w:p>
    <w:p>
      <w:pPr>
        <w:ind w:firstLine="480" w:firstLineChars="200"/>
        <w:rPr>
          <w:rFonts w:ascii="宋体" w:hAnsi="宋体"/>
          <w:color w:val="000000"/>
          <w:szCs w:val="24"/>
        </w:rPr>
      </w:pPr>
      <w:r>
        <w:rPr>
          <w:rFonts w:ascii="宋体" w:hAnsi="宋体"/>
          <w:color w:val="000000"/>
          <w:szCs w:val="24"/>
        </w:rPr>
        <w:t>我方保证的方式为：连带责任保证。</w:t>
      </w:r>
    </w:p>
    <w:p>
      <w:pPr>
        <w:ind w:firstLine="480" w:firstLineChars="200"/>
        <w:rPr>
          <w:rFonts w:ascii="宋体" w:hAnsi="宋体"/>
          <w:szCs w:val="24"/>
        </w:rPr>
      </w:pPr>
      <w:r>
        <w:rPr>
          <w:rFonts w:ascii="宋体" w:hAnsi="宋体"/>
          <w:szCs w:val="24"/>
        </w:rPr>
        <w:t>我方的保证期间为：自本保函生效之日起至超过磋商有效期30天（如项目采购失败</w:t>
      </w:r>
      <w:r>
        <w:rPr>
          <w:rFonts w:hint="eastAsia" w:ascii="宋体" w:hAnsi="宋体"/>
          <w:szCs w:val="24"/>
        </w:rPr>
        <w:t>重新采购</w:t>
      </w:r>
      <w:r>
        <w:rPr>
          <w:rFonts w:ascii="宋体" w:hAnsi="宋体"/>
          <w:szCs w:val="24"/>
        </w:rPr>
        <w:t>，则延长至</w:t>
      </w:r>
      <w:r>
        <w:rPr>
          <w:rFonts w:hint="eastAsia" w:ascii="宋体" w:hAnsi="宋体"/>
          <w:szCs w:val="24"/>
        </w:rPr>
        <w:t>重新采购</w:t>
      </w:r>
      <w:r>
        <w:rPr>
          <w:rFonts w:ascii="宋体" w:hAnsi="宋体"/>
          <w:szCs w:val="24"/>
        </w:rPr>
        <w:t>之日起至超过磋商有效期30天）。</w:t>
      </w:r>
    </w:p>
    <w:p>
      <w:pPr>
        <w:ind w:firstLine="480" w:firstLineChars="200"/>
        <w:rPr>
          <w:rFonts w:ascii="宋体" w:hAnsi="宋体"/>
          <w:szCs w:val="24"/>
        </w:rPr>
      </w:pPr>
      <w:r>
        <w:rPr>
          <w:rFonts w:ascii="宋体" w:hAnsi="宋体"/>
          <w:szCs w:val="24"/>
        </w:rPr>
        <w:t>三、承担保证责任的程序</w:t>
      </w:r>
    </w:p>
    <w:p>
      <w:pPr>
        <w:ind w:firstLine="480" w:firstLineChars="200"/>
        <w:rPr>
          <w:rFonts w:ascii="宋体" w:hAnsi="宋体"/>
          <w:color w:val="000000"/>
          <w:szCs w:val="24"/>
        </w:rPr>
      </w:pPr>
      <w:r>
        <w:rPr>
          <w:rFonts w:ascii="宋体" w:hAnsi="宋体"/>
          <w:color w:val="000000"/>
          <w:szCs w:val="24"/>
        </w:rPr>
        <w:t>1.你方要求我方承担上述第一款保证责任时，应在本保函保证期间内向我方发出书面索赔通知。索赔通知应写明要求索赔的金额，支付款项应到达的账号，并附有证明供应商发生我方应承担保</w:t>
      </w:r>
      <w:r>
        <w:rPr>
          <w:rFonts w:hint="eastAsia" w:ascii="宋体" w:hAnsi="宋体"/>
          <w:color w:val="000000"/>
          <w:szCs w:val="24"/>
        </w:rPr>
        <w:t>证</w:t>
      </w:r>
      <w:r>
        <w:rPr>
          <w:rFonts w:ascii="宋体" w:hAnsi="宋体"/>
          <w:color w:val="000000"/>
          <w:szCs w:val="24"/>
        </w:rPr>
        <w:t>责任情形的事实材料。</w:t>
      </w:r>
    </w:p>
    <w:p>
      <w:pPr>
        <w:ind w:firstLine="480" w:firstLineChars="200"/>
        <w:rPr>
          <w:rFonts w:ascii="宋体" w:hAnsi="宋体"/>
          <w:color w:val="000000"/>
          <w:szCs w:val="24"/>
        </w:rPr>
      </w:pPr>
      <w:r>
        <w:rPr>
          <w:rFonts w:ascii="宋体" w:hAnsi="宋体"/>
          <w:color w:val="000000"/>
          <w:szCs w:val="24"/>
        </w:rPr>
        <w:t>2.我方在收到索赔通知及相关证明材料后，在五个工作日内进行审查，符合应承担保证责任情形的，我方应按照你方的要求代供应商向你方支付磋商保证金。</w:t>
      </w:r>
    </w:p>
    <w:p>
      <w:pPr>
        <w:ind w:firstLine="480" w:firstLineChars="200"/>
        <w:rPr>
          <w:rFonts w:ascii="宋体" w:hAnsi="宋体"/>
          <w:color w:val="000000"/>
          <w:szCs w:val="24"/>
        </w:rPr>
      </w:pPr>
      <w:r>
        <w:rPr>
          <w:rFonts w:ascii="宋体" w:hAnsi="宋体"/>
          <w:color w:val="000000"/>
          <w:szCs w:val="24"/>
        </w:rPr>
        <w:t>四、保证责任的终止</w:t>
      </w:r>
    </w:p>
    <w:p>
      <w:pPr>
        <w:ind w:firstLine="480" w:firstLineChars="200"/>
        <w:rPr>
          <w:rFonts w:ascii="宋体" w:hAnsi="宋体"/>
          <w:color w:val="000000"/>
          <w:szCs w:val="24"/>
        </w:rPr>
      </w:pPr>
      <w:r>
        <w:rPr>
          <w:rFonts w:ascii="宋体" w:hAnsi="宋体"/>
          <w:color w:val="000000"/>
          <w:szCs w:val="24"/>
        </w:rPr>
        <w:t>1.保证期间届满你方未向我方书面主张保证责任的，自保证期间届满次日起，我方保证责任自动终止。</w:t>
      </w:r>
    </w:p>
    <w:p>
      <w:pPr>
        <w:ind w:firstLine="480" w:firstLineChars="200"/>
        <w:rPr>
          <w:rFonts w:ascii="宋体" w:hAnsi="宋体"/>
          <w:color w:val="000000"/>
          <w:szCs w:val="24"/>
        </w:rPr>
      </w:pPr>
      <w:r>
        <w:rPr>
          <w:rFonts w:ascii="宋体" w:hAnsi="宋体"/>
          <w:color w:val="000000"/>
          <w:szCs w:val="24"/>
        </w:rPr>
        <w:t>2.我方按照本保函向你贵方履行了保证责任后，自我方向你贵方支付款项（支付款项从我方账户划出）之日起，保证责任终止。</w:t>
      </w:r>
    </w:p>
    <w:p>
      <w:pPr>
        <w:ind w:firstLine="480" w:firstLineChars="200"/>
        <w:rPr>
          <w:rFonts w:ascii="宋体" w:hAnsi="宋体"/>
          <w:color w:val="000000"/>
          <w:szCs w:val="24"/>
        </w:rPr>
      </w:pPr>
      <w:r>
        <w:rPr>
          <w:rFonts w:ascii="宋体" w:hAnsi="宋体"/>
          <w:color w:val="000000"/>
          <w:szCs w:val="24"/>
        </w:rPr>
        <w:t>3.按照法律法规的规定或出现我方保证责任终止的其它情形的，我方在本保函项目的保证责任亦终止。</w:t>
      </w:r>
    </w:p>
    <w:p>
      <w:pPr>
        <w:ind w:firstLine="480" w:firstLineChars="200"/>
        <w:rPr>
          <w:rFonts w:ascii="宋体" w:hAnsi="宋体"/>
          <w:color w:val="000000"/>
          <w:szCs w:val="24"/>
        </w:rPr>
      </w:pPr>
      <w:r>
        <w:rPr>
          <w:rFonts w:ascii="宋体" w:hAnsi="宋体"/>
          <w:color w:val="000000"/>
          <w:szCs w:val="24"/>
        </w:rPr>
        <w:t>五、免责条款</w:t>
      </w:r>
    </w:p>
    <w:p>
      <w:pPr>
        <w:ind w:firstLine="480" w:firstLineChars="200"/>
        <w:rPr>
          <w:rFonts w:ascii="宋体" w:hAnsi="宋体"/>
          <w:color w:val="000000"/>
          <w:szCs w:val="24"/>
        </w:rPr>
      </w:pPr>
      <w:r>
        <w:rPr>
          <w:rFonts w:ascii="宋体" w:hAnsi="宋体"/>
          <w:color w:val="000000"/>
          <w:szCs w:val="24"/>
        </w:rPr>
        <w:t>1.依照法律规定或你方与供应商的另行约定，全部或者部分免除供应商磋商保证金义务时，我方亦免除相应的保证责任。</w:t>
      </w:r>
    </w:p>
    <w:p>
      <w:pPr>
        <w:ind w:firstLine="480" w:firstLineChars="200"/>
        <w:rPr>
          <w:rFonts w:ascii="宋体" w:hAnsi="宋体"/>
          <w:color w:val="000000"/>
          <w:szCs w:val="24"/>
        </w:rPr>
      </w:pPr>
      <w:r>
        <w:rPr>
          <w:rFonts w:ascii="宋体" w:hAnsi="宋体"/>
          <w:color w:val="000000"/>
          <w:szCs w:val="24"/>
        </w:rPr>
        <w:t>2.因你方原因致使供应商发生本保函第一条第（一）款约定情形的，我方不承担保证责任。</w:t>
      </w:r>
    </w:p>
    <w:p>
      <w:pPr>
        <w:ind w:firstLine="480" w:firstLineChars="200"/>
        <w:rPr>
          <w:rFonts w:ascii="宋体" w:hAnsi="宋体"/>
          <w:color w:val="000000"/>
          <w:szCs w:val="24"/>
        </w:rPr>
      </w:pPr>
      <w:r>
        <w:rPr>
          <w:rFonts w:ascii="宋体" w:hAnsi="宋体"/>
          <w:color w:val="000000"/>
          <w:szCs w:val="24"/>
        </w:rPr>
        <w:t>3.因不可抗力造成供应商发生本保函第一条约定情形的，我方不承担保证责任。</w:t>
      </w:r>
    </w:p>
    <w:p>
      <w:pPr>
        <w:ind w:firstLine="480" w:firstLineChars="200"/>
        <w:rPr>
          <w:rFonts w:ascii="宋体" w:hAnsi="宋体"/>
          <w:color w:val="000000"/>
          <w:szCs w:val="24"/>
        </w:rPr>
      </w:pPr>
      <w:r>
        <w:rPr>
          <w:rFonts w:ascii="宋体" w:hAnsi="宋体"/>
          <w:color w:val="000000"/>
          <w:szCs w:val="24"/>
        </w:rPr>
        <w:t>4.你方或其他有权机关对磋商文件进行任何澄清或修改，加重我方保证责任的，我方对加重部分不承担保证责任，但该澄清或修改经我方事先书面同意的除外。</w:t>
      </w:r>
    </w:p>
    <w:p>
      <w:pPr>
        <w:ind w:firstLine="480" w:firstLineChars="200"/>
        <w:rPr>
          <w:rFonts w:ascii="宋体" w:hAnsi="宋体"/>
          <w:color w:val="000000"/>
          <w:szCs w:val="24"/>
        </w:rPr>
      </w:pPr>
      <w:r>
        <w:rPr>
          <w:rFonts w:ascii="宋体" w:hAnsi="宋体"/>
          <w:color w:val="000000"/>
          <w:szCs w:val="24"/>
        </w:rPr>
        <w:t>六、争议的解决</w:t>
      </w:r>
    </w:p>
    <w:p>
      <w:pPr>
        <w:ind w:firstLine="480" w:firstLineChars="200"/>
        <w:rPr>
          <w:rFonts w:ascii="宋体" w:hAnsi="宋体"/>
          <w:color w:val="000000"/>
          <w:szCs w:val="24"/>
        </w:rPr>
      </w:pPr>
      <w:r>
        <w:rPr>
          <w:rFonts w:ascii="宋体" w:hAnsi="宋体"/>
          <w:color w:val="000000"/>
          <w:szCs w:val="24"/>
        </w:rPr>
        <w:t>因本保函发生的纠纷，由你我双方协商解决，协商不成的，通过诉讼程序解决，</w:t>
      </w:r>
      <w:r>
        <w:rPr>
          <w:rFonts w:hint="eastAsia" w:ascii="宋体" w:hAnsi="宋体" w:cs="宋体"/>
          <w:color w:val="000000"/>
          <w:szCs w:val="24"/>
          <w:cs/>
        </w:rPr>
        <w:t>委托人同意提交担保人所在地人民法院审理。</w:t>
      </w:r>
    </w:p>
    <w:p>
      <w:pPr>
        <w:ind w:firstLine="480" w:firstLineChars="200"/>
        <w:rPr>
          <w:rFonts w:ascii="宋体" w:hAnsi="宋体"/>
          <w:color w:val="000000"/>
          <w:szCs w:val="24"/>
        </w:rPr>
      </w:pPr>
      <w:r>
        <w:rPr>
          <w:rFonts w:ascii="宋体" w:hAnsi="宋体"/>
          <w:color w:val="000000"/>
          <w:szCs w:val="24"/>
        </w:rPr>
        <w:t>七、保函的生效</w:t>
      </w:r>
      <w:r>
        <w:rPr>
          <w:rFonts w:hint="eastAsia" w:ascii="宋体" w:hAnsi="宋体"/>
          <w:color w:val="000000"/>
          <w:szCs w:val="24"/>
        </w:rPr>
        <w:t>：</w:t>
      </w:r>
      <w:r>
        <w:rPr>
          <w:rFonts w:ascii="宋体" w:hAnsi="宋体"/>
          <w:color w:val="000000"/>
          <w:szCs w:val="24"/>
        </w:rPr>
        <w:t>本保函自我方加盖公章之日起生效。</w:t>
      </w:r>
    </w:p>
    <w:p>
      <w:pPr>
        <w:ind w:firstLine="3360" w:firstLineChars="1400"/>
        <w:rPr>
          <w:rFonts w:ascii="宋体" w:hAnsi="宋体"/>
          <w:color w:val="000000"/>
          <w:szCs w:val="24"/>
        </w:rPr>
      </w:pPr>
      <w:r>
        <w:rPr>
          <w:rFonts w:ascii="宋体" w:hAnsi="宋体" w:cs="Tahoma"/>
          <w:color w:val="000000"/>
          <w:szCs w:val="24"/>
        </w:rPr>
        <w:t>保证人：广东尚贤雅集政府采购信用担保有限</w:t>
      </w:r>
      <w:r>
        <w:rPr>
          <w:rFonts w:ascii="宋体" w:hAnsi="宋体"/>
          <w:color w:val="000000"/>
          <w:szCs w:val="24"/>
        </w:rPr>
        <w:t>公司</w:t>
      </w:r>
    </w:p>
    <w:p>
      <w:pPr>
        <w:ind w:firstLine="3360" w:firstLineChars="1400"/>
        <w:rPr>
          <w:rFonts w:ascii="宋体" w:hAnsi="宋体"/>
          <w:color w:val="000000"/>
          <w:szCs w:val="24"/>
          <w:u w:val="single"/>
        </w:rPr>
      </w:pPr>
      <w:r>
        <w:rPr>
          <w:rFonts w:ascii="宋体" w:hAnsi="宋体" w:cs="Tahoma"/>
          <w:color w:val="000000"/>
          <w:szCs w:val="24"/>
        </w:rPr>
        <w:t>法定代表人：</w:t>
      </w:r>
      <w:r>
        <w:rPr>
          <w:rFonts w:ascii="宋体" w:hAnsi="宋体"/>
          <w:color w:val="000000"/>
          <w:szCs w:val="24"/>
          <w:u w:val="single"/>
        </w:rPr>
        <w:t xml:space="preserve">                                 </w:t>
      </w:r>
    </w:p>
    <w:p>
      <w:pPr>
        <w:ind w:firstLine="3360" w:firstLineChars="1400"/>
        <w:rPr>
          <w:rFonts w:ascii="宋体" w:hAnsi="宋体"/>
          <w:color w:val="000000"/>
          <w:szCs w:val="24"/>
        </w:rPr>
      </w:pPr>
      <w:r>
        <w:rPr>
          <w:rFonts w:hint="eastAsia" w:ascii="宋体" w:hAnsi="宋体" w:cs="Tahoma"/>
          <w:color w:val="000000"/>
          <w:szCs w:val="24"/>
          <w:u w:val="single"/>
        </w:rPr>
        <w:t xml:space="preserve">        </w:t>
      </w:r>
      <w:r>
        <w:rPr>
          <w:rFonts w:hint="eastAsia" w:ascii="宋体" w:hAnsi="宋体" w:cs="Tahoma"/>
          <w:color w:val="000000"/>
          <w:szCs w:val="24"/>
        </w:rPr>
        <w:t>年</w:t>
      </w:r>
      <w:r>
        <w:rPr>
          <w:rFonts w:hint="eastAsia" w:ascii="宋体" w:hAnsi="宋体" w:cs="Tahoma"/>
          <w:color w:val="000000"/>
          <w:szCs w:val="24"/>
          <w:u w:val="single"/>
        </w:rPr>
        <w:t xml:space="preserve">    </w:t>
      </w:r>
      <w:r>
        <w:rPr>
          <w:rFonts w:hint="eastAsia" w:ascii="宋体" w:hAnsi="宋体" w:cs="Tahoma"/>
          <w:color w:val="000000"/>
          <w:szCs w:val="24"/>
        </w:rPr>
        <w:t>月</w:t>
      </w:r>
      <w:r>
        <w:rPr>
          <w:rFonts w:hint="eastAsia" w:ascii="宋体" w:hAnsi="宋体" w:cs="Tahoma"/>
          <w:color w:val="000000"/>
          <w:szCs w:val="24"/>
          <w:u w:val="single"/>
        </w:rPr>
        <w:t xml:space="preserve">    </w:t>
      </w:r>
      <w:r>
        <w:rPr>
          <w:rFonts w:hint="eastAsia" w:ascii="宋体" w:hAnsi="宋体" w:cs="Tahoma"/>
          <w:color w:val="000000"/>
          <w:szCs w:val="24"/>
        </w:rPr>
        <w:t>日</w:t>
      </w:r>
    </w:p>
    <w:p>
      <w:pPr>
        <w:pStyle w:val="6"/>
        <w:numPr>
          <w:ilvl w:val="0"/>
          <w:numId w:val="0"/>
        </w:numPr>
        <w:ind w:left="960" w:hanging="960" w:hangingChars="400"/>
        <w:rPr>
          <w:color w:val="000000"/>
        </w:rPr>
      </w:pPr>
      <w:bookmarkStart w:id="523" w:name="_Toc22806214"/>
      <w:r>
        <w:rPr>
          <w:rFonts w:hint="eastAsia"/>
          <w:color w:val="FF0000"/>
        </w:rPr>
        <w:br w:type="page"/>
      </w:r>
      <w:r>
        <w:rPr>
          <w:rFonts w:hint="eastAsia"/>
          <w:color w:val="FF0000"/>
        </w:rPr>
        <w:t>20.2</w:t>
      </w:r>
      <w:r>
        <w:rPr>
          <w:rFonts w:hint="eastAsia"/>
          <w:color w:val="000000"/>
        </w:rPr>
        <w:t>.磋商保证金退还说明</w:t>
      </w:r>
      <w:bookmarkEnd w:id="523"/>
    </w:p>
    <w:p>
      <w:pPr>
        <w:jc w:val="center"/>
        <w:rPr>
          <w:rFonts w:ascii="宋体" w:hAnsi="宋体"/>
          <w:b/>
          <w:color w:val="000000"/>
          <w:sz w:val="32"/>
          <w:szCs w:val="32"/>
        </w:rPr>
      </w:pPr>
      <w:r>
        <w:rPr>
          <w:rFonts w:hint="eastAsia" w:ascii="宋体" w:hAnsi="宋体"/>
          <w:b/>
          <w:color w:val="000000"/>
          <w:sz w:val="32"/>
          <w:szCs w:val="32"/>
        </w:rPr>
        <w:t>磋商保证金退还说明</w:t>
      </w:r>
    </w:p>
    <w:p>
      <w:pPr>
        <w:jc w:val="center"/>
        <w:rPr>
          <w:rFonts w:ascii="宋体" w:hAnsi="宋体"/>
          <w:color w:val="000000"/>
          <w:szCs w:val="24"/>
        </w:rPr>
      </w:pPr>
      <w:r>
        <w:rPr>
          <w:rFonts w:hint="eastAsia" w:ascii="宋体" w:hAnsi="宋体"/>
          <w:color w:val="000000"/>
          <w:szCs w:val="24"/>
        </w:rPr>
        <w:t>（仅适用于以支票、汇票、本票、转账等非现金形式提交磋商保证金）</w:t>
      </w:r>
    </w:p>
    <w:p>
      <w:pPr>
        <w:wordWrap w:val="0"/>
        <w:autoSpaceDE w:val="0"/>
        <w:autoSpaceDN w:val="0"/>
        <w:rPr>
          <w:rFonts w:ascii="宋体" w:hAnsi="宋体"/>
          <w:color w:val="000000"/>
          <w:szCs w:val="24"/>
        </w:rPr>
      </w:pPr>
      <w:r>
        <w:rPr>
          <w:rFonts w:hint="eastAsia" w:ascii="宋体" w:hAnsi="宋体"/>
          <w:color w:val="000000"/>
          <w:szCs w:val="24"/>
        </w:rPr>
        <w:t>广东华伦招标有限公司：</w:t>
      </w:r>
    </w:p>
    <w:p>
      <w:pPr>
        <w:wordWrap w:val="0"/>
        <w:autoSpaceDE w:val="0"/>
        <w:autoSpaceDN w:val="0"/>
        <w:ind w:firstLine="480" w:firstLineChars="200"/>
        <w:rPr>
          <w:rFonts w:ascii="宋体" w:hAnsi="宋体"/>
          <w:color w:val="000000"/>
          <w:szCs w:val="24"/>
        </w:rPr>
      </w:pPr>
      <w:r>
        <w:rPr>
          <w:rFonts w:hint="eastAsia" w:ascii="宋体" w:hAnsi="宋体"/>
          <w:color w:val="000000"/>
          <w:szCs w:val="24"/>
        </w:rPr>
        <w:t>我方为“</w:t>
      </w:r>
      <w:r>
        <w:rPr>
          <w:rFonts w:hint="eastAsia" w:ascii="宋体" w:hAnsi="宋体"/>
          <w:color w:val="000000"/>
          <w:szCs w:val="24"/>
          <w:u w:val="single"/>
        </w:rPr>
        <w:t>2026-2027年广州白云机场海关南1、2号楼物业管理服务</w:t>
      </w:r>
      <w:r>
        <w:rPr>
          <w:rFonts w:hint="eastAsia" w:ascii="宋体" w:hAnsi="宋体"/>
          <w:color w:val="000000"/>
          <w:szCs w:val="24"/>
        </w:rPr>
        <w:t>”（采购文件编号：</w:t>
      </w:r>
      <w:r>
        <w:rPr>
          <w:rFonts w:hint="eastAsia" w:ascii="宋体" w:hAnsi="宋体"/>
          <w:color w:val="000000"/>
          <w:szCs w:val="24"/>
          <w:u w:val="single"/>
        </w:rPr>
        <w:t>0809-25401GJC302013801</w:t>
      </w:r>
      <w:r>
        <w:rPr>
          <w:rFonts w:hint="eastAsia" w:ascii="宋体" w:hAnsi="宋体"/>
          <w:color w:val="000000"/>
          <w:szCs w:val="24"/>
        </w:rPr>
        <w:t>）提交的磋商保证金，在符合退还条件时请代划入下列账户：</w:t>
      </w:r>
    </w:p>
    <w:tbl>
      <w:tblPr>
        <w:tblStyle w:val="3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2008"/>
        <w:gridCol w:w="72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olor w:val="000000"/>
                <w:szCs w:val="24"/>
              </w:rPr>
            </w:pPr>
            <w:r>
              <w:rPr>
                <w:rFonts w:hint="eastAsia" w:ascii="宋体" w:hAnsi="宋体"/>
                <w:color w:val="000000"/>
                <w:szCs w:val="24"/>
              </w:rPr>
              <w:t>保证金提交方式</w:t>
            </w:r>
          </w:p>
        </w:tc>
        <w:tc>
          <w:tcPr>
            <w:tcW w:w="7201"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olor w:val="000000"/>
                <w:szCs w:val="24"/>
              </w:rPr>
            </w:pPr>
            <w:r>
              <w:rPr>
                <w:rFonts w:hint="eastAsia" w:ascii="宋体" w:hAnsi="宋体"/>
                <w:color w:val="000000"/>
                <w:szCs w:val="24"/>
              </w:rPr>
              <w:t>□银行转账    □银行汇票    □银行支票   □银行本票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7"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olor w:val="000000"/>
                <w:szCs w:val="24"/>
              </w:rPr>
            </w:pPr>
            <w:r>
              <w:rPr>
                <w:rFonts w:hint="eastAsia" w:ascii="宋体" w:hAnsi="宋体"/>
                <w:color w:val="000000"/>
                <w:szCs w:val="24"/>
              </w:rPr>
              <w:t>开 户 人 名 称</w:t>
            </w:r>
          </w:p>
        </w:tc>
        <w:tc>
          <w:tcPr>
            <w:tcW w:w="7201"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7"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olor w:val="000000"/>
                <w:szCs w:val="24"/>
              </w:rPr>
            </w:pPr>
            <w:r>
              <w:rPr>
                <w:rFonts w:hint="eastAsia" w:ascii="宋体" w:hAnsi="宋体"/>
                <w:color w:val="000000"/>
                <w:szCs w:val="24"/>
              </w:rPr>
              <w:t>开  户  银  行</w:t>
            </w:r>
          </w:p>
        </w:tc>
        <w:tc>
          <w:tcPr>
            <w:tcW w:w="7201"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olor w:val="000000"/>
                <w:szCs w:val="24"/>
              </w:rPr>
            </w:pPr>
            <w:r>
              <w:rPr>
                <w:rFonts w:hint="eastAsia" w:ascii="宋体" w:hAnsi="宋体"/>
                <w:color w:val="000000"/>
                <w:szCs w:val="24"/>
              </w:rPr>
              <w:t>银  行  账  号</w:t>
            </w:r>
          </w:p>
        </w:tc>
        <w:tc>
          <w:tcPr>
            <w:tcW w:w="7201"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olor w:val="000000"/>
                <w:szCs w:val="24"/>
              </w:rPr>
            </w:pPr>
            <w:r>
              <w:rPr>
                <w:rFonts w:hint="eastAsia" w:ascii="宋体" w:hAnsi="宋体"/>
                <w:color w:val="000000"/>
                <w:szCs w:val="24"/>
              </w:rPr>
              <w:t>总    金    额</w:t>
            </w:r>
          </w:p>
        </w:tc>
        <w:tc>
          <w:tcPr>
            <w:tcW w:w="7201"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olor w:val="000000"/>
                <w:szCs w:val="24"/>
              </w:rPr>
            </w:pPr>
          </w:p>
        </w:tc>
      </w:tr>
    </w:tbl>
    <w:p>
      <w:pPr>
        <w:wordWrap w:val="0"/>
        <w:autoSpaceDE w:val="0"/>
        <w:autoSpaceDN w:val="0"/>
        <w:rPr>
          <w:rFonts w:ascii="宋体" w:hAnsi="宋体"/>
          <w:color w:val="000000"/>
          <w:szCs w:val="24"/>
        </w:rPr>
      </w:pPr>
      <w:r>
        <w:rPr>
          <w:rFonts w:hint="eastAsia" w:ascii="宋体" w:hAnsi="宋体"/>
          <w:color w:val="000000"/>
          <w:szCs w:val="24"/>
        </w:rPr>
        <w:t>供应商名称（加盖公章）：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供应商法定代表人或授权代表（签字或盖章）：</w:t>
      </w:r>
      <w:r>
        <w:rPr>
          <w:rFonts w:hint="eastAsia" w:ascii="宋体" w:hAnsi="宋体"/>
          <w:color w:val="000000"/>
          <w:szCs w:val="24"/>
          <w:u w:val="single"/>
        </w:rPr>
        <w:t xml:space="preserve">                 </w:t>
      </w:r>
    </w:p>
    <w:p>
      <w:pPr>
        <w:wordWrap w:val="0"/>
        <w:autoSpaceDE w:val="0"/>
        <w:autoSpaceDN w:val="0"/>
        <w:rPr>
          <w:rFonts w:ascii="宋体" w:hAnsi="宋体"/>
          <w:color w:val="000000"/>
          <w:szCs w:val="24"/>
        </w:rPr>
      </w:pPr>
      <w:r>
        <w:rPr>
          <w:rFonts w:hint="eastAsia" w:ascii="宋体" w:hAnsi="宋体"/>
          <w:color w:val="000000"/>
          <w:szCs w:val="24"/>
        </w:rPr>
        <w:t>日期：</w:t>
      </w:r>
      <w:r>
        <w:rPr>
          <w:rFonts w:hint="eastAsia" w:ascii="宋体" w:hAnsi="宋体"/>
          <w:color w:val="000000"/>
          <w:szCs w:val="24"/>
          <w:u w:val="single"/>
        </w:rPr>
        <w:t xml:space="preserve">        </w:t>
      </w:r>
      <w:r>
        <w:rPr>
          <w:rFonts w:hint="eastAsia" w:ascii="宋体" w:hAnsi="宋体"/>
          <w:color w:val="000000"/>
          <w:szCs w:val="24"/>
        </w:rPr>
        <w:t>年</w:t>
      </w:r>
      <w:r>
        <w:rPr>
          <w:rFonts w:hint="eastAsia" w:ascii="宋体" w:hAnsi="宋体"/>
          <w:color w:val="000000"/>
          <w:szCs w:val="24"/>
          <w:u w:val="single"/>
        </w:rPr>
        <w:t xml:space="preserve">    </w:t>
      </w:r>
      <w:r>
        <w:rPr>
          <w:rFonts w:hint="eastAsia" w:ascii="宋体" w:hAnsi="宋体"/>
          <w:color w:val="000000"/>
          <w:szCs w:val="24"/>
        </w:rPr>
        <w:t>月</w:t>
      </w:r>
      <w:r>
        <w:rPr>
          <w:rFonts w:hint="eastAsia" w:ascii="宋体" w:hAnsi="宋体"/>
          <w:color w:val="000000"/>
          <w:szCs w:val="24"/>
          <w:u w:val="single"/>
        </w:rPr>
        <w:t xml:space="preserve">    </w:t>
      </w:r>
      <w:r>
        <w:rPr>
          <w:rFonts w:hint="eastAsia" w:ascii="宋体" w:hAnsi="宋体"/>
          <w:color w:val="000000"/>
          <w:szCs w:val="24"/>
        </w:rPr>
        <w:t>日</w:t>
      </w:r>
    </w:p>
    <w:p>
      <w:pPr>
        <w:wordWrap w:val="0"/>
        <w:autoSpaceDE w:val="0"/>
        <w:autoSpaceDN w:val="0"/>
        <w:ind w:left="480" w:hanging="480" w:hangingChars="200"/>
        <w:rPr>
          <w:rFonts w:ascii="宋体" w:hAnsi="宋体"/>
          <w:b/>
          <w:color w:val="000000"/>
          <w:szCs w:val="24"/>
        </w:rPr>
      </w:pPr>
    </w:p>
    <w:p>
      <w:pPr>
        <w:wordWrap w:val="0"/>
        <w:autoSpaceDE w:val="0"/>
        <w:autoSpaceDN w:val="0"/>
        <w:ind w:left="480" w:hanging="480" w:hangingChars="200"/>
        <w:rPr>
          <w:rFonts w:ascii="宋体" w:hAnsi="宋体"/>
          <w:color w:val="000000"/>
          <w:szCs w:val="24"/>
        </w:rPr>
      </w:pPr>
      <w:r>
        <w:rPr>
          <w:rFonts w:hint="eastAsia" w:ascii="宋体" w:hAnsi="宋体"/>
          <w:b/>
          <w:color w:val="000000"/>
          <w:szCs w:val="24"/>
        </w:rPr>
        <w:t>备注：</w:t>
      </w:r>
      <w:r>
        <w:rPr>
          <w:rFonts w:hint="eastAsia" w:ascii="宋体" w:hAnsi="宋体"/>
          <w:color w:val="000000"/>
          <w:szCs w:val="24"/>
        </w:rPr>
        <w:t>采用其他形式提交磋商保证金的，不须提供此说明。</w:t>
      </w:r>
    </w:p>
    <w:p>
      <w:pPr>
        <w:wordWrap w:val="0"/>
        <w:autoSpaceDE w:val="0"/>
        <w:autoSpaceDN w:val="0"/>
        <w:ind w:firstLine="480" w:firstLineChars="200"/>
        <w:rPr>
          <w:rFonts w:ascii="宋体" w:hAnsi="宋体"/>
          <w:color w:val="000000"/>
          <w:szCs w:val="24"/>
        </w:rPr>
      </w:pPr>
    </w:p>
    <w:p>
      <w:pPr>
        <w:pStyle w:val="5"/>
        <w:numPr>
          <w:ilvl w:val="0"/>
          <w:numId w:val="69"/>
        </w:numPr>
        <w:tabs>
          <w:tab w:val="left" w:pos="945"/>
        </w:tabs>
        <w:spacing w:before="0" w:after="0" w:line="360" w:lineRule="auto"/>
        <w:ind w:left="0" w:firstLine="0"/>
        <w:rPr>
          <w:color w:val="000000"/>
          <w:sz w:val="28"/>
          <w:szCs w:val="28"/>
        </w:rPr>
      </w:pPr>
      <w:bookmarkStart w:id="524" w:name="_Toc55398882"/>
      <w:bookmarkStart w:id="525" w:name="_Toc56180380"/>
      <w:bookmarkStart w:id="526" w:name="_Toc50460273"/>
      <w:r>
        <w:rPr>
          <w:rFonts w:hint="eastAsia"/>
          <w:color w:val="000000"/>
          <w:sz w:val="28"/>
          <w:szCs w:val="28"/>
        </w:rPr>
        <w:br w:type="page"/>
      </w:r>
      <w:r>
        <w:rPr>
          <w:rFonts w:hint="eastAsia"/>
          <w:color w:val="000000"/>
          <w:sz w:val="28"/>
          <w:szCs w:val="28"/>
        </w:rPr>
        <w:t>开票资料说明函</w:t>
      </w:r>
    </w:p>
    <w:p>
      <w:pPr>
        <w:jc w:val="center"/>
        <w:rPr>
          <w:rFonts w:ascii="宋体" w:hAnsi="宋体"/>
          <w:b/>
          <w:color w:val="000000"/>
          <w:sz w:val="32"/>
          <w:szCs w:val="32"/>
        </w:rPr>
      </w:pPr>
      <w:r>
        <w:rPr>
          <w:rFonts w:hint="eastAsia" w:ascii="宋体" w:hAnsi="宋体"/>
          <w:b/>
          <w:color w:val="000000"/>
          <w:sz w:val="32"/>
          <w:szCs w:val="32"/>
        </w:rPr>
        <w:t>开票资料说明函</w:t>
      </w:r>
    </w:p>
    <w:p>
      <w:pPr>
        <w:snapToGrid w:val="0"/>
        <w:rPr>
          <w:rFonts w:ascii="宋体" w:hAnsi="宋体" w:cs="宋体"/>
          <w:b/>
          <w:color w:val="000000"/>
          <w:szCs w:val="24"/>
        </w:rPr>
      </w:pPr>
      <w:r>
        <w:rPr>
          <w:rFonts w:hint="eastAsia" w:ascii="宋体" w:hAnsi="宋体" w:cs="宋体"/>
          <w:b/>
          <w:color w:val="000000"/>
          <w:szCs w:val="24"/>
        </w:rPr>
        <w:t>广东华伦招标有限公司:</w:t>
      </w:r>
    </w:p>
    <w:p>
      <w:pPr>
        <w:snapToGrid w:val="0"/>
        <w:ind w:firstLine="480" w:firstLineChars="200"/>
        <w:rPr>
          <w:rFonts w:ascii="宋体" w:hAnsi="宋体" w:cs="宋体"/>
          <w:color w:val="000000"/>
          <w:szCs w:val="24"/>
        </w:rPr>
      </w:pPr>
      <w:r>
        <w:rPr>
          <w:rFonts w:hint="eastAsia" w:ascii="宋体" w:hAnsi="宋体" w:cs="宋体"/>
          <w:color w:val="000000"/>
          <w:szCs w:val="24"/>
        </w:rPr>
        <w:t>本单位</w:t>
      </w:r>
      <w:r>
        <w:rPr>
          <w:rFonts w:hint="eastAsia" w:ascii="宋体" w:hAnsi="宋体" w:cs="宋体"/>
          <w:color w:val="000000"/>
          <w:szCs w:val="24"/>
          <w:u w:val="single"/>
        </w:rPr>
        <w:t xml:space="preserve">       (供应商名称)      </w:t>
      </w:r>
      <w:r>
        <w:rPr>
          <w:rFonts w:hint="eastAsia" w:ascii="宋体" w:hAnsi="宋体" w:cs="宋体"/>
          <w:color w:val="000000"/>
          <w:szCs w:val="24"/>
        </w:rPr>
        <w:t>在参加在贵公司举行的</w:t>
      </w:r>
      <w:r>
        <w:rPr>
          <w:rFonts w:hint="eastAsia" w:ascii="宋体" w:hAnsi="宋体" w:cs="宋体"/>
          <w:color w:val="000000"/>
          <w:szCs w:val="24"/>
          <w:u w:val="single"/>
        </w:rPr>
        <w:t xml:space="preserve">       (项目名称)      </w:t>
      </w:r>
      <w:r>
        <w:rPr>
          <w:rFonts w:hint="eastAsia" w:ascii="宋体" w:hAnsi="宋体" w:cs="宋体"/>
          <w:color w:val="000000"/>
          <w:szCs w:val="24"/>
        </w:rPr>
        <w:t>(采购文件编号：</w:t>
      </w:r>
      <w:r>
        <w:rPr>
          <w:rFonts w:hint="eastAsia" w:ascii="宋体" w:hAnsi="宋体" w:cs="宋体"/>
          <w:color w:val="000000"/>
          <w:szCs w:val="24"/>
          <w:u w:val="single"/>
        </w:rPr>
        <w:t xml:space="preserve">          </w:t>
      </w:r>
      <w:r>
        <w:rPr>
          <w:rFonts w:hint="eastAsia" w:ascii="宋体" w:hAnsi="宋体" w:cs="宋体"/>
          <w:color w:val="000000"/>
          <w:szCs w:val="24"/>
        </w:rPr>
        <w:t>)的采购中如获中标（成交），则开票类型选择（</w:t>
      </w:r>
      <w:r>
        <w:rPr>
          <w:rFonts w:hint="eastAsia" w:ascii="宋体" w:hAnsi="宋体" w:cs="宋体"/>
          <w:b/>
          <w:color w:val="000000"/>
          <w:szCs w:val="24"/>
        </w:rPr>
        <w:t>请在对应的“□”打“√”，且只能选择其中一项）</w:t>
      </w:r>
    </w:p>
    <w:p>
      <w:pPr>
        <w:snapToGrid w:val="0"/>
        <w:ind w:firstLine="480" w:firstLineChars="200"/>
        <w:rPr>
          <w:rFonts w:ascii="宋体" w:hAnsi="宋体" w:cs="宋体"/>
          <w:b/>
          <w:color w:val="000000"/>
          <w:szCs w:val="24"/>
          <w:u w:val="single"/>
        </w:rPr>
      </w:pPr>
      <w:r>
        <w:rPr>
          <w:rFonts w:hint="eastAsia" w:ascii="宋体" w:hAnsi="宋体" w:cs="宋体"/>
          <w:b/>
          <w:color w:val="000000"/>
          <w:szCs w:val="24"/>
        </w:rPr>
        <w:t>□</w:t>
      </w:r>
      <w:r>
        <w:rPr>
          <w:rFonts w:hint="eastAsia" w:ascii="宋体" w:hAnsi="宋体" w:cs="宋体"/>
          <w:b/>
          <w:color w:val="000000"/>
          <w:szCs w:val="24"/>
          <w:u w:val="single"/>
        </w:rPr>
        <w:t xml:space="preserve">增值税普通发票  </w:t>
      </w:r>
      <w:r>
        <w:rPr>
          <w:rFonts w:hint="eastAsia" w:ascii="宋体" w:hAnsi="宋体" w:cs="宋体"/>
          <w:b/>
          <w:color w:val="000000"/>
          <w:szCs w:val="24"/>
        </w:rPr>
        <w:t xml:space="preserve"> ；</w:t>
      </w:r>
      <w:r>
        <w:rPr>
          <w:rFonts w:hint="eastAsia" w:ascii="宋体" w:hAnsi="宋体" w:cs="宋体"/>
          <w:b/>
          <w:color w:val="000000"/>
          <w:szCs w:val="24"/>
          <w:u w:val="single"/>
        </w:rPr>
        <w:t xml:space="preserve"> </w:t>
      </w:r>
      <w:r>
        <w:rPr>
          <w:rFonts w:hint="eastAsia" w:ascii="宋体" w:hAnsi="宋体" w:cs="宋体"/>
          <w:b/>
          <w:color w:val="000000"/>
          <w:szCs w:val="24"/>
        </w:rPr>
        <w:t>□</w:t>
      </w:r>
      <w:r>
        <w:rPr>
          <w:rFonts w:hint="eastAsia" w:ascii="宋体" w:hAnsi="宋体" w:cs="宋体"/>
          <w:b/>
          <w:color w:val="000000"/>
          <w:szCs w:val="24"/>
          <w:u w:val="single"/>
        </w:rPr>
        <w:t>增值税专用发票。</w:t>
      </w:r>
    </w:p>
    <w:p>
      <w:pPr>
        <w:snapToGrid w:val="0"/>
        <w:ind w:firstLine="480" w:firstLineChars="200"/>
        <w:rPr>
          <w:rFonts w:ascii="宋体" w:hAnsi="宋体" w:cs="宋体"/>
          <w:color w:val="000000"/>
          <w:szCs w:val="24"/>
        </w:rPr>
      </w:pPr>
      <w:r>
        <w:rPr>
          <w:rFonts w:hint="eastAsia" w:ascii="宋体" w:hAnsi="宋体" w:cs="宋体"/>
          <w:color w:val="000000"/>
          <w:szCs w:val="24"/>
        </w:rPr>
        <w:t>以及我单位的开票资料如下：</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71"/>
        <w:gridCol w:w="3763"/>
        <w:gridCol w:w="1179"/>
        <w:gridCol w:w="16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tcBorders>
              <w:top w:val="single" w:color="auto" w:sz="12" w:space="0"/>
              <w:left w:val="single" w:color="auto" w:sz="12" w:space="0"/>
              <w:bottom w:val="single" w:color="auto" w:sz="4" w:space="0"/>
              <w:right w:val="single" w:color="auto" w:sz="4" w:space="0"/>
            </w:tcBorders>
            <w:vAlign w:val="center"/>
          </w:tcPr>
          <w:p>
            <w:pPr>
              <w:adjustRightInd w:val="0"/>
              <w:spacing w:line="360" w:lineRule="atLeast"/>
              <w:jc w:val="center"/>
              <w:textAlignment w:val="baseline"/>
              <w:rPr>
                <w:rFonts w:ascii="宋体" w:hAnsi="宋体" w:cs="宋体"/>
                <w:color w:val="000000"/>
                <w:szCs w:val="24"/>
              </w:rPr>
            </w:pPr>
            <w:r>
              <w:rPr>
                <w:rFonts w:hint="eastAsia" w:ascii="宋体" w:hAnsi="宋体" w:cs="宋体"/>
                <w:color w:val="000000"/>
                <w:szCs w:val="24"/>
              </w:rPr>
              <w:t>单位名称</w:t>
            </w:r>
          </w:p>
        </w:tc>
        <w:tc>
          <w:tcPr>
            <w:tcW w:w="6607" w:type="dxa"/>
            <w:gridSpan w:val="3"/>
            <w:tcBorders>
              <w:top w:val="single" w:color="auto" w:sz="12" w:space="0"/>
              <w:left w:val="single" w:color="auto" w:sz="4" w:space="0"/>
              <w:bottom w:val="single" w:color="auto" w:sz="4" w:space="0"/>
              <w:right w:val="single" w:color="auto" w:sz="12" w:space="0"/>
            </w:tcBorders>
            <w:vAlign w:val="center"/>
          </w:tcPr>
          <w:p>
            <w:pPr>
              <w:adjustRightInd w:val="0"/>
              <w:spacing w:line="360" w:lineRule="atLeast"/>
              <w:jc w:val="center"/>
              <w:textAlignment w:val="baseline"/>
              <w:rPr>
                <w:rFonts w:ascii="宋体" w:hAnsi="宋体" w:cs="宋体"/>
                <w:color w:val="000000"/>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tcBorders>
              <w:top w:val="single" w:color="auto" w:sz="4" w:space="0"/>
              <w:left w:val="single" w:color="auto" w:sz="12" w:space="0"/>
              <w:bottom w:val="single" w:color="auto" w:sz="4" w:space="0"/>
              <w:right w:val="single" w:color="auto" w:sz="4" w:space="0"/>
            </w:tcBorders>
            <w:vAlign w:val="center"/>
          </w:tcPr>
          <w:p>
            <w:pPr>
              <w:adjustRightInd w:val="0"/>
              <w:spacing w:line="360" w:lineRule="atLeast"/>
              <w:jc w:val="center"/>
              <w:textAlignment w:val="baseline"/>
              <w:rPr>
                <w:rFonts w:ascii="宋体" w:hAnsi="宋体" w:cs="宋体"/>
                <w:color w:val="000000"/>
                <w:szCs w:val="24"/>
              </w:rPr>
            </w:pPr>
            <w:r>
              <w:rPr>
                <w:rFonts w:hint="eastAsia" w:ascii="宋体" w:hAnsi="宋体" w:cs="宋体"/>
                <w:color w:val="000000"/>
                <w:szCs w:val="24"/>
              </w:rPr>
              <w:t>纳税人识别号</w:t>
            </w:r>
          </w:p>
        </w:tc>
        <w:tc>
          <w:tcPr>
            <w:tcW w:w="6607" w:type="dxa"/>
            <w:gridSpan w:val="3"/>
            <w:tcBorders>
              <w:top w:val="single" w:color="auto" w:sz="4" w:space="0"/>
              <w:left w:val="single" w:color="auto" w:sz="4" w:space="0"/>
              <w:bottom w:val="single" w:color="auto" w:sz="4" w:space="0"/>
              <w:right w:val="single" w:color="auto" w:sz="12" w:space="0"/>
            </w:tcBorders>
            <w:vAlign w:val="center"/>
          </w:tcPr>
          <w:p>
            <w:pPr>
              <w:adjustRightInd w:val="0"/>
              <w:spacing w:line="360" w:lineRule="atLeast"/>
              <w:jc w:val="center"/>
              <w:textAlignment w:val="baseline"/>
              <w:rPr>
                <w:rFonts w:ascii="宋体" w:hAnsi="宋体" w:cs="宋体"/>
                <w:color w:val="000000"/>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tcBorders>
              <w:top w:val="single" w:color="auto" w:sz="4" w:space="0"/>
              <w:left w:val="single" w:color="auto" w:sz="12" w:space="0"/>
              <w:bottom w:val="single" w:color="auto" w:sz="4" w:space="0"/>
              <w:right w:val="single" w:color="auto" w:sz="4" w:space="0"/>
            </w:tcBorders>
            <w:vAlign w:val="center"/>
          </w:tcPr>
          <w:p>
            <w:pPr>
              <w:adjustRightInd w:val="0"/>
              <w:spacing w:line="360" w:lineRule="atLeast"/>
              <w:jc w:val="center"/>
              <w:textAlignment w:val="baseline"/>
              <w:rPr>
                <w:rFonts w:ascii="宋体" w:hAnsi="宋体" w:cs="宋体"/>
                <w:color w:val="000000"/>
                <w:szCs w:val="24"/>
              </w:rPr>
            </w:pPr>
            <w:r>
              <w:rPr>
                <w:rFonts w:hint="eastAsia" w:ascii="宋体" w:hAnsi="宋体" w:cs="宋体"/>
                <w:color w:val="000000"/>
                <w:szCs w:val="24"/>
              </w:rPr>
              <w:t>地址</w:t>
            </w:r>
          </w:p>
        </w:tc>
        <w:tc>
          <w:tcPr>
            <w:tcW w:w="6607" w:type="dxa"/>
            <w:gridSpan w:val="3"/>
            <w:tcBorders>
              <w:top w:val="single" w:color="auto" w:sz="4" w:space="0"/>
              <w:left w:val="single" w:color="auto" w:sz="4" w:space="0"/>
              <w:bottom w:val="single" w:color="auto" w:sz="4" w:space="0"/>
              <w:right w:val="single" w:color="auto" w:sz="12" w:space="0"/>
            </w:tcBorders>
            <w:vAlign w:val="center"/>
          </w:tcPr>
          <w:p>
            <w:pPr>
              <w:adjustRightInd w:val="0"/>
              <w:spacing w:line="360" w:lineRule="atLeast"/>
              <w:jc w:val="center"/>
              <w:textAlignment w:val="baseline"/>
              <w:rPr>
                <w:rFonts w:ascii="宋体" w:hAnsi="宋体" w:cs="宋体"/>
                <w:color w:val="000000"/>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2471" w:type="dxa"/>
            <w:tcBorders>
              <w:top w:val="single" w:color="auto" w:sz="4" w:space="0"/>
              <w:left w:val="single" w:color="auto" w:sz="12" w:space="0"/>
              <w:bottom w:val="single" w:color="auto" w:sz="4" w:space="0"/>
              <w:right w:val="single" w:color="auto" w:sz="4" w:space="0"/>
            </w:tcBorders>
            <w:vAlign w:val="center"/>
          </w:tcPr>
          <w:p>
            <w:pPr>
              <w:adjustRightInd w:val="0"/>
              <w:spacing w:line="360" w:lineRule="atLeast"/>
              <w:jc w:val="center"/>
              <w:textAlignment w:val="baseline"/>
              <w:rPr>
                <w:rFonts w:ascii="宋体" w:hAnsi="宋体" w:cs="宋体"/>
                <w:color w:val="000000"/>
                <w:szCs w:val="24"/>
              </w:rPr>
            </w:pPr>
            <w:r>
              <w:rPr>
                <w:rFonts w:hint="eastAsia" w:ascii="宋体" w:hAnsi="宋体" w:cs="宋体"/>
                <w:color w:val="000000"/>
                <w:szCs w:val="24"/>
              </w:rPr>
              <w:t>开户银行</w:t>
            </w:r>
            <w:r>
              <w:rPr>
                <w:rFonts w:hint="eastAsia" w:ascii="宋体" w:hAnsi="宋体" w:cs="宋体"/>
                <w:color w:val="000000"/>
                <w:szCs w:val="24"/>
              </w:rPr>
              <w:br w:type="textWrapping"/>
            </w:r>
            <w:r>
              <w:rPr>
                <w:rFonts w:hint="eastAsia" w:ascii="宋体" w:hAnsi="宋体" w:cs="宋体"/>
                <w:color w:val="000000"/>
                <w:szCs w:val="24"/>
              </w:rPr>
              <w:t>（具体到XX银行XX支行）</w:t>
            </w:r>
          </w:p>
        </w:tc>
        <w:tc>
          <w:tcPr>
            <w:tcW w:w="3763"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tLeast"/>
              <w:jc w:val="center"/>
              <w:textAlignment w:val="baseline"/>
              <w:rPr>
                <w:rFonts w:ascii="宋体" w:hAnsi="宋体" w:cs="宋体"/>
                <w:color w:val="000000"/>
                <w:szCs w:val="24"/>
              </w:rPr>
            </w:pPr>
          </w:p>
        </w:tc>
        <w:tc>
          <w:tcPr>
            <w:tcW w:w="1179"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tLeast"/>
              <w:jc w:val="center"/>
              <w:textAlignment w:val="baseline"/>
              <w:rPr>
                <w:rFonts w:ascii="宋体" w:hAnsi="宋体" w:cs="宋体"/>
                <w:color w:val="000000"/>
                <w:szCs w:val="24"/>
              </w:rPr>
            </w:pPr>
            <w:r>
              <w:rPr>
                <w:rFonts w:hint="eastAsia" w:ascii="宋体" w:hAnsi="宋体" w:cs="宋体"/>
                <w:color w:val="000000"/>
                <w:szCs w:val="24"/>
              </w:rPr>
              <w:t>联系电话</w:t>
            </w:r>
          </w:p>
        </w:tc>
        <w:tc>
          <w:tcPr>
            <w:tcW w:w="1665" w:type="dxa"/>
            <w:tcBorders>
              <w:top w:val="single" w:color="auto" w:sz="4" w:space="0"/>
              <w:left w:val="single" w:color="auto" w:sz="4" w:space="0"/>
              <w:bottom w:val="single" w:color="auto" w:sz="4" w:space="0"/>
              <w:right w:val="single" w:color="auto" w:sz="12" w:space="0"/>
            </w:tcBorders>
            <w:vAlign w:val="center"/>
          </w:tcPr>
          <w:p>
            <w:pPr>
              <w:adjustRightInd w:val="0"/>
              <w:spacing w:line="360" w:lineRule="atLeast"/>
              <w:jc w:val="center"/>
              <w:textAlignment w:val="baseline"/>
              <w:rPr>
                <w:rFonts w:ascii="宋体" w:hAnsi="宋体" w:cs="宋体"/>
                <w:color w:val="000000"/>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tcBorders>
              <w:top w:val="single" w:color="auto" w:sz="4" w:space="0"/>
              <w:left w:val="single" w:color="auto" w:sz="12" w:space="0"/>
              <w:bottom w:val="single" w:color="auto" w:sz="4" w:space="0"/>
              <w:right w:val="single" w:color="auto" w:sz="4" w:space="0"/>
            </w:tcBorders>
            <w:vAlign w:val="center"/>
          </w:tcPr>
          <w:p>
            <w:pPr>
              <w:adjustRightInd w:val="0"/>
              <w:spacing w:line="360" w:lineRule="atLeast"/>
              <w:jc w:val="center"/>
              <w:textAlignment w:val="baseline"/>
              <w:rPr>
                <w:rFonts w:ascii="宋体" w:hAnsi="宋体" w:cs="宋体"/>
                <w:color w:val="000000"/>
                <w:szCs w:val="24"/>
              </w:rPr>
            </w:pPr>
            <w:r>
              <w:rPr>
                <w:rFonts w:hint="eastAsia" w:ascii="宋体" w:hAnsi="宋体" w:cs="宋体"/>
                <w:color w:val="000000"/>
                <w:szCs w:val="24"/>
              </w:rPr>
              <w:t>账    号</w:t>
            </w:r>
          </w:p>
        </w:tc>
        <w:tc>
          <w:tcPr>
            <w:tcW w:w="3763"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tLeast"/>
              <w:jc w:val="center"/>
              <w:textAlignment w:val="baseline"/>
              <w:rPr>
                <w:rFonts w:ascii="宋体" w:hAnsi="宋体" w:cs="宋体"/>
                <w:color w:val="000000"/>
                <w:szCs w:val="24"/>
              </w:rPr>
            </w:pPr>
          </w:p>
        </w:tc>
        <w:tc>
          <w:tcPr>
            <w:tcW w:w="1179"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tLeast"/>
              <w:jc w:val="center"/>
              <w:textAlignment w:val="baseline"/>
              <w:rPr>
                <w:rFonts w:ascii="宋体" w:hAnsi="宋体" w:cs="宋体"/>
                <w:color w:val="000000"/>
                <w:szCs w:val="24"/>
              </w:rPr>
            </w:pPr>
            <w:r>
              <w:rPr>
                <w:rFonts w:hint="eastAsia" w:ascii="宋体" w:hAnsi="宋体" w:cs="宋体"/>
                <w:color w:val="000000"/>
                <w:szCs w:val="24"/>
              </w:rPr>
              <w:t>联系人</w:t>
            </w:r>
          </w:p>
        </w:tc>
        <w:tc>
          <w:tcPr>
            <w:tcW w:w="1665" w:type="dxa"/>
            <w:tcBorders>
              <w:top w:val="single" w:color="auto" w:sz="4" w:space="0"/>
              <w:left w:val="single" w:color="auto" w:sz="4" w:space="0"/>
              <w:bottom w:val="single" w:color="auto" w:sz="4" w:space="0"/>
              <w:right w:val="single" w:color="auto" w:sz="12" w:space="0"/>
            </w:tcBorders>
            <w:vAlign w:val="center"/>
          </w:tcPr>
          <w:p>
            <w:pPr>
              <w:adjustRightInd w:val="0"/>
              <w:spacing w:line="360" w:lineRule="atLeast"/>
              <w:jc w:val="center"/>
              <w:textAlignment w:val="baseline"/>
              <w:rPr>
                <w:rFonts w:ascii="宋体" w:hAnsi="宋体" w:cs="宋体"/>
                <w:color w:val="000000"/>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78" w:type="dxa"/>
            <w:gridSpan w:val="4"/>
            <w:tcBorders>
              <w:top w:val="single" w:color="auto" w:sz="4" w:space="0"/>
              <w:left w:val="single" w:color="auto" w:sz="12" w:space="0"/>
              <w:bottom w:val="single" w:color="auto" w:sz="12" w:space="0"/>
              <w:right w:val="single" w:color="auto" w:sz="12" w:space="0"/>
            </w:tcBorders>
            <w:vAlign w:val="center"/>
          </w:tcPr>
          <w:p>
            <w:pPr>
              <w:adjustRightInd w:val="0"/>
              <w:spacing w:line="360" w:lineRule="atLeast"/>
              <w:textAlignment w:val="baseline"/>
              <w:rPr>
                <w:rFonts w:ascii="宋体" w:hAnsi="宋体" w:cs="宋体"/>
                <w:b/>
                <w:color w:val="000000"/>
                <w:szCs w:val="24"/>
              </w:rPr>
            </w:pPr>
            <w:r>
              <w:rPr>
                <w:rFonts w:hint="eastAsia" w:ascii="宋体" w:hAnsi="宋体" w:cs="宋体"/>
                <w:b/>
                <w:color w:val="000000"/>
                <w:szCs w:val="24"/>
              </w:rPr>
              <w:t>附件：一般纳税人资格认定税务通知书或其他可证明具有该项资格证明文件的复印件。（加盖公章）</w:t>
            </w:r>
          </w:p>
        </w:tc>
      </w:tr>
    </w:tbl>
    <w:p>
      <w:pPr>
        <w:ind w:firstLine="480" w:firstLineChars="200"/>
        <w:rPr>
          <w:rFonts w:ascii="宋体" w:hAnsi="宋体"/>
          <w:color w:val="000000"/>
          <w:szCs w:val="24"/>
        </w:rPr>
      </w:pPr>
      <w:r>
        <w:rPr>
          <w:rFonts w:hint="eastAsia" w:ascii="宋体" w:hAnsi="宋体" w:cs="宋体"/>
          <w:color w:val="000000"/>
          <w:szCs w:val="24"/>
        </w:rPr>
        <w:t>响应截止日，如我单位未按该要求填写、未提供有效的开票资料、未确认开具发票类型或确认的发票类型有误，则视为</w:t>
      </w:r>
      <w:r>
        <w:rPr>
          <w:rFonts w:hint="eastAsia" w:ascii="宋体" w:hAnsi="宋体" w:cs="宋体"/>
          <w:b/>
          <w:color w:val="000000"/>
          <w:szCs w:val="24"/>
          <w:u w:val="single"/>
        </w:rPr>
        <w:t>开具增值税普通发票</w:t>
      </w:r>
      <w:r>
        <w:rPr>
          <w:rFonts w:hint="eastAsia" w:ascii="宋体" w:hAnsi="宋体" w:cs="宋体"/>
          <w:color w:val="000000"/>
          <w:szCs w:val="24"/>
        </w:rPr>
        <w:t>。同意</w:t>
      </w:r>
      <w:r>
        <w:rPr>
          <w:rFonts w:hint="eastAsia" w:ascii="宋体" w:hAnsi="宋体" w:cs="宋体"/>
          <w:b/>
          <w:color w:val="000000"/>
          <w:szCs w:val="24"/>
        </w:rPr>
        <w:t>广东华伦招标有限公司</w:t>
      </w:r>
      <w:r>
        <w:rPr>
          <w:rFonts w:hint="eastAsia" w:ascii="宋体" w:hAnsi="宋体" w:cs="宋体"/>
          <w:color w:val="000000"/>
          <w:szCs w:val="24"/>
        </w:rPr>
        <w:t>不予更换发票类型，并愿承担由此引起的一切后果。</w:t>
      </w:r>
    </w:p>
    <w:p>
      <w:pPr>
        <w:ind w:firstLine="480" w:firstLineChars="200"/>
        <w:rPr>
          <w:rFonts w:ascii="宋体" w:hAnsi="宋体" w:cs="宋体"/>
          <w:color w:val="000000"/>
          <w:szCs w:val="24"/>
        </w:rPr>
      </w:pPr>
      <w:r>
        <w:rPr>
          <w:rFonts w:hint="eastAsia" w:ascii="宋体" w:hAnsi="宋体" w:cs="宋体"/>
          <w:color w:val="000000"/>
          <w:szCs w:val="24"/>
        </w:rPr>
        <w:t xml:space="preserve"> </w:t>
      </w:r>
    </w:p>
    <w:p>
      <w:pPr>
        <w:snapToGrid w:val="0"/>
        <w:spacing w:line="520" w:lineRule="exact"/>
        <w:ind w:left="780" w:right="480"/>
        <w:jc w:val="center"/>
        <w:rPr>
          <w:rFonts w:ascii="宋体" w:hAnsi="宋体" w:cs="宋体"/>
          <w:color w:val="000000"/>
          <w:szCs w:val="24"/>
        </w:rPr>
      </w:pPr>
      <w:r>
        <w:rPr>
          <w:rFonts w:hint="eastAsia" w:ascii="宋体" w:hAnsi="宋体" w:cs="宋体"/>
          <w:color w:val="000000"/>
          <w:szCs w:val="24"/>
        </w:rPr>
        <w:t>供应商名称（单位盖</w:t>
      </w:r>
      <w:r>
        <w:rPr>
          <w:rFonts w:hint="eastAsia" w:ascii="宋体" w:hAnsi="宋体" w:cs="宋体"/>
          <w:color w:val="000000"/>
          <w:spacing w:val="4"/>
          <w:szCs w:val="24"/>
        </w:rPr>
        <w:t>公章</w:t>
      </w:r>
      <w:r>
        <w:rPr>
          <w:rFonts w:hint="eastAsia" w:ascii="宋体" w:hAnsi="宋体" w:cs="宋体"/>
          <w:color w:val="000000"/>
          <w:szCs w:val="24"/>
        </w:rPr>
        <w:t>）：</w:t>
      </w:r>
    </w:p>
    <w:p>
      <w:pPr>
        <w:snapToGrid w:val="0"/>
        <w:spacing w:line="520" w:lineRule="exact"/>
        <w:ind w:firstLine="4800" w:firstLineChars="2000"/>
        <w:rPr>
          <w:rFonts w:ascii="宋体" w:hAnsi="宋体" w:cs="宋体"/>
          <w:color w:val="000000"/>
          <w:szCs w:val="24"/>
        </w:rPr>
      </w:pPr>
      <w:r>
        <w:rPr>
          <w:rFonts w:hint="eastAsia" w:ascii="宋体" w:hAnsi="宋体" w:cs="宋体"/>
          <w:color w:val="000000"/>
          <w:szCs w:val="24"/>
        </w:rPr>
        <w:t>供应商地址：</w:t>
      </w:r>
    </w:p>
    <w:p>
      <w:pPr>
        <w:wordWrap w:val="0"/>
        <w:autoSpaceDE w:val="0"/>
        <w:autoSpaceDN w:val="0"/>
        <w:rPr>
          <w:rFonts w:ascii="宋体" w:hAnsi="宋体"/>
          <w:color w:val="000000"/>
          <w:szCs w:val="24"/>
        </w:rPr>
      </w:pPr>
    </w:p>
    <w:p>
      <w:pPr>
        <w:pStyle w:val="5"/>
        <w:numPr>
          <w:ilvl w:val="0"/>
          <w:numId w:val="69"/>
        </w:numPr>
        <w:tabs>
          <w:tab w:val="left" w:pos="945"/>
        </w:tabs>
        <w:spacing w:before="0" w:after="0" w:line="360" w:lineRule="auto"/>
        <w:ind w:left="0" w:firstLine="0"/>
        <w:rPr>
          <w:color w:val="000000"/>
          <w:sz w:val="28"/>
          <w:szCs w:val="28"/>
        </w:rPr>
      </w:pPr>
      <w:r>
        <w:rPr>
          <w:rFonts w:hint="eastAsia"/>
          <w:color w:val="000000"/>
          <w:sz w:val="28"/>
          <w:szCs w:val="28"/>
        </w:rPr>
        <w:br w:type="page"/>
      </w:r>
      <w:r>
        <w:rPr>
          <w:rFonts w:hint="eastAsia"/>
          <w:color w:val="000000"/>
          <w:sz w:val="28"/>
          <w:szCs w:val="28"/>
        </w:rPr>
        <w:t>其他附件（如有）</w:t>
      </w:r>
      <w:bookmarkEnd w:id="524"/>
      <w:bookmarkEnd w:id="525"/>
      <w:bookmarkEnd w:id="526"/>
    </w:p>
    <w:p>
      <w:pPr>
        <w:wordWrap w:val="0"/>
        <w:autoSpaceDE w:val="0"/>
        <w:autoSpaceDN w:val="0"/>
        <w:ind w:firstLine="480" w:firstLineChars="200"/>
        <w:rPr>
          <w:rFonts w:ascii="宋体" w:hAnsi="宋体"/>
          <w:szCs w:val="24"/>
        </w:rPr>
      </w:pPr>
      <w:r>
        <w:rPr>
          <w:rFonts w:hint="eastAsia" w:ascii="宋体" w:hAnsi="宋体"/>
          <w:szCs w:val="24"/>
        </w:rPr>
        <w:t>1.请提供附件详细清单并标注附件所在页码范围（格式及内容自定）。</w:t>
      </w:r>
    </w:p>
    <w:p>
      <w:pPr>
        <w:ind w:firstLine="480"/>
      </w:pPr>
      <w:r>
        <w:rPr>
          <w:rFonts w:hint="eastAsia"/>
        </w:rPr>
        <w:t>2.如响应供应商提出需要采购人提供的附加条件的，可参考以下格式提供。</w:t>
      </w:r>
    </w:p>
    <w:p>
      <w:pPr>
        <w:jc w:val="center"/>
      </w:pPr>
      <w:r>
        <w:rPr>
          <w:rFonts w:hint="eastAsia" w:ascii="宋体" w:hAnsi="宋体"/>
          <w:b/>
          <w:sz w:val="32"/>
          <w:szCs w:val="32"/>
        </w:rPr>
        <w:t>需要采购人提供的附加条件</w:t>
      </w:r>
    </w:p>
    <w:tbl>
      <w:tblPr>
        <w:tblStyle w:val="30"/>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78"/>
        <w:gridCol w:w="732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78" w:type="dxa"/>
          </w:tcPr>
          <w:p>
            <w:pPr>
              <w:rPr>
                <w:b/>
                <w:bCs/>
              </w:rPr>
            </w:pPr>
            <w:r>
              <w:rPr>
                <w:b/>
                <w:bCs/>
              </w:rPr>
              <w:t>序号</w:t>
            </w:r>
          </w:p>
        </w:tc>
        <w:tc>
          <w:tcPr>
            <w:tcW w:w="7328" w:type="dxa"/>
          </w:tcPr>
          <w:p>
            <w:pPr>
              <w:rPr>
                <w:b/>
                <w:bCs/>
              </w:rPr>
            </w:pPr>
            <w:r>
              <w:rPr>
                <w:rFonts w:hint="eastAsia"/>
                <w:b/>
                <w:bCs/>
              </w:rPr>
              <w:t>响应供应商</w:t>
            </w:r>
            <w:r>
              <w:rPr>
                <w:b/>
                <w:bCs/>
              </w:rPr>
              <w:t>需要采购人提供的附加条件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78" w:type="dxa"/>
          </w:tcPr>
          <w:p>
            <w:pPr>
              <w:jc w:val="center"/>
            </w:pPr>
            <w:r>
              <w:t>1</w:t>
            </w:r>
          </w:p>
        </w:tc>
        <w:tc>
          <w:tcPr>
            <w:tcW w:w="732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978" w:type="dxa"/>
          </w:tcPr>
          <w:p>
            <w:pPr>
              <w:jc w:val="center"/>
            </w:pPr>
            <w:r>
              <w:t>2</w:t>
            </w:r>
          </w:p>
        </w:tc>
        <w:tc>
          <w:tcPr>
            <w:tcW w:w="7328" w:type="dxa"/>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c>
          <w:tcPr>
            <w:tcW w:w="978" w:type="dxa"/>
          </w:tcPr>
          <w:p>
            <w:pPr>
              <w:jc w:val="center"/>
            </w:pPr>
            <w:r>
              <w:t>3</w:t>
            </w:r>
          </w:p>
        </w:tc>
        <w:tc>
          <w:tcPr>
            <w:tcW w:w="7328" w:type="dxa"/>
          </w:tcPr>
          <w:p/>
        </w:tc>
      </w:tr>
    </w:tbl>
    <w:p>
      <w:pPr>
        <w:wordWrap w:val="0"/>
        <w:autoSpaceDE w:val="0"/>
        <w:autoSpaceDN w:val="0"/>
        <w:rPr>
          <w:rFonts w:ascii="宋体" w:hAnsi="宋体"/>
          <w:szCs w:val="24"/>
        </w:rPr>
      </w:pPr>
      <w:r>
        <w:rPr>
          <w:rFonts w:hint="eastAsia"/>
          <w:b/>
          <w:bCs/>
        </w:rPr>
        <w:t>备注</w:t>
      </w:r>
      <w:r>
        <w:rPr>
          <w:b/>
          <w:bCs/>
        </w:rPr>
        <w:t>：</w:t>
      </w:r>
      <w:r>
        <w:rPr>
          <w:rFonts w:hint="eastAsia"/>
        </w:rPr>
        <w:t>响应供应商</w:t>
      </w:r>
      <w:r>
        <w:t>完成本项目</w:t>
      </w:r>
      <w:r>
        <w:rPr>
          <w:rFonts w:hint="eastAsia"/>
        </w:rPr>
        <w:t>（采购包）</w:t>
      </w:r>
      <w:r>
        <w:t>需要采购人配合或提供的条件必须在上表列出，否则将视为</w:t>
      </w:r>
      <w:r>
        <w:rPr>
          <w:rFonts w:hint="eastAsia"/>
        </w:rPr>
        <w:t>响应供应商</w:t>
      </w:r>
      <w:r>
        <w:t>同意按现有条件完成本项目</w:t>
      </w:r>
      <w:r>
        <w:rPr>
          <w:rFonts w:hint="eastAsia"/>
        </w:rPr>
        <w:t>（采购包）</w:t>
      </w:r>
      <w:r>
        <w:t>。如上表所列附加条件含有采购人不能接受的，将被视为</w:t>
      </w:r>
      <w:r>
        <w:rPr>
          <w:rFonts w:hint="eastAsia"/>
        </w:rPr>
        <w:t>响应</w:t>
      </w:r>
      <w:r>
        <w:t>无效</w:t>
      </w:r>
      <w:r>
        <w:rPr>
          <w:rFonts w:hint="eastAsia" w:ascii="宋体" w:hAnsi="宋体"/>
          <w:szCs w:val="24"/>
        </w:rPr>
        <w:t>。</w:t>
      </w:r>
    </w:p>
    <w:sectPr>
      <w:type w:val="continuous"/>
      <w:pgSz w:w="11906" w:h="16838"/>
      <w:pgMar w:top="1134" w:right="1134" w:bottom="1134" w:left="1134" w:header="567" w:footer="737" w:gutter="454"/>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Lucida Sans">
    <w:altName w:val="DejaVu Sans"/>
    <w:panose1 w:val="020B0602030504020204"/>
    <w:charset w:val="00"/>
    <w:family w:val="auto"/>
    <w:pitch w:val="default"/>
    <w:sig w:usb0="00000000" w:usb1="00000000" w:usb2="00000000" w:usb3="00000000" w:csb0="20000001"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Helvetica Neue">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Arial Unicode MS">
    <w:altName w:val="DejaVu Sans"/>
    <w:panose1 w:val="020B0604020202020204"/>
    <w:charset w:val="86"/>
    <w:family w:val="swiss"/>
    <w:pitch w:val="default"/>
    <w:sig w:usb0="00000000" w:usb1="00000000" w:usb2="0000003F" w:usb3="00000000" w:csb0="003F01F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等线">
    <w:altName w:val="华文仿宋"/>
    <w:panose1 w:val="00000000000000000000"/>
    <w:charset w:val="7A"/>
    <w:family w:val="auto"/>
    <w:pitch w:val="default"/>
    <w:sig w:usb0="00000000" w:usb1="00000000" w:usb2="00000016" w:usb3="00000000" w:csb0="0004000F" w:csb1="00000000"/>
  </w:font>
  <w:font w:name="仿宋_GB2312">
    <w:altName w:val="方正仿宋_GBK"/>
    <w:panose1 w:val="00000000000000000000"/>
    <w:charset w:val="86"/>
    <w:family w:val="modern"/>
    <w:pitch w:val="default"/>
    <w:sig w:usb0="00000000" w:usb1="00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PMingLiU">
    <w:altName w:val="Droid Sans Fallback"/>
    <w:panose1 w:val="02020500000000000000"/>
    <w:charset w:val="88"/>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 w:name="方正宋体S-超大字符集(SIP)">
    <w:panose1 w:val="03000509000000000000"/>
    <w:charset w:val="86"/>
    <w:family w:val="auto"/>
    <w:pitch w:val="default"/>
    <w:sig w:usb0="00000003" w:usb1="0A0E0800" w:usb2="00000006" w:usb3="00000000" w:csb0="00040001" w:csb1="00000000"/>
  </w:font>
  <w:font w:name="Arial">
    <w:altName w:val="DejaVu Sans"/>
    <w:panose1 w:val="00000000000000000000"/>
    <w:charset w:val="00"/>
    <w:family w:val="auto"/>
    <w:pitch w:val="default"/>
    <w:sig w:usb0="00000000" w:usb1="00000000" w:usb2="00000000" w:usb3="00000000" w:csb0="00000000" w:csb1="00000000"/>
  </w:font>
  <w:font w:name="Courier New">
    <w:altName w:val="DejaVu Sans"/>
    <w:panose1 w:val="02070309020205020404"/>
    <w:charset w:val="00"/>
    <w:family w:val="auto"/>
    <w:pitch w:val="variable"/>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top w:val="single" w:color="auto" w:sz="4" w:space="1"/>
      </w:pBdr>
      <w:tabs>
        <w:tab w:val="center" w:pos="4678"/>
        <w:tab w:val="right" w:pos="9214"/>
        <w:tab w:val="clear" w:pos="4153"/>
        <w:tab w:val="clear" w:pos="8306"/>
      </w:tabs>
      <w:ind w:firstLine="270" w:firstLineChars="150"/>
      <w:rPr>
        <w:rFonts w:ascii="宋体" w:hAnsi="宋体"/>
      </w:rPr>
    </w:pPr>
    <w:r>
      <w:rPr>
        <w:rFonts w:ascii="宋体" w:hAnsi="宋体"/>
      </w:rPr>
      <w:drawing>
        <wp:anchor distT="0" distB="0" distL="114300" distR="114300" simplePos="0" relativeHeight="251659264" behindDoc="0" locked="0" layoutInCell="1" allowOverlap="0">
          <wp:simplePos x="0" y="0"/>
          <wp:positionH relativeFrom="column">
            <wp:posOffset>0</wp:posOffset>
          </wp:positionH>
          <wp:positionV relativeFrom="paragraph">
            <wp:posOffset>12065</wp:posOffset>
          </wp:positionV>
          <wp:extent cx="142875" cy="142875"/>
          <wp:effectExtent l="0" t="0" r="9525" b="9525"/>
          <wp:wrapSquare wrapText="bothSides"/>
          <wp:docPr id="1" name="图片 17" descr="LOGO20190523（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descr="LOGO20190523（终稿）"/>
                  <pic:cNvPicPr>
                    <a:picLocks noChangeAspect="1"/>
                  </pic:cNvPicPr>
                </pic:nvPicPr>
                <pic:blipFill>
                  <a:blip r:embed="rId1"/>
                  <a:stretch>
                    <a:fillRect/>
                  </a:stretch>
                </pic:blipFill>
                <pic:spPr>
                  <a:xfrm>
                    <a:off x="0" y="0"/>
                    <a:ext cx="142875" cy="142875"/>
                  </a:xfrm>
                  <a:prstGeom prst="rect">
                    <a:avLst/>
                  </a:prstGeom>
                  <a:noFill/>
                  <a:ln w="9525" cap="flat" cmpd="sng">
                    <a:noFill/>
                    <a:prstDash val="solid"/>
                    <a:round/>
                  </a:ln>
                </pic:spPr>
              </pic:pic>
            </a:graphicData>
          </a:graphic>
        </wp:anchor>
      </w:drawing>
    </w:r>
    <w:r>
      <w:rPr>
        <w:rFonts w:hint="eastAsia" w:ascii="宋体" w:hAnsi="宋体"/>
      </w:rPr>
      <w:t>广东华伦招标有限公司</w:t>
    </w:r>
    <w:r>
      <w:rPr>
        <w:rFonts w:hint="eastAsia" w:ascii="宋体" w:hAnsi="宋体"/>
      </w:rPr>
      <w:tab/>
    </w: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lang w:val="zh-CN"/>
      </w:rPr>
      <w:t>- 2 -</w:t>
    </w:r>
    <w:r>
      <w:rPr>
        <w:rFonts w:ascii="宋体" w:hAnsi="宋体"/>
      </w:rPr>
      <w:fldChar w:fldCharType="end"/>
    </w:r>
    <w:r>
      <w:rPr>
        <w:rFonts w:hint="eastAsia" w:ascii="宋体" w:hAnsi="宋体"/>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rPr>
        <w:rFonts w:ascii="宋体" w:hAnsi="宋体" w:cs="宋体"/>
        <w:sz w:val="13"/>
        <w:szCs w:val="13"/>
      </w:rPr>
    </w:pPr>
    <w:r>
      <w:rPr>
        <w:sz w:val="13"/>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17805" cy="200025"/>
              <wp:effectExtent l="0" t="0" r="0" b="0"/>
              <wp:wrapNone/>
              <wp:docPr id="17" name="文本框 2"/>
              <wp:cNvGraphicFramePr/>
              <a:graphic xmlns:a="http://schemas.openxmlformats.org/drawingml/2006/main">
                <a:graphicData uri="http://schemas.microsoft.com/office/word/2010/wordprocessingShape">
                  <wps:wsp>
                    <wps:cNvSpPr/>
                    <wps:spPr>
                      <a:xfrm>
                        <a:off x="0" y="0"/>
                        <a:ext cx="218084" cy="199739"/>
                      </a:xfrm>
                      <a:prstGeom prst="rect">
                        <a:avLst/>
                      </a:prstGeom>
                      <a:noFill/>
                      <a:ln w="6350" cap="flat" cmpd="sng">
                        <a:noFill/>
                        <a:prstDash val="solid"/>
                        <a:round/>
                      </a:ln>
                    </wps:spPr>
                    <wps:txbx>
                      <w:txbxContent>
                        <w:p>
                          <w:pPr>
                            <w:pStyle w:val="19"/>
                          </w:pPr>
                          <w:r>
                            <w:fldChar w:fldCharType="begin"/>
                          </w:r>
                          <w:r>
                            <w:instrText xml:space="preserve"> PAGE  \* MERGEFORMAT </w:instrText>
                          </w:r>
                          <w:r>
                            <w:fldChar w:fldCharType="separate"/>
                          </w:r>
                          <w:r>
                            <w:t>138</w:t>
                          </w:r>
                          <w: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5.75pt;width:17.15pt;mso-position-horizontal:center;mso-position-horizontal-relative:margin;mso-wrap-style:none;z-index:251659264;mso-width-relative:page;mso-height-relative:page;" filled="f" stroked="f" coordsize="21600,21600" o:gfxdata="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">
              <v:fill on="f" focussize="0,0"/>
              <v:stroke on="f" weight="0.5pt" joinstyle="round"/>
              <v:imagedata o:title=""/>
              <o:lock v:ext="edit" aspectratio="f"/>
              <v:textbox inset="0mm,0mm,0mm,0mm" style="mso-fit-shape-to-text:t;">
                <w:txbxContent>
                  <w:p>
                    <w:pPr>
                      <w:pStyle w:val="19"/>
                    </w:pPr>
                    <w:r>
                      <w:fldChar w:fldCharType="begin"/>
                    </w:r>
                    <w:r>
                      <w:instrText xml:space="preserve"> PAGE  \* MERGEFORMAT </w:instrText>
                    </w:r>
                    <w:r>
                      <w:fldChar w:fldCharType="separate"/>
                    </w:r>
                    <w:r>
                      <w:t>138</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599"/>
        <w:tab w:val="right" w:pos="9198"/>
        <w:tab w:val="clear" w:pos="4153"/>
        <w:tab w:val="clear" w:pos="8306"/>
      </w:tabs>
      <w:rPr>
        <w:rFonts w:ascii="宋体" w:hAnsi="宋体"/>
      </w:rPr>
    </w:pPr>
    <w:r>
      <w:rPr>
        <w:rFonts w:hint="eastAsia" w:ascii="宋体" w:hAnsi="宋体"/>
      </w:rPr>
      <w:t>采购项目名称：</w:t>
    </w:r>
    <w:r>
      <w:rPr>
        <w:rFonts w:hint="eastAsia" w:ascii="宋体" w:hAnsi="宋体"/>
        <w:color w:val="0000FF"/>
      </w:rPr>
      <w:t xml:space="preserve">2026-2027年广州白云机场海关南1、2号楼物业管理服务 </w:t>
    </w:r>
    <w:r>
      <w:rPr>
        <w:rFonts w:hint="eastAsia" w:ascii="宋体" w:hAnsi="宋体"/>
      </w:rPr>
      <w:t>采购文件编号：</w:t>
    </w:r>
    <w:r>
      <w:rPr>
        <w:rFonts w:ascii="宋体" w:hAnsi="宋体"/>
        <w:color w:val="0000FF"/>
      </w:rPr>
      <w:t>0809-25401GJC302013801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F8D92"/>
    <w:multiLevelType w:val="singleLevel"/>
    <w:tmpl w:val="8D9F8D92"/>
    <w:lvl w:ilvl="0" w:tentative="0">
      <w:start w:val="4"/>
      <w:numFmt w:val="chineseCounting"/>
      <w:suff w:val="nothing"/>
      <w:lvlText w:val="%1、"/>
      <w:lvlJc w:val="left"/>
      <w:rPr>
        <w:rFonts w:hint="eastAsia"/>
      </w:rPr>
    </w:lvl>
  </w:abstractNum>
  <w:abstractNum w:abstractNumId="1">
    <w:nsid w:val="A2CA89DC"/>
    <w:multiLevelType w:val="singleLevel"/>
    <w:tmpl w:val="A2CA89DC"/>
    <w:lvl w:ilvl="0" w:tentative="0">
      <w:start w:val="1"/>
      <w:numFmt w:val="decimal"/>
      <w:suff w:val="nothing"/>
      <w:lvlText w:val="%1）"/>
      <w:lvlJc w:val="left"/>
    </w:lvl>
  </w:abstractNum>
  <w:abstractNum w:abstractNumId="2">
    <w:nsid w:val="A894A469"/>
    <w:multiLevelType w:val="singleLevel"/>
    <w:tmpl w:val="A894A469"/>
    <w:lvl w:ilvl="0" w:tentative="0">
      <w:start w:val="3"/>
      <w:numFmt w:val="decimal"/>
      <w:suff w:val="nothing"/>
      <w:lvlText w:val="%1）"/>
      <w:lvlJc w:val="left"/>
    </w:lvl>
  </w:abstractNum>
  <w:abstractNum w:abstractNumId="3">
    <w:nsid w:val="BE59FECE"/>
    <w:multiLevelType w:val="multilevel"/>
    <w:tmpl w:val="BE59FECE"/>
    <w:lvl w:ilvl="0" w:tentative="0">
      <w:start w:val="5"/>
      <w:numFmt w:val="decimal"/>
      <w:lvlText w:val="%1."/>
      <w:lvlJc w:val="left"/>
      <w:pPr>
        <w:ind w:left="1930" w:hanging="425"/>
      </w:pPr>
      <w:rPr>
        <w:rFonts w:hint="default"/>
      </w:rPr>
    </w:lvl>
    <w:lvl w:ilvl="1" w:tentative="0">
      <w:start w:val="1"/>
      <w:numFmt w:val="decimal"/>
      <w:lvlText w:val="%1.%2."/>
      <w:lvlJc w:val="left"/>
      <w:pPr>
        <w:ind w:left="4848" w:hanging="453"/>
      </w:pPr>
      <w:rPr>
        <w:rFonts w:hint="default"/>
      </w:rPr>
    </w:lvl>
    <w:lvl w:ilvl="2" w:tentative="0">
      <w:start w:val="1"/>
      <w:numFmt w:val="decimal"/>
      <w:lvlText w:val="%1.%2.%3."/>
      <w:lvlJc w:val="left"/>
      <w:pPr>
        <w:ind w:left="3013" w:hanging="708"/>
      </w:pPr>
      <w:rPr>
        <w:rFonts w:hint="default"/>
      </w:rPr>
    </w:lvl>
    <w:lvl w:ilvl="3" w:tentative="0">
      <w:start w:val="1"/>
      <w:numFmt w:val="decimal"/>
      <w:lvlText w:val="%1.%2.%3.%4."/>
      <w:lvlJc w:val="left"/>
      <w:pPr>
        <w:ind w:left="3558" w:hanging="853"/>
      </w:pPr>
      <w:rPr>
        <w:rFonts w:hint="default"/>
      </w:rPr>
    </w:lvl>
    <w:lvl w:ilvl="4" w:tentative="0">
      <w:start w:val="1"/>
      <w:numFmt w:val="decimal"/>
      <w:lvlText w:val="%1.%2.%3.%4.%5."/>
      <w:lvlJc w:val="left"/>
      <w:pPr>
        <w:ind w:left="4000" w:hanging="895"/>
      </w:pPr>
      <w:rPr>
        <w:rFonts w:hint="default"/>
      </w:rPr>
    </w:lvl>
    <w:lvl w:ilvl="5" w:tentative="0">
      <w:start w:val="1"/>
      <w:numFmt w:val="decimal"/>
      <w:lvlText w:val="%1.%2.%3.%4.%5.%6."/>
      <w:lvlJc w:val="left"/>
      <w:pPr>
        <w:ind w:left="4641" w:hanging="1136"/>
      </w:pPr>
      <w:rPr>
        <w:rFonts w:hint="default"/>
      </w:rPr>
    </w:lvl>
    <w:lvl w:ilvl="6" w:tentative="0">
      <w:start w:val="1"/>
      <w:numFmt w:val="decimal"/>
      <w:lvlText w:val="%1.%2.%3.%4.%5.%6.%7."/>
      <w:lvlJc w:val="left"/>
      <w:pPr>
        <w:ind w:left="5178" w:hanging="1273"/>
      </w:pPr>
      <w:rPr>
        <w:rFonts w:hint="default"/>
      </w:rPr>
    </w:lvl>
    <w:lvl w:ilvl="7" w:tentative="0">
      <w:start w:val="1"/>
      <w:numFmt w:val="decimal"/>
      <w:lvlText w:val="%1.%2.%3.%4.%5.%6.%7.%8."/>
      <w:lvlJc w:val="left"/>
      <w:pPr>
        <w:ind w:left="5723" w:hanging="1418"/>
      </w:pPr>
      <w:rPr>
        <w:rFonts w:hint="default"/>
      </w:rPr>
    </w:lvl>
    <w:lvl w:ilvl="8" w:tentative="0">
      <w:start w:val="1"/>
      <w:numFmt w:val="decimal"/>
      <w:lvlText w:val="%1.%2.%3.%4.%5.%6.%7.%8.%9."/>
      <w:lvlJc w:val="left"/>
      <w:pPr>
        <w:ind w:left="6153" w:hanging="1448"/>
      </w:pPr>
      <w:rPr>
        <w:rFonts w:hint="default"/>
      </w:rPr>
    </w:lvl>
  </w:abstractNum>
  <w:abstractNum w:abstractNumId="4">
    <w:nsid w:val="C833BCA9"/>
    <w:multiLevelType w:val="multilevel"/>
    <w:tmpl w:val="C833BCA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E5DECFA5"/>
    <w:multiLevelType w:val="singleLevel"/>
    <w:tmpl w:val="E5DECFA5"/>
    <w:lvl w:ilvl="0" w:tentative="0">
      <w:start w:val="1"/>
      <w:numFmt w:val="decimal"/>
      <w:lvlText w:val="%1."/>
      <w:lvlJc w:val="left"/>
      <w:pPr>
        <w:tabs>
          <w:tab w:val="left" w:pos="425"/>
        </w:tabs>
        <w:ind w:left="425" w:hanging="425"/>
      </w:pPr>
      <w:rPr>
        <w:rFonts w:hint="default"/>
      </w:rPr>
    </w:lvl>
  </w:abstractNum>
  <w:abstractNum w:abstractNumId="6">
    <w:nsid w:val="FAD13590"/>
    <w:multiLevelType w:val="singleLevel"/>
    <w:tmpl w:val="FAD13590"/>
    <w:lvl w:ilvl="0" w:tentative="0">
      <w:start w:val="1"/>
      <w:numFmt w:val="decimal"/>
      <w:lvlText w:val="%1."/>
      <w:lvlJc w:val="left"/>
      <w:pPr>
        <w:tabs>
          <w:tab w:val="left" w:pos="425"/>
        </w:tabs>
        <w:ind w:left="425" w:hanging="425"/>
      </w:pPr>
      <w:rPr>
        <w:rFonts w:hint="default"/>
      </w:rPr>
    </w:lvl>
  </w:abstractNum>
  <w:abstractNum w:abstractNumId="7">
    <w:nsid w:val="04A971D6"/>
    <w:multiLevelType w:val="multilevel"/>
    <w:tmpl w:val="04A971D6"/>
    <w:lvl w:ilvl="0" w:tentative="0">
      <w:start w:val="27"/>
      <w:numFmt w:val="decimal"/>
      <w:lvlText w:val="%1."/>
      <w:lvlJc w:val="left"/>
      <w:pPr>
        <w:ind w:left="425" w:hanging="425"/>
      </w:pPr>
      <w:rPr>
        <w:rFonts w:hint="eastAsia"/>
        <w:strike w:val="0"/>
        <w:dstrike w:val="0"/>
      </w:rPr>
    </w:lvl>
    <w:lvl w:ilvl="1" w:tentative="0">
      <w:start w:val="1"/>
      <w:numFmt w:val="decimal"/>
      <w:lvlText w:val="22.%2."/>
      <w:lvlJc w:val="left"/>
      <w:pPr>
        <w:ind w:left="567" w:hanging="567"/>
      </w:pPr>
      <w:rPr>
        <w:rFonts w:hint="eastAsia"/>
      </w:rPr>
    </w:lvl>
    <w:lvl w:ilvl="2" w:tentative="0">
      <w:start w:val="1"/>
      <w:numFmt w:val="decimal"/>
      <w:lvlText w:val="20.3.%3"/>
      <w:lvlJc w:val="left"/>
      <w:pPr>
        <w:ind w:left="709"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8">
    <w:nsid w:val="08C804EA"/>
    <w:multiLevelType w:val="multilevel"/>
    <w:tmpl w:val="08C804EA"/>
    <w:lvl w:ilvl="0" w:tentative="0">
      <w:start w:val="1"/>
      <w:numFmt w:val="decimal"/>
      <w:lvlText w:val="10.%1."/>
      <w:lvlJc w:val="left"/>
      <w:pPr>
        <w:ind w:left="1260" w:hanging="420"/>
      </w:pPr>
      <w:rPr>
        <w:rFonts w:hint="eastAsia" w:ascii="宋体" w:hAnsi="宋体" w:eastAsia="宋体"/>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9">
    <w:nsid w:val="09220F56"/>
    <w:multiLevelType w:val="multilevel"/>
    <w:tmpl w:val="09220F56"/>
    <w:lvl w:ilvl="0" w:tentative="0">
      <w:start w:val="4"/>
      <w:numFmt w:val="decimal"/>
      <w:lvlText w:val="%1."/>
      <w:lvlJc w:val="left"/>
      <w:pPr>
        <w:ind w:left="425" w:hanging="425"/>
      </w:pPr>
      <w:rPr>
        <w:rFonts w:hint="eastAsia" w:ascii="宋体" w:hAnsi="宋体" w:eastAsia="宋体"/>
      </w:rPr>
    </w:lvl>
    <w:lvl w:ilvl="1" w:tentative="0">
      <w:start w:val="1"/>
      <w:numFmt w:val="decimal"/>
      <w:lvlText w:val="3.%2"/>
      <w:lvlJc w:val="left"/>
      <w:pPr>
        <w:ind w:left="2268" w:hanging="567"/>
      </w:pPr>
      <w:rPr>
        <w:rFonts w:hint="eastAsia" w:ascii="宋体" w:hAnsi="宋体" w:eastAsia="宋体"/>
        <w:color w:val="auto"/>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0">
    <w:nsid w:val="09C85D5F"/>
    <w:multiLevelType w:val="multilevel"/>
    <w:tmpl w:val="09C85D5F"/>
    <w:lvl w:ilvl="0" w:tentative="0">
      <w:start w:val="27"/>
      <w:numFmt w:val="decimal"/>
      <w:lvlText w:val="%1."/>
      <w:lvlJc w:val="left"/>
      <w:pPr>
        <w:ind w:left="425" w:hanging="425"/>
      </w:pPr>
      <w:rPr>
        <w:rFonts w:hint="eastAsia"/>
        <w:strike w:val="0"/>
        <w:dstrike w:val="0"/>
      </w:rPr>
    </w:lvl>
    <w:lvl w:ilvl="1" w:tentative="0">
      <w:start w:val="1"/>
      <w:numFmt w:val="decimal"/>
      <w:lvlText w:val="25.%2."/>
      <w:lvlJc w:val="left"/>
      <w:pPr>
        <w:ind w:left="567" w:hanging="567"/>
      </w:pPr>
      <w:rPr>
        <w:rFonts w:hint="eastAsia"/>
      </w:rPr>
    </w:lvl>
    <w:lvl w:ilvl="2" w:tentative="0">
      <w:start w:val="27"/>
      <w:numFmt w:val="decimal"/>
      <w:lvlText w:val="25.1.%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1">
    <w:nsid w:val="0A102641"/>
    <w:multiLevelType w:val="multilevel"/>
    <w:tmpl w:val="0A102641"/>
    <w:lvl w:ilvl="0" w:tentative="0">
      <w:start w:val="3"/>
      <w:numFmt w:val="decimal"/>
      <w:pStyle w:val="5"/>
      <w:lvlText w:val="%1."/>
      <w:lvlJc w:val="left"/>
      <w:pPr>
        <w:ind w:left="425" w:hanging="425"/>
      </w:pPr>
      <w:rPr>
        <w:rFonts w:hint="eastAsia" w:ascii="宋体" w:hAnsi="宋体" w:eastAsia="宋体"/>
      </w:rPr>
    </w:lvl>
    <w:lvl w:ilvl="1" w:tentative="0">
      <w:start w:val="1"/>
      <w:numFmt w:val="decimal"/>
      <w:pStyle w:val="6"/>
      <w:lvlText w:val="%1.%2."/>
      <w:lvlJc w:val="left"/>
      <w:pPr>
        <w:ind w:left="2268" w:hanging="567"/>
      </w:pPr>
      <w:rPr>
        <w:rFonts w:hint="eastAsia" w:ascii="宋体" w:hAnsi="宋体" w:eastAsia="宋体"/>
        <w:color w:val="auto"/>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2">
    <w:nsid w:val="0B5A1D11"/>
    <w:multiLevelType w:val="multilevel"/>
    <w:tmpl w:val="0B5A1D11"/>
    <w:lvl w:ilvl="0" w:tentative="0">
      <w:start w:val="1"/>
      <w:numFmt w:val="decimal"/>
      <w:lvlText w:val="6.%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B990D93"/>
    <w:multiLevelType w:val="multilevel"/>
    <w:tmpl w:val="0B990D93"/>
    <w:lvl w:ilvl="0" w:tentative="0">
      <w:start w:val="1"/>
      <w:numFmt w:val="decimal"/>
      <w:lvlText w:val="9.%1."/>
      <w:lvlJc w:val="left"/>
      <w:pPr>
        <w:ind w:left="1129"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DE28669"/>
    <w:multiLevelType w:val="singleLevel"/>
    <w:tmpl w:val="0DE28669"/>
    <w:lvl w:ilvl="0" w:tentative="0">
      <w:start w:val="1"/>
      <w:numFmt w:val="decimal"/>
      <w:lvlText w:val="%1."/>
      <w:lvlJc w:val="left"/>
      <w:pPr>
        <w:ind w:left="425" w:hanging="425"/>
      </w:pPr>
      <w:rPr>
        <w:rFonts w:hint="default"/>
      </w:rPr>
    </w:lvl>
  </w:abstractNum>
  <w:abstractNum w:abstractNumId="15">
    <w:nsid w:val="1433EBA1"/>
    <w:multiLevelType w:val="singleLevel"/>
    <w:tmpl w:val="1433EBA1"/>
    <w:lvl w:ilvl="0" w:tentative="0">
      <w:start w:val="1"/>
      <w:numFmt w:val="decimal"/>
      <w:suff w:val="nothing"/>
      <w:lvlText w:val="%1、"/>
      <w:lvlJc w:val="left"/>
    </w:lvl>
  </w:abstractNum>
  <w:abstractNum w:abstractNumId="16">
    <w:nsid w:val="168A66FF"/>
    <w:multiLevelType w:val="multilevel"/>
    <w:tmpl w:val="168A66FF"/>
    <w:lvl w:ilvl="0" w:tentative="0">
      <w:start w:val="32"/>
      <w:numFmt w:val="decimal"/>
      <w:lvlText w:val="%1."/>
      <w:lvlJc w:val="left"/>
      <w:pPr>
        <w:ind w:left="425" w:hanging="425"/>
      </w:pPr>
      <w:rPr>
        <w:rFonts w:hint="eastAsia"/>
        <w:strike w:val="0"/>
        <w:dstrike w:val="0"/>
      </w:rPr>
    </w:lvl>
    <w:lvl w:ilvl="1" w:tentative="0">
      <w:start w:val="3"/>
      <w:numFmt w:val="decimal"/>
      <w:lvlText w:val="%1.%2."/>
      <w:lvlJc w:val="left"/>
      <w:pPr>
        <w:ind w:left="567" w:hanging="567"/>
      </w:pPr>
      <w:rPr>
        <w:rFonts w:hint="eastAsia"/>
      </w:rPr>
    </w:lvl>
    <w:lvl w:ilvl="2" w:tentative="0">
      <w:start w:val="1"/>
      <w:numFmt w:val="decimal"/>
      <w:lvlText w:val="25.5.%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7">
    <w:nsid w:val="17704C10"/>
    <w:multiLevelType w:val="multilevel"/>
    <w:tmpl w:val="17704C10"/>
    <w:lvl w:ilvl="0" w:tentative="0">
      <w:start w:val="1"/>
      <w:numFmt w:val="decimal"/>
      <w:lvlText w:val="8.%1."/>
      <w:lvlJc w:val="left"/>
      <w:pPr>
        <w:ind w:left="1740" w:hanging="420"/>
      </w:pPr>
      <w:rPr>
        <w:rFonts w:hint="eastAsia" w:ascii="宋体" w:hAnsi="宋体" w:eastAsia="宋体"/>
      </w:rPr>
    </w:lvl>
    <w:lvl w:ilvl="1" w:tentative="0">
      <w:start w:val="1"/>
      <w:numFmt w:val="lowerLetter"/>
      <w:lvlText w:val="%2)"/>
      <w:lvlJc w:val="left"/>
      <w:pPr>
        <w:ind w:left="2160" w:hanging="420"/>
      </w:pPr>
    </w:lvl>
    <w:lvl w:ilvl="2" w:tentative="0">
      <w:start w:val="1"/>
      <w:numFmt w:val="lowerRoman"/>
      <w:lvlText w:val="%3."/>
      <w:lvlJc w:val="right"/>
      <w:pPr>
        <w:ind w:left="2580" w:hanging="420"/>
      </w:pPr>
    </w:lvl>
    <w:lvl w:ilvl="3" w:tentative="0">
      <w:start w:val="1"/>
      <w:numFmt w:val="decimal"/>
      <w:lvlText w:val="%4."/>
      <w:lvlJc w:val="left"/>
      <w:pPr>
        <w:ind w:left="3000" w:hanging="420"/>
      </w:pPr>
    </w:lvl>
    <w:lvl w:ilvl="4" w:tentative="0">
      <w:start w:val="1"/>
      <w:numFmt w:val="lowerLetter"/>
      <w:lvlText w:val="%5)"/>
      <w:lvlJc w:val="left"/>
      <w:pPr>
        <w:ind w:left="3420" w:hanging="420"/>
      </w:pPr>
    </w:lvl>
    <w:lvl w:ilvl="5" w:tentative="0">
      <w:start w:val="1"/>
      <w:numFmt w:val="lowerRoman"/>
      <w:lvlText w:val="%6."/>
      <w:lvlJc w:val="right"/>
      <w:pPr>
        <w:ind w:left="3840" w:hanging="420"/>
      </w:pPr>
    </w:lvl>
    <w:lvl w:ilvl="6" w:tentative="0">
      <w:start w:val="1"/>
      <w:numFmt w:val="decimal"/>
      <w:lvlText w:val="%7."/>
      <w:lvlJc w:val="left"/>
      <w:pPr>
        <w:ind w:left="4260" w:hanging="420"/>
      </w:pPr>
    </w:lvl>
    <w:lvl w:ilvl="7" w:tentative="0">
      <w:start w:val="1"/>
      <w:numFmt w:val="lowerLetter"/>
      <w:lvlText w:val="%8)"/>
      <w:lvlJc w:val="left"/>
      <w:pPr>
        <w:ind w:left="4680" w:hanging="420"/>
      </w:pPr>
    </w:lvl>
    <w:lvl w:ilvl="8" w:tentative="0">
      <w:start w:val="1"/>
      <w:numFmt w:val="lowerRoman"/>
      <w:lvlText w:val="%9."/>
      <w:lvlJc w:val="right"/>
      <w:pPr>
        <w:ind w:left="5100" w:hanging="420"/>
      </w:pPr>
    </w:lvl>
  </w:abstractNum>
  <w:abstractNum w:abstractNumId="18">
    <w:nsid w:val="1901005F"/>
    <w:multiLevelType w:val="multilevel"/>
    <w:tmpl w:val="1901005F"/>
    <w:lvl w:ilvl="0" w:tentative="0">
      <w:start w:val="7"/>
      <w:numFmt w:val="decimal"/>
      <w:lvlText w:val="%1."/>
      <w:lvlJc w:val="left"/>
      <w:pPr>
        <w:ind w:left="425" w:hanging="425"/>
      </w:pPr>
      <w:rPr>
        <w:rFonts w:hint="eastAsia"/>
      </w:rPr>
    </w:lvl>
    <w:lvl w:ilvl="1" w:tentative="0">
      <w:start w:val="1"/>
      <w:numFmt w:val="decimal"/>
      <w:lvlText w:val="13.%2."/>
      <w:lvlJc w:val="left"/>
      <w:pPr>
        <w:ind w:left="1418" w:hanging="567"/>
      </w:pPr>
      <w:rPr>
        <w:rFonts w:hint="eastAsia" w:ascii="宋体" w:hAnsi="宋体" w:eastAsia="宋体"/>
        <w:strike w:val="0"/>
        <w:dstrike w:val="0"/>
      </w:rPr>
    </w:lvl>
    <w:lvl w:ilvl="2" w:tentative="0">
      <w:start w:val="1"/>
      <w:numFmt w:val="decimal"/>
      <w:lvlText w:val="11.3.%3"/>
      <w:lvlJc w:val="left"/>
      <w:pPr>
        <w:ind w:left="709"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9">
    <w:nsid w:val="1C89651F"/>
    <w:multiLevelType w:val="multilevel"/>
    <w:tmpl w:val="1C89651F"/>
    <w:lvl w:ilvl="0" w:tentative="0">
      <w:start w:val="7"/>
      <w:numFmt w:val="decimal"/>
      <w:lvlText w:val="%1."/>
      <w:lvlJc w:val="left"/>
      <w:pPr>
        <w:ind w:left="425" w:hanging="425"/>
      </w:pPr>
      <w:rPr>
        <w:rFonts w:hint="eastAsia"/>
      </w:rPr>
    </w:lvl>
    <w:lvl w:ilvl="1" w:tentative="0">
      <w:start w:val="1"/>
      <w:numFmt w:val="decimal"/>
      <w:lvlText w:val="15.%2."/>
      <w:lvlJc w:val="left"/>
      <w:pPr>
        <w:ind w:left="1418" w:hanging="567"/>
      </w:pPr>
      <w:rPr>
        <w:rFonts w:hint="eastAsia" w:ascii="宋体" w:hAnsi="宋体" w:eastAsia="宋体"/>
        <w:strike w:val="0"/>
        <w:dstrike w:val="0"/>
      </w:rPr>
    </w:lvl>
    <w:lvl w:ilvl="2" w:tentative="0">
      <w:start w:val="1"/>
      <w:numFmt w:val="decimal"/>
      <w:lvlText w:val="14.2.%3."/>
      <w:lvlJc w:val="left"/>
      <w:pPr>
        <w:ind w:left="1560"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0">
    <w:nsid w:val="1DF03A4C"/>
    <w:multiLevelType w:val="multilevel"/>
    <w:tmpl w:val="1DF03A4C"/>
    <w:lvl w:ilvl="0" w:tentative="0">
      <w:start w:val="7"/>
      <w:numFmt w:val="decimal"/>
      <w:lvlText w:val="%1."/>
      <w:lvlJc w:val="left"/>
      <w:pPr>
        <w:ind w:left="425" w:hanging="425"/>
      </w:pPr>
      <w:rPr>
        <w:rFonts w:hint="eastAsia"/>
      </w:rPr>
    </w:lvl>
    <w:lvl w:ilvl="1" w:tentative="0">
      <w:start w:val="1"/>
      <w:numFmt w:val="decimal"/>
      <w:lvlText w:val="18.%2"/>
      <w:lvlJc w:val="left"/>
      <w:pPr>
        <w:ind w:left="1418" w:hanging="567"/>
      </w:pPr>
      <w:rPr>
        <w:rFonts w:hint="eastAsia" w:ascii="宋体" w:hAnsi="宋体" w:eastAsia="宋体"/>
        <w:strike w:val="0"/>
        <w:dstrike w:val="0"/>
      </w:rPr>
    </w:lvl>
    <w:lvl w:ilvl="2" w:tentative="0">
      <w:start w:val="1"/>
      <w:numFmt w:val="decimal"/>
      <w:lvlText w:val="14.2.%3."/>
      <w:lvlJc w:val="left"/>
      <w:pPr>
        <w:ind w:left="1560"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1">
    <w:nsid w:val="1F2D3D91"/>
    <w:multiLevelType w:val="multilevel"/>
    <w:tmpl w:val="1F2D3D91"/>
    <w:lvl w:ilvl="0" w:tentative="0">
      <w:start w:val="1"/>
      <w:numFmt w:val="decimalEnclosedCircle"/>
      <w:lvlText w:val="%1"/>
      <w:lvlJc w:val="left"/>
      <w:pPr>
        <w:ind w:left="1347" w:hanging="420"/>
      </w:pPr>
      <w:rPr>
        <w:rFonts w:hint="default"/>
      </w:rPr>
    </w:lvl>
    <w:lvl w:ilvl="1" w:tentative="0">
      <w:start w:val="1"/>
      <w:numFmt w:val="lowerLetter"/>
      <w:lvlText w:val="%2)"/>
      <w:lvlJc w:val="left"/>
      <w:pPr>
        <w:ind w:left="1767" w:hanging="420"/>
      </w:pPr>
    </w:lvl>
    <w:lvl w:ilvl="2" w:tentative="0">
      <w:start w:val="1"/>
      <w:numFmt w:val="lowerRoman"/>
      <w:lvlText w:val="%3."/>
      <w:lvlJc w:val="right"/>
      <w:pPr>
        <w:ind w:left="2187" w:hanging="420"/>
      </w:pPr>
    </w:lvl>
    <w:lvl w:ilvl="3" w:tentative="0">
      <w:start w:val="1"/>
      <w:numFmt w:val="decimal"/>
      <w:lvlText w:val="%4."/>
      <w:lvlJc w:val="left"/>
      <w:pPr>
        <w:ind w:left="2607" w:hanging="420"/>
      </w:pPr>
    </w:lvl>
    <w:lvl w:ilvl="4" w:tentative="0">
      <w:start w:val="1"/>
      <w:numFmt w:val="lowerLetter"/>
      <w:lvlText w:val="%5)"/>
      <w:lvlJc w:val="left"/>
      <w:pPr>
        <w:ind w:left="3027" w:hanging="420"/>
      </w:pPr>
    </w:lvl>
    <w:lvl w:ilvl="5" w:tentative="0">
      <w:start w:val="1"/>
      <w:numFmt w:val="lowerRoman"/>
      <w:lvlText w:val="%6."/>
      <w:lvlJc w:val="right"/>
      <w:pPr>
        <w:ind w:left="3447" w:hanging="420"/>
      </w:pPr>
    </w:lvl>
    <w:lvl w:ilvl="6" w:tentative="0">
      <w:start w:val="1"/>
      <w:numFmt w:val="decimal"/>
      <w:lvlText w:val="%7."/>
      <w:lvlJc w:val="left"/>
      <w:pPr>
        <w:ind w:left="3867" w:hanging="420"/>
      </w:pPr>
    </w:lvl>
    <w:lvl w:ilvl="7" w:tentative="0">
      <w:start w:val="1"/>
      <w:numFmt w:val="lowerLetter"/>
      <w:lvlText w:val="%8)"/>
      <w:lvlJc w:val="left"/>
      <w:pPr>
        <w:ind w:left="4287" w:hanging="420"/>
      </w:pPr>
    </w:lvl>
    <w:lvl w:ilvl="8" w:tentative="0">
      <w:start w:val="1"/>
      <w:numFmt w:val="lowerRoman"/>
      <w:lvlText w:val="%9."/>
      <w:lvlJc w:val="right"/>
      <w:pPr>
        <w:ind w:left="4707" w:hanging="420"/>
      </w:pPr>
    </w:lvl>
  </w:abstractNum>
  <w:abstractNum w:abstractNumId="22">
    <w:nsid w:val="22DF0DDB"/>
    <w:multiLevelType w:val="multilevel"/>
    <w:tmpl w:val="22DF0DD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252E0B0A"/>
    <w:multiLevelType w:val="multilevel"/>
    <w:tmpl w:val="252E0B0A"/>
    <w:lvl w:ilvl="0" w:tentative="0">
      <w:start w:val="1"/>
      <w:numFmt w:val="decimal"/>
      <w:lvlText w:val="12.%1"/>
      <w:lvlJc w:val="left"/>
      <w:pPr>
        <w:ind w:left="990" w:hanging="420"/>
      </w:pPr>
      <w:rPr>
        <w:rFonts w:hint="eastAsia" w:ascii="宋体" w:hAnsi="宋体" w:eastAsia="宋体"/>
      </w:r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abstractNum w:abstractNumId="24">
    <w:nsid w:val="259E6301"/>
    <w:multiLevelType w:val="multilevel"/>
    <w:tmpl w:val="259E6301"/>
    <w:lvl w:ilvl="0" w:tentative="0">
      <w:start w:val="1"/>
      <w:numFmt w:val="decimal"/>
      <w:lvlText w:val="1.%1."/>
      <w:lvlJc w:val="left"/>
      <w:pPr>
        <w:ind w:left="1129"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271E712C"/>
    <w:multiLevelType w:val="multilevel"/>
    <w:tmpl w:val="271E712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8E1012D"/>
    <w:multiLevelType w:val="multilevel"/>
    <w:tmpl w:val="28E1012D"/>
    <w:lvl w:ilvl="0" w:tentative="0">
      <w:start w:val="27"/>
      <w:numFmt w:val="decimal"/>
      <w:lvlText w:val="%1."/>
      <w:lvlJc w:val="left"/>
      <w:pPr>
        <w:ind w:left="425" w:hanging="425"/>
      </w:pPr>
      <w:rPr>
        <w:rFonts w:hint="eastAsia"/>
        <w:strike w:val="0"/>
        <w:dstrike w:val="0"/>
      </w:rPr>
    </w:lvl>
    <w:lvl w:ilvl="1" w:tentative="0">
      <w:start w:val="1"/>
      <w:numFmt w:val="decimal"/>
      <w:lvlText w:val="25.%2."/>
      <w:lvlJc w:val="left"/>
      <w:pPr>
        <w:ind w:left="567" w:hanging="567"/>
      </w:pPr>
      <w:rPr>
        <w:rFonts w:hint="eastAsia"/>
      </w:rPr>
    </w:lvl>
    <w:lvl w:ilvl="2" w:tentative="0">
      <w:start w:val="1"/>
      <w:numFmt w:val="decimal"/>
      <w:lvlText w:val="25.3.%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7">
    <w:nsid w:val="2D960AC2"/>
    <w:multiLevelType w:val="multilevel"/>
    <w:tmpl w:val="2D960AC2"/>
    <w:lvl w:ilvl="0" w:tentative="0">
      <w:start w:val="27"/>
      <w:numFmt w:val="decimal"/>
      <w:lvlText w:val="%1."/>
      <w:lvlJc w:val="left"/>
      <w:pPr>
        <w:ind w:left="425" w:hanging="425"/>
      </w:pPr>
      <w:rPr>
        <w:rFonts w:hint="eastAsia"/>
        <w:strike w:val="0"/>
        <w:dstrike w:val="0"/>
      </w:rPr>
    </w:lvl>
    <w:lvl w:ilvl="1" w:tentative="0">
      <w:start w:val="1"/>
      <w:numFmt w:val="decimal"/>
      <w:lvlText w:val="24.%2."/>
      <w:lvlJc w:val="left"/>
      <w:pPr>
        <w:ind w:left="567" w:hanging="567"/>
      </w:pPr>
      <w:rPr>
        <w:rFonts w:hint="eastAsia"/>
      </w:rPr>
    </w:lvl>
    <w:lvl w:ilvl="2" w:tentative="0">
      <w:start w:val="1"/>
      <w:numFmt w:val="decimal"/>
      <w:lvlText w:val="20.3.%3"/>
      <w:lvlJc w:val="left"/>
      <w:pPr>
        <w:ind w:left="709"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8">
    <w:nsid w:val="2EAE07DF"/>
    <w:multiLevelType w:val="multilevel"/>
    <w:tmpl w:val="2EAE07DF"/>
    <w:lvl w:ilvl="0" w:tentative="0">
      <w:start w:val="7"/>
      <w:numFmt w:val="decimal"/>
      <w:lvlText w:val="%1."/>
      <w:lvlJc w:val="left"/>
      <w:pPr>
        <w:ind w:left="425" w:hanging="425"/>
      </w:pPr>
      <w:rPr>
        <w:rFonts w:hint="eastAsia"/>
      </w:rPr>
    </w:lvl>
    <w:lvl w:ilvl="1" w:tentative="0">
      <w:start w:val="1"/>
      <w:numFmt w:val="decimal"/>
      <w:lvlText w:val="19.%2."/>
      <w:lvlJc w:val="left"/>
      <w:pPr>
        <w:ind w:left="1418" w:hanging="567"/>
      </w:pPr>
      <w:rPr>
        <w:rFonts w:hint="eastAsia" w:ascii="宋体" w:hAnsi="宋体" w:eastAsia="宋体"/>
        <w:strike w:val="0"/>
        <w:dstrike w:val="0"/>
      </w:rPr>
    </w:lvl>
    <w:lvl w:ilvl="2" w:tentative="0">
      <w:start w:val="1"/>
      <w:numFmt w:val="decimal"/>
      <w:lvlText w:val="14.2.%3."/>
      <w:lvlJc w:val="left"/>
      <w:pPr>
        <w:ind w:left="1560"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9">
    <w:nsid w:val="30C94F75"/>
    <w:multiLevelType w:val="multilevel"/>
    <w:tmpl w:val="30C94F75"/>
    <w:lvl w:ilvl="0" w:tentative="0">
      <w:start w:val="1"/>
      <w:numFmt w:val="decimal"/>
      <w:lvlText w:val="7.%1"/>
      <w:lvlJc w:val="left"/>
      <w:pPr>
        <w:ind w:left="1725" w:hanging="420"/>
      </w:pPr>
      <w:rPr>
        <w:rFonts w:hint="eastAsia" w:ascii="宋体" w:hAnsi="宋体" w:eastAsia="宋体"/>
      </w:rPr>
    </w:lvl>
    <w:lvl w:ilvl="1" w:tentative="0">
      <w:start w:val="1"/>
      <w:numFmt w:val="lowerLetter"/>
      <w:lvlText w:val="%2)"/>
      <w:lvlJc w:val="left"/>
      <w:pPr>
        <w:ind w:left="2145" w:hanging="420"/>
      </w:pPr>
    </w:lvl>
    <w:lvl w:ilvl="2" w:tentative="0">
      <w:start w:val="1"/>
      <w:numFmt w:val="lowerRoman"/>
      <w:lvlText w:val="%3."/>
      <w:lvlJc w:val="right"/>
      <w:pPr>
        <w:ind w:left="2565" w:hanging="420"/>
      </w:pPr>
    </w:lvl>
    <w:lvl w:ilvl="3" w:tentative="0">
      <w:start w:val="1"/>
      <w:numFmt w:val="decimal"/>
      <w:lvlText w:val="%4."/>
      <w:lvlJc w:val="left"/>
      <w:pPr>
        <w:ind w:left="2985" w:hanging="420"/>
      </w:pPr>
    </w:lvl>
    <w:lvl w:ilvl="4" w:tentative="0">
      <w:start w:val="1"/>
      <w:numFmt w:val="lowerLetter"/>
      <w:lvlText w:val="%5)"/>
      <w:lvlJc w:val="left"/>
      <w:pPr>
        <w:ind w:left="3405" w:hanging="420"/>
      </w:pPr>
    </w:lvl>
    <w:lvl w:ilvl="5" w:tentative="0">
      <w:start w:val="1"/>
      <w:numFmt w:val="lowerRoman"/>
      <w:lvlText w:val="%6."/>
      <w:lvlJc w:val="right"/>
      <w:pPr>
        <w:ind w:left="3825" w:hanging="420"/>
      </w:pPr>
    </w:lvl>
    <w:lvl w:ilvl="6" w:tentative="0">
      <w:start w:val="1"/>
      <w:numFmt w:val="decimal"/>
      <w:lvlText w:val="%7."/>
      <w:lvlJc w:val="left"/>
      <w:pPr>
        <w:ind w:left="4245" w:hanging="420"/>
      </w:pPr>
    </w:lvl>
    <w:lvl w:ilvl="7" w:tentative="0">
      <w:start w:val="1"/>
      <w:numFmt w:val="lowerLetter"/>
      <w:lvlText w:val="%8)"/>
      <w:lvlJc w:val="left"/>
      <w:pPr>
        <w:ind w:left="4665" w:hanging="420"/>
      </w:pPr>
    </w:lvl>
    <w:lvl w:ilvl="8" w:tentative="0">
      <w:start w:val="1"/>
      <w:numFmt w:val="lowerRoman"/>
      <w:lvlText w:val="%9."/>
      <w:lvlJc w:val="right"/>
      <w:pPr>
        <w:ind w:left="5085" w:hanging="420"/>
      </w:pPr>
    </w:lvl>
  </w:abstractNum>
  <w:abstractNum w:abstractNumId="30">
    <w:nsid w:val="33935800"/>
    <w:multiLevelType w:val="multilevel"/>
    <w:tmpl w:val="33935800"/>
    <w:lvl w:ilvl="0" w:tentative="0">
      <w:start w:val="7"/>
      <w:numFmt w:val="decimal"/>
      <w:lvlText w:val="%1."/>
      <w:lvlJc w:val="left"/>
      <w:pPr>
        <w:ind w:left="425" w:hanging="425"/>
      </w:pPr>
      <w:rPr>
        <w:rFonts w:hint="eastAsia"/>
      </w:rPr>
    </w:lvl>
    <w:lvl w:ilvl="1" w:tentative="0">
      <w:start w:val="1"/>
      <w:numFmt w:val="decimal"/>
      <w:lvlText w:val="12.%2."/>
      <w:lvlJc w:val="left"/>
      <w:pPr>
        <w:ind w:left="1418" w:hanging="567"/>
      </w:pPr>
      <w:rPr>
        <w:rFonts w:hint="eastAsia" w:ascii="宋体" w:hAnsi="宋体" w:eastAsia="宋体"/>
        <w:strike w:val="0"/>
        <w:dstrike w:val="0"/>
      </w:rPr>
    </w:lvl>
    <w:lvl w:ilvl="2" w:tentative="0">
      <w:start w:val="1"/>
      <w:numFmt w:val="decimal"/>
      <w:lvlText w:val="11.3.%3"/>
      <w:lvlJc w:val="left"/>
      <w:pPr>
        <w:ind w:left="709"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1">
    <w:nsid w:val="36EB04D5"/>
    <w:multiLevelType w:val="multilevel"/>
    <w:tmpl w:val="36EB04D5"/>
    <w:lvl w:ilvl="0" w:tentative="0">
      <w:start w:val="2"/>
      <w:numFmt w:val="japaneseCounting"/>
      <w:lvlText w:val="%1、"/>
      <w:lvlJc w:val="left"/>
      <w:pPr>
        <w:ind w:left="510" w:hanging="51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378E1379"/>
    <w:multiLevelType w:val="multilevel"/>
    <w:tmpl w:val="378E1379"/>
    <w:lvl w:ilvl="0" w:tentative="0">
      <w:start w:val="27"/>
      <w:numFmt w:val="decimal"/>
      <w:lvlText w:val="%1."/>
      <w:lvlJc w:val="left"/>
      <w:pPr>
        <w:ind w:left="425" w:hanging="425"/>
      </w:pPr>
      <w:rPr>
        <w:rFonts w:hint="eastAsia"/>
        <w:strike w:val="0"/>
        <w:dstrike w:val="0"/>
      </w:rPr>
    </w:lvl>
    <w:lvl w:ilvl="1" w:tentative="0">
      <w:start w:val="1"/>
      <w:numFmt w:val="decimal"/>
      <w:lvlText w:val="21.%2."/>
      <w:lvlJc w:val="left"/>
      <w:pPr>
        <w:ind w:left="567" w:hanging="567"/>
      </w:pPr>
      <w:rPr>
        <w:rFonts w:hint="eastAsia"/>
      </w:rPr>
    </w:lvl>
    <w:lvl w:ilvl="2" w:tentative="0">
      <w:start w:val="1"/>
      <w:numFmt w:val="decimal"/>
      <w:lvlText w:val="20.3.%3"/>
      <w:lvlJc w:val="left"/>
      <w:pPr>
        <w:ind w:left="709"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3">
    <w:nsid w:val="378F3178"/>
    <w:multiLevelType w:val="multilevel"/>
    <w:tmpl w:val="378F3178"/>
    <w:lvl w:ilvl="0" w:tentative="0">
      <w:start w:val="7"/>
      <w:numFmt w:val="decimal"/>
      <w:lvlText w:val="%1."/>
      <w:lvlJc w:val="left"/>
      <w:pPr>
        <w:ind w:left="425" w:hanging="425"/>
      </w:pPr>
      <w:rPr>
        <w:rFonts w:hint="eastAsia"/>
      </w:rPr>
    </w:lvl>
    <w:lvl w:ilvl="1" w:tentative="0">
      <w:start w:val="1"/>
      <w:numFmt w:val="decimal"/>
      <w:lvlText w:val="8.%2."/>
      <w:lvlJc w:val="left"/>
      <w:pPr>
        <w:ind w:left="1418" w:hanging="567"/>
      </w:pPr>
      <w:rPr>
        <w:rFonts w:hint="eastAsia"/>
        <w:strike w:val="0"/>
        <w:dstrike w:val="0"/>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4">
    <w:nsid w:val="3A6A2A34"/>
    <w:multiLevelType w:val="multilevel"/>
    <w:tmpl w:val="3A6A2A34"/>
    <w:lvl w:ilvl="0" w:tentative="0">
      <w:start w:val="7"/>
      <w:numFmt w:val="decimal"/>
      <w:lvlText w:val="%1."/>
      <w:lvlJc w:val="left"/>
      <w:pPr>
        <w:ind w:left="425" w:hanging="425"/>
      </w:pPr>
      <w:rPr>
        <w:rFonts w:hint="eastAsia"/>
      </w:rPr>
    </w:lvl>
    <w:lvl w:ilvl="1" w:tentative="0">
      <w:start w:val="1"/>
      <w:numFmt w:val="decimal"/>
      <w:lvlText w:val="14.%2."/>
      <w:lvlJc w:val="left"/>
      <w:pPr>
        <w:ind w:left="1418" w:hanging="567"/>
      </w:pPr>
      <w:rPr>
        <w:rFonts w:hint="eastAsia" w:ascii="宋体" w:hAnsi="宋体" w:eastAsia="宋体"/>
        <w:strike w:val="0"/>
        <w:dstrike w:val="0"/>
      </w:rPr>
    </w:lvl>
    <w:lvl w:ilvl="2" w:tentative="0">
      <w:start w:val="7"/>
      <w:numFmt w:val="decimal"/>
      <w:lvlText w:val="14.2.%3."/>
      <w:lvlJc w:val="left"/>
      <w:pPr>
        <w:ind w:left="1560"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5">
    <w:nsid w:val="3D52314A"/>
    <w:multiLevelType w:val="multilevel"/>
    <w:tmpl w:val="3D52314A"/>
    <w:lvl w:ilvl="0" w:tentative="0">
      <w:start w:val="1"/>
      <w:numFmt w:val="decimalEnclosedCircle"/>
      <w:lvlText w:val="%1_x0001_"/>
      <w:lvlJc w:val="left"/>
      <w:pPr>
        <w:ind w:left="1320" w:hanging="360"/>
      </w:pPr>
      <w:rPr>
        <w:rFonts w:hint="default"/>
      </w:r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36">
    <w:nsid w:val="447E5889"/>
    <w:multiLevelType w:val="multilevel"/>
    <w:tmpl w:val="447E5889"/>
    <w:lvl w:ilvl="0" w:tentative="0">
      <w:start w:val="7"/>
      <w:numFmt w:val="decimal"/>
      <w:lvlText w:val="%1."/>
      <w:lvlJc w:val="left"/>
      <w:pPr>
        <w:ind w:left="425" w:hanging="425"/>
      </w:pPr>
      <w:rPr>
        <w:rFonts w:hint="eastAsia"/>
      </w:rPr>
    </w:lvl>
    <w:lvl w:ilvl="1" w:tentative="0">
      <w:start w:val="1"/>
      <w:numFmt w:val="decimal"/>
      <w:lvlText w:val="10.%2."/>
      <w:lvlJc w:val="left"/>
      <w:pPr>
        <w:ind w:left="1418" w:hanging="567"/>
      </w:pPr>
      <w:rPr>
        <w:rFonts w:hint="eastAsia" w:ascii="宋体" w:hAnsi="宋体" w:eastAsia="宋体"/>
        <w:strike w:val="0"/>
        <w:dstrike w:val="0"/>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7">
    <w:nsid w:val="4541E6CA"/>
    <w:multiLevelType w:val="multilevel"/>
    <w:tmpl w:val="4541E6CA"/>
    <w:lvl w:ilvl="0" w:tentative="0">
      <w:start w:val="1"/>
      <w:numFmt w:val="decimal"/>
      <w:lvlText w:val="%1."/>
      <w:lvlJc w:val="left"/>
      <w:pPr>
        <w:ind w:left="2106" w:hanging="420"/>
      </w:pPr>
      <w:rPr>
        <w:rFonts w:hint="eastAsia"/>
      </w:rPr>
    </w:lvl>
    <w:lvl w:ilvl="1" w:tentative="0">
      <w:start w:val="1"/>
      <w:numFmt w:val="lowerLetter"/>
      <w:lvlText w:val="%2)"/>
      <w:lvlJc w:val="left"/>
      <w:pPr>
        <w:ind w:left="2526" w:hanging="420"/>
      </w:pPr>
    </w:lvl>
    <w:lvl w:ilvl="2" w:tentative="0">
      <w:start w:val="1"/>
      <w:numFmt w:val="lowerRoman"/>
      <w:lvlText w:val="%3."/>
      <w:lvlJc w:val="right"/>
      <w:pPr>
        <w:ind w:left="2946" w:hanging="420"/>
      </w:pPr>
    </w:lvl>
    <w:lvl w:ilvl="3" w:tentative="0">
      <w:start w:val="1"/>
      <w:numFmt w:val="decimal"/>
      <w:lvlText w:val="%4."/>
      <w:lvlJc w:val="left"/>
      <w:pPr>
        <w:ind w:left="3366" w:hanging="420"/>
      </w:pPr>
    </w:lvl>
    <w:lvl w:ilvl="4" w:tentative="0">
      <w:start w:val="1"/>
      <w:numFmt w:val="lowerLetter"/>
      <w:lvlText w:val="%5)"/>
      <w:lvlJc w:val="left"/>
      <w:pPr>
        <w:ind w:left="3786" w:hanging="420"/>
      </w:pPr>
    </w:lvl>
    <w:lvl w:ilvl="5" w:tentative="0">
      <w:start w:val="1"/>
      <w:numFmt w:val="lowerRoman"/>
      <w:lvlText w:val="%6."/>
      <w:lvlJc w:val="right"/>
      <w:pPr>
        <w:ind w:left="4206" w:hanging="420"/>
      </w:pPr>
    </w:lvl>
    <w:lvl w:ilvl="6" w:tentative="0">
      <w:start w:val="1"/>
      <w:numFmt w:val="decimal"/>
      <w:lvlText w:val="%7."/>
      <w:lvlJc w:val="left"/>
      <w:pPr>
        <w:ind w:left="4626" w:hanging="420"/>
      </w:pPr>
    </w:lvl>
    <w:lvl w:ilvl="7" w:tentative="0">
      <w:start w:val="1"/>
      <w:numFmt w:val="lowerLetter"/>
      <w:lvlText w:val="%8)"/>
      <w:lvlJc w:val="left"/>
      <w:pPr>
        <w:ind w:left="5046" w:hanging="420"/>
      </w:pPr>
    </w:lvl>
    <w:lvl w:ilvl="8" w:tentative="0">
      <w:start w:val="1"/>
      <w:numFmt w:val="lowerRoman"/>
      <w:lvlText w:val="%9."/>
      <w:lvlJc w:val="right"/>
      <w:pPr>
        <w:ind w:left="5466" w:hanging="420"/>
      </w:pPr>
    </w:lvl>
  </w:abstractNum>
  <w:abstractNum w:abstractNumId="38">
    <w:nsid w:val="47EA2369"/>
    <w:multiLevelType w:val="multilevel"/>
    <w:tmpl w:val="47EA2369"/>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4A182DBC"/>
    <w:multiLevelType w:val="multilevel"/>
    <w:tmpl w:val="4A182DBC"/>
    <w:lvl w:ilvl="0" w:tentative="0">
      <w:start w:val="27"/>
      <w:numFmt w:val="decimal"/>
      <w:lvlText w:val="%1."/>
      <w:lvlJc w:val="left"/>
      <w:pPr>
        <w:ind w:left="425" w:hanging="425"/>
      </w:pPr>
      <w:rPr>
        <w:rFonts w:hint="eastAsia"/>
        <w:strike w:val="0"/>
        <w:dstrike w:val="0"/>
      </w:rPr>
    </w:lvl>
    <w:lvl w:ilvl="1" w:tentative="0">
      <w:start w:val="1"/>
      <w:numFmt w:val="decimal"/>
      <w:lvlText w:val="25.%2."/>
      <w:lvlJc w:val="left"/>
      <w:pPr>
        <w:ind w:left="567" w:hanging="567"/>
      </w:pPr>
      <w:rPr>
        <w:rFonts w:hint="eastAsia"/>
      </w:rPr>
    </w:lvl>
    <w:lvl w:ilvl="2" w:tentative="0">
      <w:start w:val="1"/>
      <w:numFmt w:val="decimal"/>
      <w:lvlText w:val="25.1.%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0">
    <w:nsid w:val="4CD12045"/>
    <w:multiLevelType w:val="multilevel"/>
    <w:tmpl w:val="4CD1204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4DF57024"/>
    <w:multiLevelType w:val="multilevel"/>
    <w:tmpl w:val="4DF57024"/>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strike w:val="0"/>
        <w:dstrike w:val="0"/>
        <w:color w:val="auto"/>
      </w:rPr>
    </w:lvl>
    <w:lvl w:ilvl="2" w:tentative="0">
      <w:start w:val="1"/>
      <w:numFmt w:val="decimal"/>
      <w:lvlText w:val="%1.%2.%3."/>
      <w:lvlJc w:val="left"/>
      <w:pPr>
        <w:ind w:left="3544"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2">
    <w:nsid w:val="53F23C31"/>
    <w:multiLevelType w:val="multilevel"/>
    <w:tmpl w:val="53F23C31"/>
    <w:lvl w:ilvl="0" w:tentative="0">
      <w:start w:val="1"/>
      <w:numFmt w:val="decimal"/>
      <w:lvlText w:val="4.%1."/>
      <w:lvlJc w:val="left"/>
      <w:pPr>
        <w:ind w:left="2121"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3">
    <w:nsid w:val="56BC2449"/>
    <w:multiLevelType w:val="multilevel"/>
    <w:tmpl w:val="56BC2449"/>
    <w:lvl w:ilvl="0" w:tentative="0">
      <w:start w:val="1"/>
      <w:numFmt w:val="decimalEnclosedCircle"/>
      <w:lvlText w:val="%1"/>
      <w:lvlJc w:val="left"/>
      <w:pPr>
        <w:ind w:left="1347" w:hanging="420"/>
      </w:pPr>
      <w:rPr>
        <w:rFonts w:hint="default"/>
      </w:rPr>
    </w:lvl>
    <w:lvl w:ilvl="1" w:tentative="0">
      <w:start w:val="1"/>
      <w:numFmt w:val="lowerLetter"/>
      <w:lvlText w:val="%2)"/>
      <w:lvlJc w:val="left"/>
      <w:pPr>
        <w:ind w:left="1767" w:hanging="420"/>
      </w:pPr>
    </w:lvl>
    <w:lvl w:ilvl="2" w:tentative="0">
      <w:start w:val="1"/>
      <w:numFmt w:val="lowerRoman"/>
      <w:lvlText w:val="%3."/>
      <w:lvlJc w:val="right"/>
      <w:pPr>
        <w:ind w:left="2187" w:hanging="420"/>
      </w:pPr>
    </w:lvl>
    <w:lvl w:ilvl="3" w:tentative="0">
      <w:start w:val="1"/>
      <w:numFmt w:val="decimal"/>
      <w:lvlText w:val="%4."/>
      <w:lvlJc w:val="left"/>
      <w:pPr>
        <w:ind w:left="2607" w:hanging="420"/>
      </w:pPr>
    </w:lvl>
    <w:lvl w:ilvl="4" w:tentative="0">
      <w:start w:val="1"/>
      <w:numFmt w:val="lowerLetter"/>
      <w:lvlText w:val="%5)"/>
      <w:lvlJc w:val="left"/>
      <w:pPr>
        <w:ind w:left="3027" w:hanging="420"/>
      </w:pPr>
    </w:lvl>
    <w:lvl w:ilvl="5" w:tentative="0">
      <w:start w:val="1"/>
      <w:numFmt w:val="lowerRoman"/>
      <w:lvlText w:val="%6."/>
      <w:lvlJc w:val="right"/>
      <w:pPr>
        <w:ind w:left="3447" w:hanging="420"/>
      </w:pPr>
    </w:lvl>
    <w:lvl w:ilvl="6" w:tentative="0">
      <w:start w:val="1"/>
      <w:numFmt w:val="decimal"/>
      <w:lvlText w:val="%7."/>
      <w:lvlJc w:val="left"/>
      <w:pPr>
        <w:ind w:left="3867" w:hanging="420"/>
      </w:pPr>
    </w:lvl>
    <w:lvl w:ilvl="7" w:tentative="0">
      <w:start w:val="1"/>
      <w:numFmt w:val="lowerLetter"/>
      <w:lvlText w:val="%8)"/>
      <w:lvlJc w:val="left"/>
      <w:pPr>
        <w:ind w:left="4287" w:hanging="420"/>
      </w:pPr>
    </w:lvl>
    <w:lvl w:ilvl="8" w:tentative="0">
      <w:start w:val="1"/>
      <w:numFmt w:val="lowerRoman"/>
      <w:lvlText w:val="%9."/>
      <w:lvlJc w:val="right"/>
      <w:pPr>
        <w:ind w:left="4707" w:hanging="420"/>
      </w:pPr>
    </w:lvl>
  </w:abstractNum>
  <w:abstractNum w:abstractNumId="44">
    <w:nsid w:val="59125738"/>
    <w:multiLevelType w:val="multilevel"/>
    <w:tmpl w:val="5912573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5">
    <w:nsid w:val="5DD80408"/>
    <w:multiLevelType w:val="multilevel"/>
    <w:tmpl w:val="5DD80408"/>
    <w:lvl w:ilvl="0" w:tentative="0">
      <w:start w:val="3"/>
      <w:numFmt w:val="decimal"/>
      <w:lvlText w:val="%1"/>
      <w:lvlJc w:val="left"/>
      <w:pPr>
        <w:ind w:left="360" w:hanging="360"/>
      </w:pPr>
      <w:rPr>
        <w:rFonts w:hint="default"/>
      </w:rPr>
    </w:lvl>
    <w:lvl w:ilvl="1" w:tentative="0">
      <w:start w:val="5"/>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46">
    <w:nsid w:val="5E8260BB"/>
    <w:multiLevelType w:val="multilevel"/>
    <w:tmpl w:val="5E8260BB"/>
    <w:lvl w:ilvl="0" w:tentative="0">
      <w:start w:val="1"/>
      <w:numFmt w:val="decimal"/>
      <w:lvlText w:val="5.%1."/>
      <w:lvlJc w:val="left"/>
      <w:pPr>
        <w:ind w:left="1129"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609F7F9C"/>
    <w:multiLevelType w:val="multilevel"/>
    <w:tmpl w:val="609F7F9C"/>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60E872B5"/>
    <w:multiLevelType w:val="multilevel"/>
    <w:tmpl w:val="60E872B5"/>
    <w:lvl w:ilvl="0" w:tentative="0">
      <w:start w:val="7"/>
      <w:numFmt w:val="decimal"/>
      <w:lvlText w:val="%1."/>
      <w:lvlJc w:val="left"/>
      <w:pPr>
        <w:ind w:left="425" w:hanging="425"/>
      </w:pPr>
      <w:rPr>
        <w:rFonts w:hint="eastAsia"/>
      </w:rPr>
    </w:lvl>
    <w:lvl w:ilvl="1" w:tentative="0">
      <w:start w:val="7"/>
      <w:numFmt w:val="decimal"/>
      <w:lvlText w:val="15.%2."/>
      <w:lvlJc w:val="left"/>
      <w:pPr>
        <w:ind w:left="1418" w:hanging="567"/>
      </w:pPr>
      <w:rPr>
        <w:rFonts w:hint="eastAsia" w:ascii="宋体" w:hAnsi="宋体" w:eastAsia="宋体"/>
        <w:strike w:val="0"/>
        <w:dstrike w:val="0"/>
      </w:rPr>
    </w:lvl>
    <w:lvl w:ilvl="2" w:tentative="0">
      <w:start w:val="1"/>
      <w:numFmt w:val="decimal"/>
      <w:lvlText w:val="14.2.%3."/>
      <w:lvlJc w:val="left"/>
      <w:pPr>
        <w:ind w:left="1560"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9">
    <w:nsid w:val="627B4480"/>
    <w:multiLevelType w:val="multilevel"/>
    <w:tmpl w:val="627B4480"/>
    <w:lvl w:ilvl="0" w:tentative="0">
      <w:start w:val="32"/>
      <w:numFmt w:val="decimal"/>
      <w:lvlText w:val="%1."/>
      <w:lvlJc w:val="left"/>
      <w:pPr>
        <w:ind w:left="425" w:hanging="425"/>
      </w:pPr>
      <w:rPr>
        <w:rFonts w:hint="eastAsia"/>
        <w:strike w:val="0"/>
        <w:dstrike w:val="0"/>
      </w:rPr>
    </w:lvl>
    <w:lvl w:ilvl="1" w:tentative="0">
      <w:start w:val="1"/>
      <w:numFmt w:val="decimal"/>
      <w:lvlText w:val="26.%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0">
    <w:nsid w:val="657B6F92"/>
    <w:multiLevelType w:val="multilevel"/>
    <w:tmpl w:val="657B6F92"/>
    <w:lvl w:ilvl="0" w:tentative="0">
      <w:start w:val="7"/>
      <w:numFmt w:val="decimal"/>
      <w:lvlText w:val="%1."/>
      <w:lvlJc w:val="left"/>
      <w:pPr>
        <w:ind w:left="425" w:hanging="425"/>
      </w:pPr>
      <w:rPr>
        <w:rFonts w:hint="eastAsia"/>
      </w:rPr>
    </w:lvl>
    <w:lvl w:ilvl="1" w:tentative="0">
      <w:start w:val="1"/>
      <w:numFmt w:val="decimal"/>
      <w:lvlText w:val="11.%2."/>
      <w:lvlJc w:val="left"/>
      <w:pPr>
        <w:ind w:left="1418" w:hanging="567"/>
      </w:pPr>
      <w:rPr>
        <w:rFonts w:hint="eastAsia" w:ascii="宋体" w:hAnsi="宋体" w:eastAsia="宋体"/>
        <w:strike w:val="0"/>
        <w:dstrike w:val="0"/>
      </w:rPr>
    </w:lvl>
    <w:lvl w:ilvl="2" w:tentative="0">
      <w:start w:val="1"/>
      <w:numFmt w:val="decimal"/>
      <w:lvlText w:val="11.3.%3"/>
      <w:lvlJc w:val="left"/>
      <w:pPr>
        <w:ind w:left="709"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1">
    <w:nsid w:val="65885632"/>
    <w:multiLevelType w:val="multilevel"/>
    <w:tmpl w:val="65885632"/>
    <w:lvl w:ilvl="0" w:tentative="0">
      <w:start w:val="1"/>
      <w:numFmt w:val="chineseCountingThousand"/>
      <w:lvlText w:val="%1、"/>
      <w:lvlJc w:val="left"/>
      <w:pPr>
        <w:ind w:left="989" w:hanging="705"/>
      </w:pPr>
      <w:rPr>
        <w:rFonts w:hint="eastAsia"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2">
    <w:nsid w:val="65B94491"/>
    <w:multiLevelType w:val="multilevel"/>
    <w:tmpl w:val="65B94491"/>
    <w:lvl w:ilvl="0" w:tentative="0">
      <w:start w:val="1"/>
      <w:numFmt w:val="decimal"/>
      <w:lvlText w:val="%1."/>
      <w:lvlJc w:val="left"/>
      <w:pPr>
        <w:ind w:left="425" w:hanging="425"/>
      </w:pPr>
      <w:rPr>
        <w:rFonts w:hint="eastAsia"/>
      </w:rPr>
    </w:lvl>
    <w:lvl w:ilvl="1" w:tentative="0">
      <w:start w:val="1"/>
      <w:numFmt w:val="decimal"/>
      <w:lvlText w:val="11.%2"/>
      <w:lvlJc w:val="left"/>
      <w:pPr>
        <w:ind w:left="1418" w:hanging="567"/>
      </w:pPr>
      <w:rPr>
        <w:rFonts w:hint="eastAsia"/>
        <w:b w:val="0"/>
        <w:strike w:val="0"/>
        <w:dstrike w:val="0"/>
        <w:sz w:val="24"/>
        <w:szCs w:val="24"/>
      </w:rPr>
    </w:lvl>
    <w:lvl w:ilvl="2" w:tentative="0">
      <w:start w:val="1"/>
      <w:numFmt w:val="decimal"/>
      <w:lvlText w:val="11.2.%3"/>
      <w:lvlJc w:val="left"/>
      <w:pPr>
        <w:ind w:left="709"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3">
    <w:nsid w:val="6724183A"/>
    <w:multiLevelType w:val="multilevel"/>
    <w:tmpl w:val="6724183A"/>
    <w:lvl w:ilvl="0" w:tentative="0">
      <w:start w:val="7"/>
      <w:numFmt w:val="decimal"/>
      <w:lvlText w:val="%1."/>
      <w:lvlJc w:val="left"/>
      <w:pPr>
        <w:ind w:left="425" w:hanging="425"/>
      </w:pPr>
      <w:rPr>
        <w:rFonts w:hint="eastAsia"/>
      </w:rPr>
    </w:lvl>
    <w:lvl w:ilvl="1" w:tentative="0">
      <w:start w:val="1"/>
      <w:numFmt w:val="decimal"/>
      <w:lvlText w:val="16.%2."/>
      <w:lvlJc w:val="left"/>
      <w:pPr>
        <w:ind w:left="1418" w:hanging="567"/>
      </w:pPr>
      <w:rPr>
        <w:rFonts w:hint="eastAsia" w:ascii="宋体" w:hAnsi="宋体" w:eastAsia="宋体"/>
        <w:strike w:val="0"/>
        <w:dstrike w:val="0"/>
      </w:rPr>
    </w:lvl>
    <w:lvl w:ilvl="2" w:tentative="0">
      <w:start w:val="1"/>
      <w:numFmt w:val="decimal"/>
      <w:lvlText w:val="14.2.%3."/>
      <w:lvlJc w:val="left"/>
      <w:pPr>
        <w:ind w:left="1560"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4">
    <w:nsid w:val="693F6B0A"/>
    <w:multiLevelType w:val="multilevel"/>
    <w:tmpl w:val="693F6B0A"/>
    <w:lvl w:ilvl="0" w:tentative="0">
      <w:start w:val="32"/>
      <w:numFmt w:val="decimal"/>
      <w:lvlText w:val="%1."/>
      <w:lvlJc w:val="left"/>
      <w:pPr>
        <w:ind w:left="425" w:hanging="425"/>
      </w:pPr>
      <w:rPr>
        <w:rFonts w:hint="eastAsia"/>
        <w:strike w:val="0"/>
        <w:dstrike w:val="0"/>
      </w:rPr>
    </w:lvl>
    <w:lvl w:ilvl="1" w:tentative="0">
      <w:start w:val="1"/>
      <w:numFmt w:val="decimal"/>
      <w:lvlText w:val="27.%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5">
    <w:nsid w:val="695F2D7C"/>
    <w:multiLevelType w:val="multilevel"/>
    <w:tmpl w:val="695F2D7C"/>
    <w:lvl w:ilvl="0" w:tentative="0">
      <w:start w:val="7"/>
      <w:numFmt w:val="decimal"/>
      <w:lvlText w:val="%1."/>
      <w:lvlJc w:val="left"/>
      <w:pPr>
        <w:ind w:left="425" w:hanging="425"/>
      </w:pPr>
      <w:rPr>
        <w:rFonts w:hint="eastAsia"/>
      </w:rPr>
    </w:lvl>
    <w:lvl w:ilvl="1" w:tentative="0">
      <w:start w:val="1"/>
      <w:numFmt w:val="decimal"/>
      <w:lvlText w:val="17.%2."/>
      <w:lvlJc w:val="left"/>
      <w:pPr>
        <w:ind w:left="1418" w:hanging="567"/>
      </w:pPr>
      <w:rPr>
        <w:rFonts w:hint="eastAsia" w:ascii="宋体" w:hAnsi="宋体" w:eastAsia="宋体"/>
        <w:strike w:val="0"/>
        <w:dstrike w:val="0"/>
      </w:rPr>
    </w:lvl>
    <w:lvl w:ilvl="2" w:tentative="0">
      <w:start w:val="1"/>
      <w:numFmt w:val="decimal"/>
      <w:lvlText w:val="14.2.%3."/>
      <w:lvlJc w:val="left"/>
      <w:pPr>
        <w:ind w:left="1560"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6">
    <w:nsid w:val="6AF32A2A"/>
    <w:multiLevelType w:val="multilevel"/>
    <w:tmpl w:val="6AF32A2A"/>
    <w:lvl w:ilvl="0" w:tentative="0">
      <w:start w:val="1"/>
      <w:numFmt w:val="decimal"/>
      <w:lvlText w:val="2.%1"/>
      <w:lvlJc w:val="left"/>
      <w:pPr>
        <w:tabs>
          <w:tab w:val="left" w:pos="567"/>
        </w:tabs>
        <w:ind w:left="567" w:hanging="567"/>
      </w:pPr>
      <w:rPr>
        <w:rFonts w:hint="eastAsia" w:ascii="Times New Roman" w:hAnsi="Times New Roman" w:eastAsia="宋体"/>
      </w:rPr>
    </w:lvl>
    <w:lvl w:ilvl="1" w:tentative="0">
      <w:start w:val="1"/>
      <w:numFmt w:val="decimal"/>
      <w:lvlText w:val="%2"/>
      <w:lvlJc w:val="left"/>
      <w:pPr>
        <w:tabs>
          <w:tab w:val="left" w:pos="170"/>
        </w:tabs>
        <w:ind w:left="170" w:hanging="170"/>
      </w:pPr>
      <w:rPr>
        <w:rFonts w:hint="default" w:ascii="宋体" w:hAnsi="宋体"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7">
    <w:nsid w:val="6B4513FD"/>
    <w:multiLevelType w:val="multilevel"/>
    <w:tmpl w:val="6B4513FD"/>
    <w:lvl w:ilvl="0" w:tentative="0">
      <w:start w:val="1"/>
      <w:numFmt w:val="decimal"/>
      <w:lvlText w:val="%1."/>
      <w:lvlJc w:val="left"/>
      <w:pPr>
        <w:ind w:left="2106" w:hanging="420"/>
      </w:pPr>
      <w:rPr>
        <w:rFonts w:hint="eastAsia"/>
      </w:rPr>
    </w:lvl>
    <w:lvl w:ilvl="1" w:tentative="0">
      <w:start w:val="1"/>
      <w:numFmt w:val="lowerLetter"/>
      <w:lvlText w:val="%2)"/>
      <w:lvlJc w:val="left"/>
      <w:pPr>
        <w:ind w:left="2526" w:hanging="420"/>
      </w:pPr>
    </w:lvl>
    <w:lvl w:ilvl="2" w:tentative="0">
      <w:start w:val="1"/>
      <w:numFmt w:val="lowerRoman"/>
      <w:lvlText w:val="%3."/>
      <w:lvlJc w:val="right"/>
      <w:pPr>
        <w:ind w:left="2946" w:hanging="420"/>
      </w:pPr>
    </w:lvl>
    <w:lvl w:ilvl="3" w:tentative="0">
      <w:start w:val="1"/>
      <w:numFmt w:val="decimal"/>
      <w:lvlText w:val="%4."/>
      <w:lvlJc w:val="left"/>
      <w:pPr>
        <w:ind w:left="3366" w:hanging="420"/>
      </w:pPr>
    </w:lvl>
    <w:lvl w:ilvl="4" w:tentative="0">
      <w:start w:val="1"/>
      <w:numFmt w:val="lowerLetter"/>
      <w:lvlText w:val="%5)"/>
      <w:lvlJc w:val="left"/>
      <w:pPr>
        <w:ind w:left="3786" w:hanging="420"/>
      </w:pPr>
    </w:lvl>
    <w:lvl w:ilvl="5" w:tentative="0">
      <w:start w:val="1"/>
      <w:numFmt w:val="lowerRoman"/>
      <w:lvlText w:val="%6."/>
      <w:lvlJc w:val="right"/>
      <w:pPr>
        <w:ind w:left="4206" w:hanging="420"/>
      </w:pPr>
    </w:lvl>
    <w:lvl w:ilvl="6" w:tentative="0">
      <w:start w:val="1"/>
      <w:numFmt w:val="decimal"/>
      <w:lvlText w:val="%7."/>
      <w:lvlJc w:val="left"/>
      <w:pPr>
        <w:ind w:left="4626" w:hanging="420"/>
      </w:pPr>
    </w:lvl>
    <w:lvl w:ilvl="7" w:tentative="0">
      <w:start w:val="1"/>
      <w:numFmt w:val="lowerLetter"/>
      <w:lvlText w:val="%8)"/>
      <w:lvlJc w:val="left"/>
      <w:pPr>
        <w:ind w:left="5046" w:hanging="420"/>
      </w:pPr>
    </w:lvl>
    <w:lvl w:ilvl="8" w:tentative="0">
      <w:start w:val="1"/>
      <w:numFmt w:val="lowerRoman"/>
      <w:lvlText w:val="%9."/>
      <w:lvlJc w:val="right"/>
      <w:pPr>
        <w:ind w:left="5466" w:hanging="420"/>
      </w:pPr>
    </w:lvl>
  </w:abstractNum>
  <w:abstractNum w:abstractNumId="58">
    <w:nsid w:val="6C9151D5"/>
    <w:multiLevelType w:val="multilevel"/>
    <w:tmpl w:val="6C9151D5"/>
    <w:lvl w:ilvl="0" w:tentative="0">
      <w:start w:val="1"/>
      <w:numFmt w:val="decimal"/>
      <w:lvlText w:val="3.6.%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9">
    <w:nsid w:val="6E340CCA"/>
    <w:multiLevelType w:val="multilevel"/>
    <w:tmpl w:val="6E340CCA"/>
    <w:lvl w:ilvl="0" w:tentative="0">
      <w:start w:val="1"/>
      <w:numFmt w:val="chineseCountingThousand"/>
      <w:lvlText w:val="第%1部分"/>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0">
    <w:nsid w:val="6F1C63D3"/>
    <w:multiLevelType w:val="multilevel"/>
    <w:tmpl w:val="6F1C63D3"/>
    <w:lvl w:ilvl="0" w:tentative="0">
      <w:start w:val="7"/>
      <w:numFmt w:val="decimal"/>
      <w:lvlText w:val="%1."/>
      <w:lvlJc w:val="left"/>
      <w:pPr>
        <w:ind w:left="425" w:hanging="425"/>
      </w:pPr>
      <w:rPr>
        <w:rFonts w:hint="eastAsia"/>
      </w:rPr>
    </w:lvl>
    <w:lvl w:ilvl="1" w:tentative="0">
      <w:start w:val="1"/>
      <w:numFmt w:val="decimal"/>
      <w:lvlText w:val="9.%2."/>
      <w:lvlJc w:val="left"/>
      <w:pPr>
        <w:ind w:left="1418" w:hanging="567"/>
      </w:pPr>
      <w:rPr>
        <w:rFonts w:hint="eastAsia" w:ascii="宋体" w:hAnsi="宋体" w:eastAsia="宋体"/>
        <w:strike w:val="0"/>
        <w:dstrike w:val="0"/>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1">
    <w:nsid w:val="702D4383"/>
    <w:multiLevelType w:val="multilevel"/>
    <w:tmpl w:val="702D4383"/>
    <w:lvl w:ilvl="0" w:tentative="0">
      <w:start w:val="27"/>
      <w:numFmt w:val="decimal"/>
      <w:lvlText w:val="%1."/>
      <w:lvlJc w:val="left"/>
      <w:pPr>
        <w:ind w:left="425" w:hanging="425"/>
      </w:pPr>
      <w:rPr>
        <w:rFonts w:hint="eastAsia"/>
        <w:strike w:val="0"/>
        <w:dstrike w:val="0"/>
      </w:rPr>
    </w:lvl>
    <w:lvl w:ilvl="1" w:tentative="0">
      <w:start w:val="1"/>
      <w:numFmt w:val="decimal"/>
      <w:lvlText w:val="23.%2."/>
      <w:lvlJc w:val="left"/>
      <w:pPr>
        <w:ind w:left="567" w:hanging="567"/>
      </w:pPr>
      <w:rPr>
        <w:rFonts w:hint="eastAsia"/>
      </w:rPr>
    </w:lvl>
    <w:lvl w:ilvl="2" w:tentative="0">
      <w:start w:val="1"/>
      <w:numFmt w:val="decimal"/>
      <w:lvlText w:val="20.3.%3"/>
      <w:lvlJc w:val="left"/>
      <w:pPr>
        <w:ind w:left="709"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2">
    <w:nsid w:val="72893403"/>
    <w:multiLevelType w:val="multilevel"/>
    <w:tmpl w:val="7289340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3">
    <w:nsid w:val="73944E94"/>
    <w:multiLevelType w:val="multilevel"/>
    <w:tmpl w:val="73944E94"/>
    <w:lvl w:ilvl="0" w:tentative="0">
      <w:start w:val="1"/>
      <w:numFmt w:val="chineseCountingThousand"/>
      <w:lvlText w:val="%1、"/>
      <w:lvlJc w:val="left"/>
      <w:pPr>
        <w:ind w:left="425" w:hanging="425"/>
      </w:pPr>
      <w:rPr>
        <w:rFonts w:hint="eastAsia"/>
        <w:b w:val="0"/>
        <w:color w:val="auto"/>
        <w:sz w:val="24"/>
        <w:szCs w:val="24"/>
      </w:rPr>
    </w:lvl>
    <w:lvl w:ilvl="1" w:tentative="0">
      <w:start w:val="1"/>
      <w:numFmt w:val="decimal"/>
      <w:lvlText w:val="%2."/>
      <w:lvlJc w:val="left"/>
      <w:pPr>
        <w:ind w:left="567" w:hanging="567"/>
      </w:pPr>
      <w:rPr>
        <w:rFonts w:hint="eastAsia" w:ascii="宋体" w:hAnsi="宋体" w:eastAsia="宋体"/>
        <w:b w:val="0"/>
        <w:strike w:val="0"/>
        <w:dstrike w:val="0"/>
        <w:color w:val="auto"/>
        <w:sz w:val="24"/>
        <w:szCs w:val="24"/>
      </w:rPr>
    </w:lvl>
    <w:lvl w:ilvl="2" w:tentative="0">
      <w:start w:val="1"/>
      <w:numFmt w:val="decimal"/>
      <w:lvlText w:val="（%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4">
    <w:nsid w:val="76DE7689"/>
    <w:multiLevelType w:val="multilevel"/>
    <w:tmpl w:val="76DE7689"/>
    <w:lvl w:ilvl="0" w:tentative="0">
      <w:start w:val="4"/>
      <w:numFmt w:val="decimal"/>
      <w:lvlText w:val="%1."/>
      <w:lvlJc w:val="left"/>
      <w:pPr>
        <w:ind w:left="1380" w:hanging="420"/>
      </w:pPr>
      <w:rPr>
        <w:rFonts w:hint="eastAsia"/>
      </w:rPr>
    </w:lvl>
    <w:lvl w:ilvl="1" w:tentative="0">
      <w:start w:val="3"/>
      <w:numFmt w:val="decimal"/>
      <w:isLgl/>
      <w:lvlText w:val="%1.%2."/>
      <w:lvlJc w:val="left"/>
      <w:pPr>
        <w:ind w:left="1680" w:hanging="720"/>
      </w:pPr>
      <w:rPr>
        <w:rFonts w:hint="default"/>
      </w:rPr>
    </w:lvl>
    <w:lvl w:ilvl="2" w:tentative="0">
      <w:start w:val="1"/>
      <w:numFmt w:val="decimal"/>
      <w:isLgl/>
      <w:lvlText w:val="%1.%2.%3."/>
      <w:lvlJc w:val="left"/>
      <w:pPr>
        <w:ind w:left="1680" w:hanging="720"/>
      </w:pPr>
      <w:rPr>
        <w:rFonts w:hint="default"/>
      </w:rPr>
    </w:lvl>
    <w:lvl w:ilvl="3" w:tentative="0">
      <w:start w:val="1"/>
      <w:numFmt w:val="decimal"/>
      <w:isLgl/>
      <w:lvlText w:val="%1.%2.%3.%4."/>
      <w:lvlJc w:val="left"/>
      <w:pPr>
        <w:ind w:left="2040" w:hanging="1080"/>
      </w:pPr>
      <w:rPr>
        <w:rFonts w:hint="default"/>
      </w:rPr>
    </w:lvl>
    <w:lvl w:ilvl="4" w:tentative="0">
      <w:start w:val="1"/>
      <w:numFmt w:val="decimal"/>
      <w:isLgl/>
      <w:lvlText w:val="%1.%2.%3.%4.%5."/>
      <w:lvlJc w:val="left"/>
      <w:pPr>
        <w:ind w:left="2400" w:hanging="1440"/>
      </w:pPr>
      <w:rPr>
        <w:rFonts w:hint="default"/>
      </w:rPr>
    </w:lvl>
    <w:lvl w:ilvl="5" w:tentative="0">
      <w:start w:val="1"/>
      <w:numFmt w:val="decimal"/>
      <w:isLgl/>
      <w:lvlText w:val="%1.%2.%3.%4.%5.%6."/>
      <w:lvlJc w:val="left"/>
      <w:pPr>
        <w:ind w:left="2400" w:hanging="1440"/>
      </w:pPr>
      <w:rPr>
        <w:rFonts w:hint="default"/>
      </w:rPr>
    </w:lvl>
    <w:lvl w:ilvl="6" w:tentative="0">
      <w:start w:val="1"/>
      <w:numFmt w:val="decimal"/>
      <w:isLgl/>
      <w:lvlText w:val="%1.%2.%3.%4.%5.%6.%7."/>
      <w:lvlJc w:val="left"/>
      <w:pPr>
        <w:ind w:left="2760" w:hanging="1800"/>
      </w:pPr>
      <w:rPr>
        <w:rFonts w:hint="default"/>
      </w:rPr>
    </w:lvl>
    <w:lvl w:ilvl="7" w:tentative="0">
      <w:start w:val="1"/>
      <w:numFmt w:val="decimal"/>
      <w:isLgl/>
      <w:lvlText w:val="%1.%2.%3.%4.%5.%6.%7.%8."/>
      <w:lvlJc w:val="left"/>
      <w:pPr>
        <w:ind w:left="3120" w:hanging="2160"/>
      </w:pPr>
      <w:rPr>
        <w:rFonts w:hint="default"/>
      </w:rPr>
    </w:lvl>
    <w:lvl w:ilvl="8" w:tentative="0">
      <w:start w:val="1"/>
      <w:numFmt w:val="decimal"/>
      <w:isLgl/>
      <w:lvlText w:val="%1.%2.%3.%4.%5.%6.%7.%8.%9."/>
      <w:lvlJc w:val="left"/>
      <w:pPr>
        <w:ind w:left="3120" w:hanging="2160"/>
      </w:pPr>
      <w:rPr>
        <w:rFonts w:hint="default"/>
      </w:rPr>
    </w:lvl>
  </w:abstractNum>
  <w:abstractNum w:abstractNumId="65">
    <w:nsid w:val="79254731"/>
    <w:multiLevelType w:val="multilevel"/>
    <w:tmpl w:val="79254731"/>
    <w:lvl w:ilvl="0" w:tentative="0">
      <w:start w:val="20"/>
      <w:numFmt w:val="decimal"/>
      <w:lvlText w:val="%1."/>
      <w:lvlJc w:val="left"/>
      <w:pPr>
        <w:ind w:left="425" w:hanging="425"/>
      </w:pPr>
      <w:rPr>
        <w:rFonts w:hint="eastAsia"/>
        <w:strike w:val="0"/>
        <w:dstrike w:val="0"/>
      </w:rPr>
    </w:lvl>
    <w:lvl w:ilvl="1" w:tentative="0">
      <w:start w:val="13"/>
      <w:numFmt w:val="decimal"/>
      <w:lvlText w:val="%1.%2."/>
      <w:lvlJc w:val="left"/>
      <w:pPr>
        <w:ind w:left="2410" w:hanging="567"/>
      </w:pPr>
      <w:rPr>
        <w:rFonts w:hint="eastAsia"/>
      </w:rPr>
    </w:lvl>
    <w:lvl w:ilvl="2" w:tentative="0">
      <w:start w:val="1"/>
      <w:numFmt w:val="decimal"/>
      <w:lvlText w:val="%1.%2.%3."/>
      <w:lvlJc w:val="left"/>
      <w:pPr>
        <w:ind w:left="851"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6">
    <w:nsid w:val="7B9855DB"/>
    <w:multiLevelType w:val="multilevel"/>
    <w:tmpl w:val="7B9855DB"/>
    <w:lvl w:ilvl="0" w:tentative="0">
      <w:start w:val="4"/>
      <w:numFmt w:val="decimal"/>
      <w:lvlText w:val="%1."/>
      <w:lvlJc w:val="left"/>
      <w:pPr>
        <w:ind w:left="425" w:hanging="425"/>
      </w:pPr>
      <w:rPr>
        <w:rFonts w:hint="eastAsia" w:ascii="宋体" w:hAnsi="宋体" w:eastAsia="宋体"/>
      </w:rPr>
    </w:lvl>
    <w:lvl w:ilvl="1" w:tentative="0">
      <w:start w:val="1"/>
      <w:numFmt w:val="decimal"/>
      <w:lvlText w:val="4.%2."/>
      <w:lvlJc w:val="left"/>
      <w:pPr>
        <w:ind w:left="2268" w:hanging="567"/>
      </w:pPr>
      <w:rPr>
        <w:rFonts w:hint="eastAsia" w:ascii="宋体" w:hAnsi="宋体" w:eastAsia="宋体"/>
        <w:color w:val="auto"/>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7">
    <w:nsid w:val="7E460664"/>
    <w:multiLevelType w:val="multilevel"/>
    <w:tmpl w:val="7E460664"/>
    <w:lvl w:ilvl="0" w:tentative="0">
      <w:start w:val="1"/>
      <w:numFmt w:val="chineseCountingThousand"/>
      <w:lvlText w:val="%1、"/>
      <w:lvlJc w:val="left"/>
      <w:pPr>
        <w:ind w:left="2690" w:hanging="705"/>
      </w:pPr>
      <w:rPr>
        <w:rFonts w:hint="eastAsia"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68">
    <w:nsid w:val="7E80414F"/>
    <w:multiLevelType w:val="singleLevel"/>
    <w:tmpl w:val="7E80414F"/>
    <w:lvl w:ilvl="0" w:tentative="0">
      <w:start w:val="1"/>
      <w:numFmt w:val="decimal"/>
      <w:lvlText w:val="(%1)"/>
      <w:lvlJc w:val="left"/>
      <w:pPr>
        <w:ind w:left="425" w:hanging="425"/>
      </w:pPr>
      <w:rPr>
        <w:rFonts w:hint="default"/>
      </w:rPr>
    </w:lvl>
  </w:abstractNum>
  <w:abstractNum w:abstractNumId="69">
    <w:nsid w:val="7F052ADE"/>
    <w:multiLevelType w:val="multilevel"/>
    <w:tmpl w:val="7F052ADE"/>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7F5A757B"/>
    <w:multiLevelType w:val="multilevel"/>
    <w:tmpl w:val="7F5A757B"/>
    <w:lvl w:ilvl="0" w:tentative="0">
      <w:start w:val="27"/>
      <w:numFmt w:val="decimal"/>
      <w:lvlText w:val="%1."/>
      <w:lvlJc w:val="left"/>
      <w:pPr>
        <w:ind w:left="425" w:hanging="425"/>
      </w:pPr>
      <w:rPr>
        <w:rFonts w:hint="eastAsia"/>
        <w:strike w:val="0"/>
        <w:dstrike w:val="0"/>
      </w:rPr>
    </w:lvl>
    <w:lvl w:ilvl="1" w:tentative="0">
      <w:start w:val="1"/>
      <w:numFmt w:val="decimal"/>
      <w:lvlText w:val="20.%2."/>
      <w:lvlJc w:val="left"/>
      <w:pPr>
        <w:ind w:left="567" w:hanging="567"/>
      </w:pPr>
      <w:rPr>
        <w:rFonts w:hint="eastAsia"/>
      </w:rPr>
    </w:lvl>
    <w:lvl w:ilvl="2" w:tentative="0">
      <w:start w:val="27"/>
      <w:numFmt w:val="decimal"/>
      <w:lvlText w:val="20.3.%3"/>
      <w:lvlJc w:val="left"/>
      <w:pPr>
        <w:ind w:left="709" w:hanging="709"/>
      </w:pPr>
      <w:rPr>
        <w:rFonts w:hint="eastAsia" w:ascii="宋体" w:hAnsi="宋体" w:eastAsia="宋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1"/>
  </w:num>
  <w:num w:numId="2">
    <w:abstractNumId w:val="69"/>
  </w:num>
  <w:num w:numId="3">
    <w:abstractNumId w:val="59"/>
  </w:num>
  <w:num w:numId="4">
    <w:abstractNumId w:val="2"/>
  </w:num>
  <w:num w:numId="5">
    <w:abstractNumId w:val="14"/>
  </w:num>
  <w:num w:numId="6">
    <w:abstractNumId w:val="68"/>
  </w:num>
  <w:num w:numId="7">
    <w:abstractNumId w:val="67"/>
  </w:num>
  <w:num w:numId="8">
    <w:abstractNumId w:val="41"/>
  </w:num>
  <w:num w:numId="9">
    <w:abstractNumId w:val="33"/>
  </w:num>
  <w:num w:numId="10">
    <w:abstractNumId w:val="60"/>
  </w:num>
  <w:num w:numId="11">
    <w:abstractNumId w:val="36"/>
  </w:num>
  <w:num w:numId="12">
    <w:abstractNumId w:val="50"/>
  </w:num>
  <w:num w:numId="13">
    <w:abstractNumId w:val="30"/>
  </w:num>
  <w:num w:numId="14">
    <w:abstractNumId w:val="18"/>
  </w:num>
  <w:num w:numId="15">
    <w:abstractNumId w:val="34"/>
  </w:num>
  <w:num w:numId="16">
    <w:abstractNumId w:val="48"/>
  </w:num>
  <w:num w:numId="17">
    <w:abstractNumId w:val="35"/>
  </w:num>
  <w:num w:numId="18">
    <w:abstractNumId w:val="19"/>
  </w:num>
  <w:num w:numId="19">
    <w:abstractNumId w:val="53"/>
  </w:num>
  <w:num w:numId="20">
    <w:abstractNumId w:val="55"/>
  </w:num>
  <w:num w:numId="21">
    <w:abstractNumId w:val="20"/>
  </w:num>
  <w:num w:numId="22">
    <w:abstractNumId w:val="28"/>
  </w:num>
  <w:num w:numId="23">
    <w:abstractNumId w:val="65"/>
  </w:num>
  <w:num w:numId="24">
    <w:abstractNumId w:val="70"/>
  </w:num>
  <w:num w:numId="25">
    <w:abstractNumId w:val="32"/>
  </w:num>
  <w:num w:numId="26">
    <w:abstractNumId w:val="7"/>
  </w:num>
  <w:num w:numId="27">
    <w:abstractNumId w:val="61"/>
  </w:num>
  <w:num w:numId="28">
    <w:abstractNumId w:val="27"/>
  </w:num>
  <w:num w:numId="29">
    <w:abstractNumId w:val="10"/>
  </w:num>
  <w:num w:numId="30">
    <w:abstractNumId w:val="39"/>
  </w:num>
  <w:num w:numId="31">
    <w:abstractNumId w:val="26"/>
  </w:num>
  <w:num w:numId="32">
    <w:abstractNumId w:val="16"/>
  </w:num>
  <w:num w:numId="33">
    <w:abstractNumId w:val="49"/>
  </w:num>
  <w:num w:numId="34">
    <w:abstractNumId w:val="54"/>
  </w:num>
  <w:num w:numId="35">
    <w:abstractNumId w:val="5"/>
  </w:num>
  <w:num w:numId="36">
    <w:abstractNumId w:val="6"/>
  </w:num>
  <w:num w:numId="37">
    <w:abstractNumId w:val="57"/>
  </w:num>
  <w:num w:numId="38">
    <w:abstractNumId w:val="38"/>
  </w:num>
  <w:num w:numId="39">
    <w:abstractNumId w:val="24"/>
  </w:num>
  <w:num w:numId="40">
    <w:abstractNumId w:val="45"/>
  </w:num>
  <w:num w:numId="41">
    <w:abstractNumId w:val="58"/>
  </w:num>
  <w:num w:numId="42">
    <w:abstractNumId w:val="64"/>
  </w:num>
  <w:num w:numId="43">
    <w:abstractNumId w:val="42"/>
  </w:num>
  <w:num w:numId="44">
    <w:abstractNumId w:val="46"/>
  </w:num>
  <w:num w:numId="45">
    <w:abstractNumId w:val="12"/>
  </w:num>
  <w:num w:numId="46">
    <w:abstractNumId w:val="29"/>
  </w:num>
  <w:num w:numId="47">
    <w:abstractNumId w:val="17"/>
  </w:num>
  <w:num w:numId="48">
    <w:abstractNumId w:val="13"/>
  </w:num>
  <w:num w:numId="49">
    <w:abstractNumId w:val="8"/>
  </w:num>
  <w:num w:numId="50">
    <w:abstractNumId w:val="62"/>
  </w:num>
  <w:num w:numId="51">
    <w:abstractNumId w:val="52"/>
  </w:num>
  <w:num w:numId="52">
    <w:abstractNumId w:val="23"/>
  </w:num>
  <w:num w:numId="53">
    <w:abstractNumId w:val="21"/>
  </w:num>
  <w:num w:numId="54">
    <w:abstractNumId w:val="31"/>
  </w:num>
  <w:num w:numId="55">
    <w:abstractNumId w:val="63"/>
  </w:num>
  <w:num w:numId="56">
    <w:abstractNumId w:val="43"/>
  </w:num>
  <w:num w:numId="57">
    <w:abstractNumId w:val="0"/>
  </w:num>
  <w:num w:numId="58">
    <w:abstractNumId w:val="15"/>
  </w:num>
  <w:num w:numId="59">
    <w:abstractNumId w:val="51"/>
  </w:num>
  <w:num w:numId="60">
    <w:abstractNumId w:val="37"/>
  </w:num>
  <w:num w:numId="61">
    <w:abstractNumId w:val="56"/>
    <w:lvlOverride w:ilvl="0">
      <w:startOverride w:val="1"/>
      <w:lvl w:ilvl="0" w:tentative="1">
        <w:start w:val="1"/>
        <w:numFmt w:val="decimal"/>
        <w:lvlText w:val="2.%1"/>
        <w:lvlJc w:val="left"/>
        <w:pPr>
          <w:tabs>
            <w:tab w:val="left" w:pos="567"/>
          </w:tabs>
          <w:ind w:left="567" w:hanging="567"/>
        </w:pPr>
        <w:rPr>
          <w:rFonts w:hint="eastAsia" w:ascii="Times New Roman" w:hAnsi="Times New Roman" w:eastAsia="宋体"/>
        </w:rPr>
      </w:lvl>
    </w:lvlOverride>
    <w:lvlOverride w:ilvl="1">
      <w:startOverride w:val="1"/>
      <w:lvl w:ilvl="1" w:tentative="1">
        <w:start w:val="1"/>
        <w:numFmt w:val="decimal"/>
        <w:lvlText w:val="%2"/>
        <w:lvlJc w:val="left"/>
        <w:pPr>
          <w:tabs>
            <w:tab w:val="left" w:pos="170"/>
          </w:tabs>
          <w:ind w:left="170" w:hanging="170"/>
        </w:pPr>
        <w:rPr>
          <w:rFonts w:hint="default" w:ascii="宋体" w:hAnsi="宋体" w:eastAsia="宋体" w:cs="Times New Roman"/>
          <w:spacing w:val="-20"/>
          <w:kern w:val="2"/>
          <w:position w:val="0"/>
        </w:rPr>
      </w:lvl>
    </w:lvlOverride>
    <w:lvlOverride w:ilvl="2">
      <w:startOverride w:val="1"/>
      <w:lvl w:ilvl="2" w:tentative="1">
        <w:start w:val="1"/>
        <w:numFmt w:val="lowerRoman"/>
        <w:lvlText w:val="%3."/>
        <w:lvlJc w:val="right"/>
        <w:pPr>
          <w:tabs>
            <w:tab w:val="left" w:pos="1260"/>
          </w:tabs>
          <w:ind w:left="1260" w:hanging="420"/>
        </w:pPr>
      </w:lvl>
    </w:lvlOverride>
    <w:lvlOverride w:ilvl="3">
      <w:startOverride w:val="1"/>
      <w:lvl w:ilvl="3" w:tentative="1">
        <w:start w:val="1"/>
        <w:numFmt w:val="decimal"/>
        <w:lvlText w:val="%4."/>
        <w:lvlJc w:val="left"/>
        <w:pPr>
          <w:tabs>
            <w:tab w:val="left" w:pos="1680"/>
          </w:tabs>
          <w:ind w:left="1680" w:hanging="420"/>
        </w:pPr>
      </w:lvl>
    </w:lvlOverride>
    <w:lvlOverride w:ilvl="4">
      <w:startOverride w:val="1"/>
      <w:lvl w:ilvl="4" w:tentative="1">
        <w:start w:val="1"/>
        <w:numFmt w:val="lowerLetter"/>
        <w:lvlText w:val="%5)"/>
        <w:lvlJc w:val="left"/>
        <w:pPr>
          <w:tabs>
            <w:tab w:val="left" w:pos="2100"/>
          </w:tabs>
          <w:ind w:left="2100" w:hanging="420"/>
        </w:pPr>
      </w:lvl>
    </w:lvlOverride>
    <w:lvlOverride w:ilvl="5">
      <w:startOverride w:val="1"/>
      <w:lvl w:ilvl="5" w:tentative="1">
        <w:start w:val="1"/>
        <w:numFmt w:val="lowerRoman"/>
        <w:lvlText w:val="%6."/>
        <w:lvlJc w:val="right"/>
        <w:pPr>
          <w:tabs>
            <w:tab w:val="left" w:pos="2520"/>
          </w:tabs>
          <w:ind w:left="2520" w:hanging="420"/>
        </w:pPr>
      </w:lvl>
    </w:lvlOverride>
    <w:lvlOverride w:ilvl="6">
      <w:startOverride w:val="1"/>
      <w:lvl w:ilvl="6" w:tentative="1">
        <w:start w:val="1"/>
        <w:numFmt w:val="decimal"/>
        <w:lvlText w:val="%7."/>
        <w:lvlJc w:val="left"/>
        <w:pPr>
          <w:tabs>
            <w:tab w:val="left" w:pos="2940"/>
          </w:tabs>
          <w:ind w:left="2940" w:hanging="420"/>
        </w:pPr>
      </w:lvl>
    </w:lvlOverride>
    <w:lvlOverride w:ilvl="7">
      <w:startOverride w:val="1"/>
      <w:lvl w:ilvl="7" w:tentative="1">
        <w:start w:val="1"/>
        <w:numFmt w:val="lowerLetter"/>
        <w:lvlText w:val="%8)"/>
        <w:lvlJc w:val="left"/>
        <w:pPr>
          <w:tabs>
            <w:tab w:val="left" w:pos="3360"/>
          </w:tabs>
          <w:ind w:left="3360" w:hanging="420"/>
        </w:pPr>
      </w:lvl>
    </w:lvlOverride>
    <w:lvlOverride w:ilvl="8">
      <w:startOverride w:val="1"/>
      <w:lvl w:ilvl="8" w:tentative="1">
        <w:start w:val="1"/>
        <w:numFmt w:val="lowerRoman"/>
        <w:lvlText w:val="%9."/>
        <w:lvlJc w:val="right"/>
        <w:pPr>
          <w:tabs>
            <w:tab w:val="left" w:pos="3780"/>
          </w:tabs>
          <w:ind w:left="3780" w:hanging="420"/>
        </w:pPr>
      </w:lvl>
    </w:lvlOverride>
  </w:num>
  <w:num w:numId="62">
    <w:abstractNumId w:val="11"/>
    <w:lvlOverride w:ilvl="0">
      <w:lvl w:ilvl="0" w:tentative="1">
        <w:start w:val="3"/>
        <w:numFmt w:val="decimal"/>
        <w:lvlText w:val="%1."/>
        <w:lvlJc w:val="left"/>
        <w:pPr>
          <w:ind w:left="420" w:hanging="420"/>
        </w:pPr>
        <w:rPr>
          <w:rFonts w:hint="eastAsia" w:ascii="宋体" w:hAnsi="宋体" w:eastAsia="宋体"/>
        </w:rPr>
      </w:lvl>
    </w:lvlOverride>
    <w:lvlOverride w:ilvl="1">
      <w:lvl w:ilvl="1" w:tentative="1">
        <w:start w:val="1"/>
        <w:numFmt w:val="lowerLetter"/>
        <w:lvlText w:val="%2)"/>
        <w:lvlJc w:val="left"/>
        <w:pPr>
          <w:ind w:left="840" w:hanging="420"/>
        </w:pPr>
        <w:rPr>
          <w:rFonts w:hint="eastAsia" w:ascii="宋体" w:hAnsi="宋体" w:eastAsia="宋体"/>
          <w:color w:val="auto"/>
        </w:rPr>
      </w:lvl>
    </w:lvlOverride>
    <w:lvlOverride w:ilvl="2">
      <w:lvl w:ilvl="2" w:tentative="1">
        <w:start w:val="1"/>
        <w:numFmt w:val="lowerRoman"/>
        <w:lvlText w:val="%3."/>
        <w:lvlJc w:val="right"/>
        <w:pPr>
          <w:ind w:left="1260" w:hanging="420"/>
        </w:pPr>
        <w:rPr>
          <w:rFonts w:hint="eastAsia"/>
        </w:rPr>
      </w:lvl>
    </w:lvlOverride>
    <w:lvlOverride w:ilvl="3">
      <w:lvl w:ilvl="3" w:tentative="1">
        <w:start w:val="1"/>
        <w:numFmt w:val="decimal"/>
        <w:lvlText w:val="%4."/>
        <w:lvlJc w:val="left"/>
        <w:pPr>
          <w:ind w:left="1680" w:hanging="420"/>
        </w:pPr>
        <w:rPr>
          <w:rFonts w:hint="eastAsia"/>
        </w:rPr>
      </w:lvl>
    </w:lvlOverride>
    <w:lvlOverride w:ilvl="4">
      <w:lvl w:ilvl="4" w:tentative="1">
        <w:start w:val="1"/>
        <w:numFmt w:val="lowerLetter"/>
        <w:lvlText w:val="%5)"/>
        <w:lvlJc w:val="left"/>
        <w:pPr>
          <w:ind w:left="2100" w:hanging="420"/>
        </w:pPr>
        <w:rPr>
          <w:rFonts w:hint="eastAsia"/>
        </w:rPr>
      </w:lvl>
    </w:lvlOverride>
    <w:lvlOverride w:ilvl="5">
      <w:lvl w:ilvl="5" w:tentative="1">
        <w:start w:val="1"/>
        <w:numFmt w:val="lowerRoman"/>
        <w:lvlText w:val="%6."/>
        <w:lvlJc w:val="right"/>
        <w:pPr>
          <w:ind w:left="2520" w:hanging="420"/>
        </w:pPr>
        <w:rPr>
          <w:rFonts w:hint="eastAsia"/>
        </w:rPr>
      </w:lvl>
    </w:lvlOverride>
    <w:lvlOverride w:ilvl="6">
      <w:lvl w:ilvl="6" w:tentative="1">
        <w:start w:val="1"/>
        <w:numFmt w:val="decimal"/>
        <w:lvlText w:val="%7."/>
        <w:lvlJc w:val="left"/>
        <w:pPr>
          <w:ind w:left="2940" w:hanging="420"/>
        </w:pPr>
        <w:rPr>
          <w:rFonts w:hint="eastAsia"/>
        </w:rPr>
      </w:lvl>
    </w:lvlOverride>
    <w:lvlOverride w:ilvl="7">
      <w:lvl w:ilvl="7" w:tentative="1">
        <w:start w:val="1"/>
        <w:numFmt w:val="lowerLetter"/>
        <w:lvlText w:val="%8)"/>
        <w:lvlJc w:val="left"/>
        <w:pPr>
          <w:ind w:left="3360" w:hanging="420"/>
        </w:pPr>
        <w:rPr>
          <w:rFonts w:hint="eastAsia"/>
        </w:rPr>
      </w:lvl>
    </w:lvlOverride>
    <w:lvlOverride w:ilvl="8">
      <w:lvl w:ilvl="8" w:tentative="1">
        <w:start w:val="1"/>
        <w:numFmt w:val="lowerRoman"/>
        <w:lvlText w:val="%9."/>
        <w:lvlJc w:val="right"/>
        <w:pPr>
          <w:ind w:left="3780" w:hanging="420"/>
        </w:pPr>
        <w:rPr>
          <w:rFonts w:hint="eastAsia"/>
        </w:rPr>
      </w:lvl>
    </w:lvlOverride>
  </w:num>
  <w:num w:numId="63">
    <w:abstractNumId w:val="9"/>
  </w:num>
  <w:num w:numId="64">
    <w:abstractNumId w:val="25"/>
  </w:num>
  <w:num w:numId="65">
    <w:abstractNumId w:val="66"/>
  </w:num>
  <w:num w:numId="66">
    <w:abstractNumId w:val="40"/>
  </w:num>
  <w:num w:numId="67">
    <w:abstractNumId w:val="4"/>
  </w:num>
  <w:num w:numId="68">
    <w:abstractNumId w:val="1"/>
  </w:num>
  <w:num w:numId="69">
    <w:abstractNumId w:val="3"/>
  </w:num>
  <w:num w:numId="70">
    <w:abstractNumId w:val="47"/>
  </w:num>
  <w:num w:numId="71">
    <w:abstractNumId w:val="44"/>
  </w:num>
  <w:num w:numId="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dit="readOnly" w:enforcement="0"/>
  <w:defaultTabStop w:val="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mZhMjUxYTczMDhkZWRlMGJmYjdlN2VjNGQxZmQ2OTEifQ=="/>
  </w:docVars>
  <w:rsids>
    <w:rsidRoot w:val="00000000"/>
    <w:rsid w:val="0FD53541"/>
    <w:rsid w:val="1FAFB0B4"/>
    <w:rsid w:val="25FB6C70"/>
    <w:rsid w:val="2BAFE961"/>
    <w:rsid w:val="2DDF4286"/>
    <w:rsid w:val="4FFB7F16"/>
    <w:rsid w:val="5DBF307B"/>
    <w:rsid w:val="5DEBCD71"/>
    <w:rsid w:val="5FFF8A63"/>
    <w:rsid w:val="66BA96B5"/>
    <w:rsid w:val="67BF229D"/>
    <w:rsid w:val="6C550DE1"/>
    <w:rsid w:val="771FE534"/>
    <w:rsid w:val="7BFF9499"/>
    <w:rsid w:val="7EF59D5C"/>
    <w:rsid w:val="7FFB1DC0"/>
    <w:rsid w:val="7FFF5A81"/>
    <w:rsid w:val="8BFFF811"/>
    <w:rsid w:val="97FB073F"/>
    <w:rsid w:val="AF74B47E"/>
    <w:rsid w:val="BBEA43A9"/>
    <w:rsid w:val="BFFBC37B"/>
    <w:rsid w:val="D7B6D9B8"/>
    <w:rsid w:val="DFB69A94"/>
    <w:rsid w:val="DFDF7893"/>
    <w:rsid w:val="E37F2F01"/>
    <w:rsid w:val="E6FFEC16"/>
    <w:rsid w:val="ECDD021B"/>
    <w:rsid w:val="EE75C6BB"/>
    <w:rsid w:val="EFF430AB"/>
    <w:rsid w:val="F4FD66DE"/>
    <w:rsid w:val="F7BDE54C"/>
    <w:rsid w:val="F7FF289E"/>
    <w:rsid w:val="FCCF3A87"/>
    <w:rsid w:val="FD4F40E1"/>
    <w:rsid w:val="FE5BB090"/>
    <w:rsid w:val="FE77DA8C"/>
    <w:rsid w:val="FEDF36D4"/>
    <w:rsid w:val="FF7EB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spacing w:line="360" w:lineRule="auto"/>
      <w:jc w:val="both"/>
    </w:pPr>
    <w:rPr>
      <w:rFonts w:ascii="Times New Roman" w:hAnsi="Times New Roman" w:eastAsia="宋体" w:cs="Times New Roman"/>
      <w:kern w:val="2"/>
      <w:sz w:val="24"/>
      <w:szCs w:val="22"/>
      <w:lang w:val="en-US" w:eastAsia="zh-CN" w:bidi="ar-SA"/>
    </w:rPr>
  </w:style>
  <w:style w:type="paragraph" w:styleId="3">
    <w:name w:val="heading 1"/>
    <w:basedOn w:val="1"/>
    <w:next w:val="1"/>
    <w:link w:val="36"/>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numPr>
        <w:ilvl w:val="0"/>
        <w:numId w:val="1"/>
      </w:numPr>
      <w:spacing w:before="260" w:after="260" w:line="415" w:lineRule="auto"/>
      <w:outlineLvl w:val="2"/>
    </w:pPr>
    <w:rPr>
      <w:b/>
      <w:bCs/>
      <w:sz w:val="32"/>
      <w:szCs w:val="32"/>
    </w:rPr>
  </w:style>
  <w:style w:type="paragraph" w:styleId="6">
    <w:name w:val="heading 4"/>
    <w:basedOn w:val="1"/>
    <w:next w:val="1"/>
    <w:qFormat/>
    <w:uiPriority w:val="0"/>
    <w:pPr>
      <w:keepNext/>
      <w:keepLines/>
      <w:widowControl w:val="0"/>
      <w:numPr>
        <w:ilvl w:val="1"/>
        <w:numId w:val="1"/>
      </w:numPr>
      <w:outlineLvl w:val="3"/>
    </w:pPr>
    <w:rPr>
      <w:rFonts w:ascii="Cambria" w:hAnsi="Cambria"/>
      <w:b/>
      <w:bCs/>
      <w:szCs w:val="28"/>
    </w:rPr>
  </w:style>
  <w:style w:type="character" w:default="1" w:styleId="31">
    <w:name w:val="Default Paragraph Font"/>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Cs w:val="20"/>
    </w:rPr>
  </w:style>
  <w:style w:type="paragraph" w:styleId="7">
    <w:name w:val="toc 7"/>
    <w:basedOn w:val="1"/>
    <w:next w:val="1"/>
    <w:qFormat/>
    <w:uiPriority w:val="0"/>
    <w:pPr>
      <w:ind w:left="1260"/>
      <w:jc w:val="left"/>
    </w:pPr>
    <w:rPr>
      <w:rFonts w:ascii="Calibri" w:hAnsi="Calibri"/>
      <w:sz w:val="18"/>
      <w:szCs w:val="18"/>
    </w:rPr>
  </w:style>
  <w:style w:type="paragraph" w:styleId="8">
    <w:name w:val="Normal Indent"/>
    <w:basedOn w:val="1"/>
    <w:qFormat/>
    <w:uiPriority w:val="0"/>
    <w:pPr>
      <w:ind w:firstLine="420"/>
    </w:pPr>
    <w:rPr>
      <w:szCs w:val="20"/>
    </w:rPr>
  </w:style>
  <w:style w:type="paragraph" w:styleId="9">
    <w:name w:val="Document Map"/>
    <w:basedOn w:val="1"/>
    <w:qFormat/>
    <w:uiPriority w:val="0"/>
    <w:rPr>
      <w:rFonts w:ascii="宋体"/>
      <w:sz w:val="18"/>
      <w:szCs w:val="18"/>
    </w:rPr>
  </w:style>
  <w:style w:type="paragraph" w:styleId="10">
    <w:name w:val="toa heading"/>
    <w:basedOn w:val="1"/>
    <w:next w:val="1"/>
    <w:qFormat/>
    <w:uiPriority w:val="0"/>
    <w:pPr>
      <w:spacing w:before="120"/>
    </w:pPr>
    <w:rPr>
      <w:rFonts w:ascii="Arial" w:hAnsi="Arial"/>
    </w:rPr>
  </w:style>
  <w:style w:type="paragraph" w:styleId="11">
    <w:name w:val="annotation text"/>
    <w:basedOn w:val="1"/>
    <w:qFormat/>
    <w:uiPriority w:val="0"/>
    <w:pPr>
      <w:jc w:val="left"/>
    </w:pPr>
  </w:style>
  <w:style w:type="paragraph" w:styleId="12">
    <w:name w:val="toc 5"/>
    <w:basedOn w:val="1"/>
    <w:next w:val="1"/>
    <w:qFormat/>
    <w:uiPriority w:val="0"/>
    <w:pPr>
      <w:ind w:left="840"/>
      <w:jc w:val="left"/>
    </w:pPr>
    <w:rPr>
      <w:rFonts w:ascii="Calibri" w:hAnsi="Calibri"/>
      <w:sz w:val="18"/>
      <w:szCs w:val="18"/>
    </w:rPr>
  </w:style>
  <w:style w:type="paragraph" w:styleId="13">
    <w:name w:val="toc 3"/>
    <w:basedOn w:val="1"/>
    <w:next w:val="1"/>
    <w:qFormat/>
    <w:uiPriority w:val="0"/>
    <w:pPr>
      <w:ind w:left="420"/>
      <w:jc w:val="left"/>
    </w:pPr>
    <w:rPr>
      <w:rFonts w:ascii="Calibri" w:hAnsi="Calibri"/>
      <w:i/>
      <w:iCs/>
      <w:sz w:val="20"/>
      <w:szCs w:val="20"/>
    </w:rPr>
  </w:style>
  <w:style w:type="paragraph" w:styleId="14">
    <w:name w:val="Plain Text"/>
    <w:basedOn w:val="1"/>
    <w:next w:val="1"/>
    <w:qFormat/>
    <w:uiPriority w:val="0"/>
    <w:rPr>
      <w:rFonts w:ascii="宋体" w:hAnsi="Courier New"/>
      <w:szCs w:val="21"/>
    </w:rPr>
  </w:style>
  <w:style w:type="paragraph" w:styleId="15">
    <w:name w:val="toc 8"/>
    <w:basedOn w:val="1"/>
    <w:next w:val="1"/>
    <w:qFormat/>
    <w:uiPriority w:val="0"/>
    <w:pPr>
      <w:ind w:left="1470"/>
      <w:jc w:val="left"/>
    </w:pPr>
    <w:rPr>
      <w:rFonts w:ascii="Calibri" w:hAnsi="Calibri"/>
      <w:sz w:val="18"/>
      <w:szCs w:val="18"/>
    </w:rPr>
  </w:style>
  <w:style w:type="paragraph" w:styleId="16">
    <w:name w:val="Date"/>
    <w:basedOn w:val="1"/>
    <w:next w:val="1"/>
    <w:qFormat/>
    <w:uiPriority w:val="0"/>
    <w:pPr>
      <w:ind w:left="2500" w:leftChars="2500"/>
    </w:pPr>
  </w:style>
  <w:style w:type="paragraph" w:styleId="17">
    <w:name w:val="Body Text Indent 2"/>
    <w:basedOn w:val="1"/>
    <w:qFormat/>
    <w:uiPriority w:val="0"/>
    <w:pPr>
      <w:spacing w:after="120" w:line="480" w:lineRule="auto"/>
      <w:ind w:left="200" w:leftChars="200"/>
    </w:pPr>
  </w:style>
  <w:style w:type="paragraph" w:styleId="18">
    <w:name w:val="Balloon Text"/>
    <w:basedOn w:val="1"/>
    <w:qFormat/>
    <w:uiPriority w:val="0"/>
    <w:rPr>
      <w:rFonts w:ascii="Calibri" w:hAnsi="Calibri"/>
      <w:kern w:val="0"/>
      <w:sz w:val="18"/>
      <w:szCs w:val="18"/>
    </w:rPr>
  </w:style>
  <w:style w:type="paragraph" w:styleId="19">
    <w:name w:val="footer"/>
    <w:basedOn w:val="1"/>
    <w:qFormat/>
    <w:uiPriority w:val="0"/>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0"/>
    <w:pPr>
      <w:spacing w:before="120" w:after="120"/>
      <w:jc w:val="left"/>
    </w:pPr>
    <w:rPr>
      <w:rFonts w:ascii="Calibri" w:hAnsi="Calibri"/>
      <w:b/>
      <w:bCs/>
      <w:caps/>
      <w:sz w:val="20"/>
      <w:szCs w:val="20"/>
    </w:rPr>
  </w:style>
  <w:style w:type="paragraph" w:styleId="22">
    <w:name w:val="toc 4"/>
    <w:basedOn w:val="1"/>
    <w:next w:val="1"/>
    <w:qFormat/>
    <w:uiPriority w:val="0"/>
    <w:pPr>
      <w:ind w:left="630"/>
      <w:jc w:val="left"/>
    </w:pPr>
    <w:rPr>
      <w:rFonts w:ascii="Calibri" w:hAnsi="Calibri"/>
      <w:sz w:val="18"/>
      <w:szCs w:val="18"/>
    </w:rPr>
  </w:style>
  <w:style w:type="paragraph" w:styleId="23">
    <w:name w:val="index heading"/>
    <w:basedOn w:val="1"/>
    <w:next w:val="24"/>
    <w:qFormat/>
    <w:uiPriority w:val="0"/>
    <w:rPr>
      <w:szCs w:val="20"/>
    </w:rPr>
  </w:style>
  <w:style w:type="paragraph" w:styleId="24">
    <w:name w:val="index 1"/>
    <w:basedOn w:val="1"/>
    <w:next w:val="1"/>
    <w:qFormat/>
    <w:uiPriority w:val="0"/>
  </w:style>
  <w:style w:type="paragraph" w:styleId="25">
    <w:name w:val="toc 6"/>
    <w:basedOn w:val="1"/>
    <w:next w:val="1"/>
    <w:qFormat/>
    <w:uiPriority w:val="0"/>
    <w:pPr>
      <w:ind w:left="1050"/>
      <w:jc w:val="left"/>
    </w:pPr>
    <w:rPr>
      <w:rFonts w:ascii="Calibri" w:hAnsi="Calibri"/>
      <w:sz w:val="18"/>
      <w:szCs w:val="18"/>
    </w:rPr>
  </w:style>
  <w:style w:type="paragraph" w:styleId="26">
    <w:name w:val="toc 2"/>
    <w:basedOn w:val="1"/>
    <w:next w:val="1"/>
    <w:qFormat/>
    <w:uiPriority w:val="0"/>
    <w:pPr>
      <w:ind w:left="210"/>
      <w:jc w:val="left"/>
    </w:pPr>
    <w:rPr>
      <w:rFonts w:ascii="Calibri" w:hAnsi="Calibri"/>
      <w:smallCaps/>
      <w:sz w:val="20"/>
      <w:szCs w:val="20"/>
    </w:rPr>
  </w:style>
  <w:style w:type="paragraph" w:styleId="27">
    <w:name w:val="toc 9"/>
    <w:basedOn w:val="1"/>
    <w:next w:val="1"/>
    <w:qFormat/>
    <w:uiPriority w:val="0"/>
    <w:pPr>
      <w:ind w:left="1680"/>
      <w:jc w:val="left"/>
    </w:pPr>
    <w:rPr>
      <w:rFonts w:ascii="Calibri" w:hAnsi="Calibri"/>
      <w:sz w:val="18"/>
      <w:szCs w:val="18"/>
    </w:rPr>
  </w:style>
  <w:style w:type="paragraph" w:styleId="28">
    <w:name w:val="Normal (Web)"/>
    <w:basedOn w:val="1"/>
    <w:qFormat/>
    <w:uiPriority w:val="0"/>
    <w:pPr>
      <w:widowControl/>
      <w:spacing w:before="100" w:beforeAutospacing="1" w:after="100" w:afterAutospacing="1"/>
      <w:jc w:val="left"/>
    </w:pPr>
    <w:rPr>
      <w:rFonts w:ascii="宋体" w:hAnsi="宋体"/>
      <w:color w:val="000000"/>
      <w:kern w:val="0"/>
      <w:szCs w:val="24"/>
    </w:rPr>
  </w:style>
  <w:style w:type="paragraph" w:styleId="29">
    <w:name w:val="annotation subject"/>
    <w:basedOn w:val="11"/>
    <w:next w:val="11"/>
    <w:qFormat/>
    <w:uiPriority w:val="0"/>
    <w:rPr>
      <w:b/>
      <w:bCs/>
    </w:rPr>
  </w:style>
  <w:style w:type="character" w:styleId="32">
    <w:name w:val="Strong"/>
    <w:qFormat/>
    <w:uiPriority w:val="0"/>
    <w:rPr>
      <w:b/>
      <w:bCs/>
    </w:rPr>
  </w:style>
  <w:style w:type="character" w:styleId="33">
    <w:name w:val="FollowedHyperlink"/>
    <w:qFormat/>
    <w:uiPriority w:val="0"/>
    <w:rPr>
      <w:color w:val="800080"/>
      <w:u w:val="single"/>
    </w:rPr>
  </w:style>
  <w:style w:type="character" w:styleId="34">
    <w:name w:val="Hyperlink"/>
    <w:qFormat/>
    <w:uiPriority w:val="0"/>
    <w:rPr>
      <w:color w:val="0000FF"/>
      <w:u w:val="single"/>
    </w:rPr>
  </w:style>
  <w:style w:type="character" w:styleId="35">
    <w:name w:val="annotation reference"/>
    <w:qFormat/>
    <w:uiPriority w:val="0"/>
    <w:rPr>
      <w:sz w:val="21"/>
      <w:szCs w:val="21"/>
    </w:rPr>
  </w:style>
  <w:style w:type="character" w:customStyle="1" w:styleId="36">
    <w:name w:val="heading 1 Char"/>
    <w:basedOn w:val="31"/>
    <w:link w:val="3"/>
    <w:qFormat/>
    <w:uiPriority w:val="0"/>
    <w:rPr>
      <w:rFonts w:ascii="Times New Roman" w:hAnsi="Times New Roman" w:eastAsia="宋体" w:cs="Times New Roman"/>
      <w:b/>
      <w:bCs/>
      <w:kern w:val="44"/>
      <w:sz w:val="44"/>
      <w:szCs w:val="44"/>
      <w:lang w:val="en-US" w:eastAsia="zh-CN" w:bidi="ar-SA"/>
    </w:rPr>
  </w:style>
  <w:style w:type="paragraph" w:customStyle="1" w:styleId="37">
    <w:name w:val="Table Paragraph"/>
    <w:basedOn w:val="1"/>
    <w:qFormat/>
    <w:uiPriority w:val="0"/>
    <w:pPr>
      <w:wordWrap w:val="0"/>
      <w:autoSpaceDE w:val="0"/>
      <w:autoSpaceDN w:val="0"/>
      <w:adjustRightInd w:val="0"/>
      <w:jc w:val="left"/>
    </w:pPr>
    <w:rPr>
      <w:rFonts w:ascii="宋体" w:cs="宋体"/>
      <w:kern w:val="0"/>
      <w:szCs w:val="24"/>
    </w:rPr>
  </w:style>
  <w:style w:type="paragraph" w:styleId="38">
    <w:name w:val="List Paragraph"/>
    <w:basedOn w:val="1"/>
    <w:qFormat/>
    <w:uiPriority w:val="0"/>
    <w:pPr>
      <w:ind w:firstLine="200" w:firstLineChars="200"/>
    </w:pPr>
  </w:style>
  <w:style w:type="character" w:customStyle="1" w:styleId="39">
    <w:name w:val="正文文本 Char1"/>
    <w:qFormat/>
    <w:uiPriority w:val="0"/>
    <w:rPr>
      <w:kern w:val="2"/>
      <w:sz w:val="21"/>
      <w:szCs w:val="22"/>
    </w:rPr>
  </w:style>
  <w:style w:type="paragraph" w:customStyle="1" w:styleId="40">
    <w:name w:val="小标1"/>
    <w:basedOn w:val="1"/>
    <w:qFormat/>
    <w:uiPriority w:val="0"/>
    <w:pPr>
      <w:widowControl/>
      <w:spacing w:line="300" w:lineRule="auto"/>
      <w:jc w:val="center"/>
    </w:pPr>
    <w:rPr>
      <w:b/>
      <w:kern w:val="0"/>
      <w:szCs w:val="20"/>
    </w:rPr>
  </w:style>
  <w:style w:type="paragraph" w:customStyle="1" w:styleId="41">
    <w:name w:val="正文1"/>
    <w:basedOn w:val="1"/>
    <w:qFormat/>
    <w:uiPriority w:val="0"/>
    <w:pPr>
      <w:widowControl/>
      <w:spacing w:line="300" w:lineRule="auto"/>
      <w:jc w:val="left"/>
    </w:pPr>
    <w:rPr>
      <w:kern w:val="0"/>
      <w:szCs w:val="20"/>
    </w:rPr>
  </w:style>
  <w:style w:type="character" w:customStyle="1" w:styleId="42">
    <w:name w:val="纯文本 Char"/>
    <w:qFormat/>
    <w:uiPriority w:val="0"/>
    <w:rPr>
      <w:rFonts w:ascii="宋体" w:hAnsi="Courier New" w:cs="Courier New"/>
      <w:kern w:val="2"/>
      <w:sz w:val="21"/>
      <w:szCs w:val="21"/>
    </w:rPr>
  </w:style>
  <w:style w:type="character" w:customStyle="1" w:styleId="43">
    <w:name w:val="15"/>
    <w:qFormat/>
    <w:uiPriority w:val="0"/>
  </w:style>
  <w:style w:type="character" w:customStyle="1" w:styleId="44">
    <w:name w:val="p141"/>
    <w:qFormat/>
    <w:uiPriority w:val="0"/>
    <w:rPr>
      <w:sz w:val="21"/>
      <w:szCs w:val="21"/>
    </w:rPr>
  </w:style>
  <w:style w:type="paragraph" w:customStyle="1" w:styleId="45">
    <w:name w:val="正文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_Style 63"/>
    <w:qFormat/>
    <w:uiPriority w:val="0"/>
    <w:rPr>
      <w:rFonts w:ascii="Times New Roman" w:hAnsi="Times New Roman" w:eastAsia="宋体" w:cs="Times New Roman"/>
      <w:kern w:val="2"/>
      <w:sz w:val="21"/>
      <w:szCs w:val="22"/>
      <w:lang w:val="en-US" w:eastAsia="zh-CN" w:bidi="ar-SA"/>
    </w:rPr>
  </w:style>
  <w:style w:type="paragraph" w:customStyle="1" w:styleId="47">
    <w:name w:val="默认"/>
    <w:qFormat/>
    <w:uiPriority w:val="0"/>
    <w:rPr>
      <w:rFonts w:ascii="Helvetica Neue" w:hAnsi="Helvetica Neue" w:eastAsia="Helvetica Neue" w:cs="Helvetica Neue"/>
      <w:color w:val="000000"/>
      <w:sz w:val="22"/>
      <w:szCs w:val="22"/>
      <w:lang w:val="en-US" w:eastAsia="zh-CN" w:bidi="ar-SA"/>
    </w:rPr>
  </w:style>
  <w:style w:type="paragraph" w:customStyle="1" w:styleId="48">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49">
    <w:name w:val="大标题"/>
    <w:next w:val="1"/>
    <w:qFormat/>
    <w:uiPriority w:val="0"/>
    <w:pPr>
      <w:keepNext/>
    </w:pPr>
    <w:rPr>
      <w:rFonts w:ascii="Arial Unicode MS" w:hAnsi="Arial Unicode MS" w:eastAsia="Helvetica Neue" w:cs="Arial Unicode MS"/>
      <w:b/>
      <w:bCs/>
      <w:color w:val="000000"/>
      <w:sz w:val="60"/>
      <w:szCs w:val="60"/>
      <w:lang w:val="zh-CN" w:eastAsia="zh-CN" w:bidi="ar-SA"/>
    </w:rPr>
  </w:style>
  <w:style w:type="paragraph" w:customStyle="1" w:styleId="50">
    <w:name w:val="p0"/>
    <w:basedOn w:val="1"/>
    <w:qFormat/>
    <w:uiPriority w:val="0"/>
    <w:pPr>
      <w:widowControl/>
      <w:jc w:val="left"/>
    </w:pPr>
    <w:rPr>
      <w:rFonts w:ascii="宋体" w:hAnsi="宋体" w:cs="宋体"/>
      <w:kern w:val="0"/>
      <w:szCs w:val="24"/>
    </w:rPr>
  </w:style>
  <w:style w:type="paragraph" w:customStyle="1" w:styleId="51">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Char Char2"/>
    <w:basedOn w:val="1"/>
    <w:qFormat/>
    <w:uiPriority w:val="0"/>
    <w:rPr>
      <w:rFonts w:ascii="宋体" w:hAnsi="宋体"/>
      <w:b/>
      <w:sz w:val="28"/>
      <w:szCs w:val="28"/>
    </w:rPr>
  </w:style>
  <w:style w:type="paragraph" w:customStyle="1" w:styleId="54">
    <w:name w:val="Body text|2"/>
    <w:basedOn w:val="1"/>
    <w:qFormat/>
    <w:uiPriority w:val="0"/>
    <w:pPr>
      <w:wordWrap/>
      <w:spacing w:line="480" w:lineRule="auto"/>
      <w:ind w:firstLine="400"/>
    </w:pPr>
    <w:rPr>
      <w:rFonts w:ascii="宋体" w:hAnsi="宋体" w:cs="宋体"/>
      <w:sz w:val="21"/>
      <w:szCs w:val="24"/>
      <w:lang w:val="zh-TW" w:eastAsia="zh-TW" w:bidi="zh-TW"/>
    </w:rPr>
  </w:style>
  <w:style w:type="paragraph" w:customStyle="1" w:styleId="55">
    <w:name w:val="_Style 73"/>
    <w:qFormat/>
    <w:uiPriority w:val="0"/>
    <w:rPr>
      <w:rFonts w:ascii="Times New Roman" w:hAnsi="Times New Roman" w:eastAsia="宋体" w:cs="Times New Roman"/>
      <w:kern w:val="2"/>
      <w:sz w:val="24"/>
      <w:szCs w:val="22"/>
      <w:lang w:val="en-US" w:eastAsia="zh-CN" w:bidi="ar-SA"/>
    </w:rPr>
  </w:style>
  <w:style w:type="paragraph" w:customStyle="1" w:styleId="56">
    <w:name w:val="_Style 74"/>
    <w:qFormat/>
    <w:uiPriority w:val="0"/>
    <w:rPr>
      <w:rFonts w:ascii="Times New Roman" w:hAnsi="Times New Roman" w:eastAsia="宋体" w:cs="Times New Roman"/>
      <w:kern w:val="2"/>
      <w:sz w:val="24"/>
      <w:szCs w:val="22"/>
      <w:lang w:val="en-US" w:eastAsia="zh-CN" w:bidi="ar-SA"/>
    </w:rPr>
  </w:style>
  <w:style w:type="paragraph" w:customStyle="1" w:styleId="57">
    <w:name w:val="Revision"/>
    <w:qFormat/>
    <w:uiPriority w:val="0"/>
    <w:rPr>
      <w:rFonts w:ascii="Times New Roman"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170</Pages>
  <Words>0</Words>
  <Characters>65082</Characters>
  <Lines>0</Lines>
  <Paragraphs>1640</Paragraphs>
  <TotalTime>58</TotalTime>
  <ScaleCrop>false</ScaleCrop>
  <LinksUpToDate>false</LinksUpToDate>
  <CharactersWithSpaces>86777</CharactersWithSpaces>
  <Application>WPS Office_11.1.0.11664_F1E327BC-269C-435d-A152-05C5408002CA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2020-11-14T00:13:00Z</dcterms:created>
  <dc:creator>黄志峰</dc:creator>
  <cp:lastModifiedBy>zhangshuyi</cp:lastModifiedBy>
  <dcterms:modified xsi:type="dcterms:W3CDTF">2026-02-12T10:30:10Z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2052-11.1.0.11664</vt:lpwstr>
  </property>
  <property fmtid="{D5CDD505-2E9C-101B-9397-08002B2CF9AE}" pid="3" name="ICV">
    <vt:lpwstr>DFCC27B35F904702A09DFD4F44717732_13</vt:lpwstr>
  </property>
  <property fmtid="{D5CDD505-2E9C-101B-9397-08002B2CF9AE}" pid="4" name="KSOTemplateDocerSaveRecord">
    <vt:lpwstr>eyJoZGlkIjoiNzRmZDI4NjFhN2M2MzBhMzY3ZDMyMmY1ZTllMmU2YzciLCJ1c2VySWQiOiIyNzIwOTA4ODYifQ==</vt:lpwstr>
  </property>
</Properties>
</file>