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46"/>
        <w:autoSpaceDN w:val="0"/>
        <w:spacing w:line="580" w:lineRule="exact"/>
        <w:jc w:val="center"/>
        <w:rPr>
          <w:rFonts w:ascii="方正小标宋_GBK" w:eastAsia="方正小标宋_GBK" w:cs="方正小标宋_GBK"/>
          <w:sz w:val="44"/>
          <w:szCs w:val="44"/>
        </w:rPr>
      </w:pPr>
      <w:bookmarkStart w:id="0" w:name="_Hlk25540369"/>
      <w:bookmarkStart w:id="1" w:name="cogw__正文__file"/>
      <w:bookmarkStart w:id="2" w:name="_GoBack"/>
      <w:bookmarkEnd w:id="2"/>
      <w:r>
        <w:rPr>
          <w:rFonts w:ascii="方正小标宋_GBK" w:eastAsia="方正小标宋_GBK" w:cs="方正小标宋_GBK" w:hint="eastAsia"/>
          <w:sz w:val="44"/>
          <w:szCs w:val="44"/>
        </w:rPr>
        <w:t>广州邮局海关2025年政府信息公开工作</w:t>
      </w:r>
    </w:p>
    <w:p>
      <w:pPr>
        <w:pStyle w:val="46"/>
        <w:autoSpaceDN w:val="0"/>
        <w:spacing w:line="58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年度报告</w:t>
      </w:r>
    </w:p>
    <w:p>
      <w:pPr>
        <w:pStyle w:val="28"/>
        <w:widowControl/>
        <w:adjustRightInd w:val="0"/>
        <w:snapToGrid w:val="0"/>
        <w:spacing w:beforeAutospacing="0" w:afterAutospacing="0" w:line="560" w:lineRule="exact"/>
        <w:jc w:val="both"/>
        <w:rPr>
          <w:rFonts w:ascii="楷体_GB2312" w:eastAsia="楷体_GB2312" w:cs="楷体_GB2312"/>
          <w:bCs/>
          <w:sz w:val="32"/>
          <w:szCs w:val="32"/>
        </w:rPr>
      </w:pPr>
      <w:bookmarkEnd w:id="0"/>
    </w:p>
    <w:p>
      <w:pPr>
        <w:pStyle w:val="28"/>
        <w:widowControl/>
        <w:wordWrap w:val="0"/>
        <w:autoSpaceDN w:val="0"/>
        <w:adjustRightInd w:val="0"/>
        <w:snapToGrid w:val="0"/>
        <w:spacing w:beforeAutospacing="0" w:afterAutospacing="0" w:line="560" w:lineRule="exact"/>
        <w:ind w:firstLineChars="200" w:firstLine="640"/>
        <w:jc w:val="both"/>
        <w:rPr>
          <w:rFonts w:eastAsia="方正仿宋_GBK"/>
          <w:sz w:val="32"/>
          <w:szCs w:val="32"/>
        </w:rPr>
      </w:pPr>
      <w:r>
        <w:rPr>
          <w:rFonts w:eastAsia="方正仿宋_GBK"/>
          <w:sz w:val="32"/>
          <w:szCs w:val="32"/>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广州邮局海关2025年政府信息公开工作年报。年报中所列数据的统计期限，自2025年1月1日起至2025年12月31日止。如对本年报有疑问或有任何意见、建议，请联系广州邮局海关办公室。地址：广东省广州市越秀区站南路4号流花邮政大院；邮编：510010；电话：020-81134010；电子邮箱：gzhgyjhg@customs.gov.cn。</w:t>
      </w:r>
    </w:p>
    <w:p>
      <w:pPr>
        <w:pStyle w:val="28"/>
        <w:widowControl/>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rPr>
        <w:t>一、总体情况</w:t>
      </w:r>
    </w:p>
    <w:p>
      <w:pPr>
        <w:pStyle w:val="42"/>
        <w:adjustRightInd w:val="0"/>
        <w:snapToGrid w:val="0"/>
        <w:ind w:firstLineChars="200" w:firstLine="624"/>
        <w:rPr>
          <w:rFonts w:ascii="方正仿宋_GBK" w:cs="Arial"/>
          <w:szCs w:val="32"/>
        </w:rPr>
      </w:pPr>
      <w:r>
        <w:rPr>
          <w:szCs w:val="32"/>
        </w:rPr>
        <w:t>202</w:t>
      </w:r>
      <w:r>
        <w:rPr>
          <w:rFonts w:hint="eastAsia"/>
          <w:szCs w:val="32"/>
        </w:rPr>
        <w:t>5</w:t>
      </w:r>
      <w:r>
        <w:rPr>
          <w:rFonts w:ascii="方正仿宋_GBK" w:cs="Arial" w:hint="eastAsia"/>
          <w:szCs w:val="32"/>
        </w:rPr>
        <w:t>年，广州</w:t>
      </w:r>
      <w:r>
        <w:rPr>
          <w:rFonts w:ascii="方正仿宋_GBK" w:cs="Arial"/>
          <w:szCs w:val="32"/>
        </w:rPr>
        <w:t>邮局海关</w:t>
      </w:r>
      <w:r>
        <w:rPr>
          <w:rFonts w:ascii="方正仿宋_GBK" w:cs="Arial" w:hint="eastAsia"/>
          <w:szCs w:val="32"/>
        </w:rPr>
        <w:t>坚持以习近平新时代中国特色社会主义思想为指导，全面贯彻落实党的二十大和二十</w:t>
      </w:r>
      <w:r>
        <w:rPr>
          <w:rFonts w:ascii="方正仿宋_GBK" w:cs="Arial"/>
          <w:szCs w:val="32"/>
        </w:rPr>
        <w:t>届历次</w:t>
      </w:r>
      <w:r>
        <w:rPr>
          <w:rFonts w:ascii="方正仿宋_GBK" w:cs="Arial" w:hint="eastAsia"/>
          <w:szCs w:val="32"/>
        </w:rPr>
        <w:t>全会精神，深入学习贯彻习近平总书记</w:t>
      </w:r>
      <w:r>
        <w:rPr>
          <w:szCs w:val="32"/>
        </w:rPr>
        <w:t>重要指示批示和</w:t>
      </w:r>
      <w:r>
        <w:rPr>
          <w:rFonts w:ascii="方正仿宋_GBK" w:cs="Arial" w:hint="eastAsia"/>
          <w:szCs w:val="32"/>
        </w:rPr>
        <w:t>给红其拉甫海关全体关员重要回信精神，坚持以人民为中心的新时代政务公开工作理念，严格执行法律法规要求，增强政务服务的针对性和实效性，推动政务公开工作高质量发展。现将工作情况报告如下：</w:t>
      </w:r>
    </w:p>
    <w:p>
      <w:pPr>
        <w:pStyle w:val="42"/>
        <w:adjustRightInd w:val="0"/>
        <w:snapToGrid w:val="0"/>
        <w:ind w:firstLineChars="200" w:firstLine="640"/>
        <w:rPr>
          <w:rFonts w:ascii="方正仿宋_GBK" w:cs="Arial"/>
          <w:szCs w:val="32"/>
        </w:rPr>
      </w:pPr>
      <w:r>
        <w:rPr>
          <w:rFonts w:ascii="方正楷体_GBK" w:eastAsia="方正楷体_GBK" w:hint="eastAsia"/>
          <w:b/>
          <w:bCs/>
          <w:spacing w:val="0"/>
          <w:szCs w:val="32"/>
        </w:rPr>
        <w:t>（一）主动公开方面。</w:t>
      </w:r>
    </w:p>
    <w:p>
      <w:pPr>
        <w:pStyle w:val="42"/>
        <w:adjustRightInd w:val="0"/>
        <w:snapToGrid w:val="0"/>
        <w:ind w:firstLineChars="200" w:firstLine="624"/>
        <w:rPr>
          <w:rFonts w:ascii="方正楷体_GBK" w:eastAsia="方正楷体_GBK"/>
          <w:b/>
          <w:bCs/>
          <w:spacing w:val="0"/>
          <w:szCs w:val="32"/>
        </w:rPr>
      </w:pPr>
      <w:r>
        <w:rPr>
          <w:rFonts w:ascii="方正仿宋_GBK" w:cs="Arial" w:hint="eastAsia"/>
          <w:b/>
          <w:bCs/>
          <w:szCs w:val="32"/>
        </w:rPr>
        <w:t>一是</w:t>
      </w:r>
      <w:r>
        <w:rPr>
          <w:rFonts w:ascii="方正仿宋_GBK" w:cs="Arial" w:hint="eastAsia"/>
          <w:szCs w:val="32"/>
        </w:rPr>
        <w:t>优化行政处罚</w:t>
      </w:r>
      <w:r>
        <w:rPr>
          <w:rFonts w:ascii="方正仿宋_GBK" w:cs="Arial"/>
          <w:szCs w:val="32"/>
        </w:rPr>
        <w:t>决定</w:t>
      </w:r>
      <w:r>
        <w:rPr>
          <w:rFonts w:ascii="方正仿宋_GBK" w:cs="Arial" w:hint="eastAsia"/>
          <w:szCs w:val="32"/>
        </w:rPr>
        <w:t>信息公示格式，按照“谁执法、谁审批、谁公开”</w:t>
      </w:r>
      <w:r>
        <w:rPr>
          <w:rFonts w:ascii="方正仿宋_GBK" w:cs="Arial"/>
          <w:szCs w:val="32"/>
        </w:rPr>
        <w:t>的</w:t>
      </w:r>
      <w:r>
        <w:rPr>
          <w:rFonts w:ascii="方正仿宋_GBK" w:cs="Arial" w:hint="eastAsia"/>
          <w:szCs w:val="32"/>
        </w:rPr>
        <w:t>原则及时、准确发布信息，统一信息标题命名规则，便利企业公众查询。</w:t>
      </w:r>
      <w:r>
        <w:rPr>
          <w:rFonts w:ascii="方正仿宋_GBK" w:cs="Arial" w:hint="eastAsia"/>
          <w:b/>
          <w:bCs/>
          <w:szCs w:val="32"/>
        </w:rPr>
        <w:t>二是</w:t>
      </w:r>
      <w:r>
        <w:rPr>
          <w:rFonts w:ascii="方正仿宋_GBK" w:cs="Arial" w:hint="eastAsia"/>
          <w:szCs w:val="32"/>
        </w:rPr>
        <w:t>精准公开事项</w:t>
      </w:r>
      <w:r>
        <w:rPr>
          <w:rFonts w:ascii="方正仿宋_GBK" w:cs="Arial"/>
          <w:szCs w:val="32"/>
        </w:rPr>
        <w:t>范围</w:t>
      </w:r>
      <w:r>
        <w:rPr>
          <w:rFonts w:ascii="方正仿宋_GBK" w:cs="Arial" w:hint="eastAsia"/>
          <w:szCs w:val="32"/>
        </w:rPr>
        <w:t>，</w:t>
      </w:r>
      <w:r>
        <w:rPr>
          <w:rFonts w:ascii="方正仿宋_GBK" w:cs="Arial"/>
          <w:szCs w:val="32"/>
        </w:rPr>
        <w:t>梳理</w:t>
      </w:r>
      <w:r>
        <w:rPr>
          <w:rFonts w:ascii="方正仿宋_GBK" w:cs="Arial" w:hint="eastAsia"/>
          <w:szCs w:val="32"/>
        </w:rPr>
        <w:t>《广州邮局海关行政检查随机抽查事项清单》，明确</w:t>
      </w:r>
      <w:r>
        <w:rPr>
          <w:szCs w:val="32"/>
        </w:rPr>
        <w:t>4</w:t>
      </w:r>
      <w:r>
        <w:rPr>
          <w:rFonts w:ascii="方正仿宋_GBK" w:cs="Arial" w:hint="eastAsia"/>
          <w:szCs w:val="32"/>
        </w:rPr>
        <w:t>项抽查事项的检查对象和依据。</w:t>
      </w:r>
      <w:r>
        <w:rPr>
          <w:rFonts w:ascii="方正仿宋_GBK" w:cs="Arial" w:hint="eastAsia"/>
          <w:b/>
          <w:bCs/>
          <w:szCs w:val="32"/>
        </w:rPr>
        <w:t>三是</w:t>
      </w:r>
      <w:r>
        <w:rPr>
          <w:rFonts w:ascii="方正仿宋_GBK" w:cs="Arial" w:hint="eastAsia"/>
          <w:szCs w:val="32"/>
        </w:rPr>
        <w:t>多渠道开展海关政策宣传，拓展信息覆盖面，</w:t>
      </w:r>
      <w:r>
        <w:rPr>
          <w:szCs w:val="32"/>
        </w:rPr>
        <w:t>2025</w:t>
      </w:r>
      <w:r>
        <w:rPr>
          <w:rFonts w:ascii="方正仿宋_GBK" w:cs="Arial" w:hint="eastAsia"/>
          <w:szCs w:val="32"/>
        </w:rPr>
        <w:t>年在电视台、</w:t>
      </w:r>
      <w:r>
        <w:rPr>
          <w:rFonts w:ascii="方正仿宋_GBK" w:cs="Arial"/>
          <w:szCs w:val="32"/>
        </w:rPr>
        <w:t>报刊</w:t>
      </w:r>
      <w:r>
        <w:rPr>
          <w:rFonts w:ascii="方正仿宋_GBK" w:cs="Arial" w:hint="eastAsia"/>
          <w:szCs w:val="32"/>
        </w:rPr>
        <w:t>等</w:t>
      </w:r>
      <w:r>
        <w:rPr>
          <w:rFonts w:ascii="方正仿宋_GBK" w:cs="Arial"/>
          <w:szCs w:val="32"/>
        </w:rPr>
        <w:t>传统媒体和微信、微博等新</w:t>
      </w:r>
      <w:r>
        <w:rPr>
          <w:rFonts w:ascii="方正仿宋_GBK" w:cs="Arial" w:hint="eastAsia"/>
          <w:szCs w:val="32"/>
        </w:rPr>
        <w:t>媒体发布新闻宣传、政策解读稿件</w:t>
      </w:r>
      <w:r>
        <w:rPr>
          <w:szCs w:val="32"/>
        </w:rPr>
        <w:t>80余</w:t>
      </w:r>
      <w:r>
        <w:rPr>
          <w:rFonts w:ascii="方正仿宋_GBK" w:cs="Arial" w:hint="eastAsia"/>
          <w:szCs w:val="32"/>
        </w:rPr>
        <w:t>篇。</w:t>
      </w:r>
    </w:p>
    <w:p>
      <w:pPr>
        <w:pStyle w:val="42"/>
        <w:adjustRightInd w:val="0"/>
        <w:snapToGrid w:val="0"/>
        <w:ind w:firstLineChars="200" w:firstLine="640"/>
        <w:rPr>
          <w:rFonts w:ascii="方正仿宋_GBK" w:cs="Arial"/>
          <w:szCs w:val="32"/>
        </w:rPr>
      </w:pPr>
      <w:r>
        <w:rPr>
          <w:rFonts w:ascii="方正楷体_GBK" w:eastAsia="方正楷体_GBK" w:hint="eastAsia"/>
          <w:b/>
          <w:bCs/>
          <w:spacing w:val="0"/>
          <w:szCs w:val="32"/>
        </w:rPr>
        <w:t>（二）依申请公开方面。</w:t>
      </w:r>
    </w:p>
    <w:p>
      <w:pPr>
        <w:pStyle w:val="42"/>
        <w:adjustRightInd w:val="0"/>
        <w:snapToGrid w:val="0"/>
        <w:ind w:firstLineChars="200" w:firstLine="624"/>
        <w:rPr>
          <w:rFonts w:ascii="方正楷体_GBK" w:eastAsia="方正楷体_GBK"/>
          <w:b/>
          <w:bCs/>
          <w:spacing w:val="0"/>
          <w:szCs w:val="32"/>
        </w:rPr>
      </w:pPr>
      <w:r>
        <w:rPr>
          <w:rFonts w:ascii="方正仿宋_GBK" w:cs="Arial" w:hint="eastAsia"/>
          <w:szCs w:val="32"/>
        </w:rPr>
        <w:t>强化</w:t>
      </w:r>
      <w:r>
        <w:rPr>
          <w:rFonts w:ascii="方正仿宋_GBK" w:cs="Arial"/>
          <w:szCs w:val="32"/>
        </w:rPr>
        <w:t>政府</w:t>
      </w:r>
      <w:r>
        <w:rPr>
          <w:rFonts w:ascii="方正仿宋_GBK" w:cs="Arial" w:hint="eastAsia"/>
          <w:szCs w:val="32"/>
        </w:rPr>
        <w:t>信息公开申请接收渠道管理，设有现场受理、邮政信函、电子邮箱、传真等多种渠道，专人维护确保渠道畅通。</w:t>
      </w:r>
      <w:r>
        <w:rPr>
          <w:rFonts w:ascii="方正仿宋_GBK" w:cs="Arial"/>
          <w:szCs w:val="32"/>
        </w:rPr>
        <w:t>严格按照《中华人民共和国政府信息公开条例》</w:t>
      </w:r>
      <w:r>
        <w:rPr>
          <w:rFonts w:ascii="方正仿宋_GBK" w:cs="Arial" w:hint="eastAsia"/>
          <w:szCs w:val="32"/>
        </w:rPr>
        <w:t>办理</w:t>
      </w:r>
      <w:r>
        <w:rPr>
          <w:rFonts w:ascii="方正仿宋_GBK" w:cs="Arial"/>
          <w:szCs w:val="32"/>
        </w:rPr>
        <w:t>政府信息</w:t>
      </w:r>
      <w:r>
        <w:rPr>
          <w:rFonts w:ascii="方正仿宋_GBK" w:cs="Arial" w:hint="eastAsia"/>
          <w:szCs w:val="32"/>
        </w:rPr>
        <w:t>公开</w:t>
      </w:r>
      <w:r>
        <w:rPr>
          <w:rFonts w:ascii="方正仿宋_GBK" w:cs="Arial"/>
          <w:szCs w:val="32"/>
        </w:rPr>
        <w:t>申请</w:t>
      </w:r>
      <w:r>
        <w:rPr>
          <w:rFonts w:ascii="方正仿宋_GBK" w:cs="Arial" w:hint="eastAsia"/>
          <w:szCs w:val="32"/>
        </w:rPr>
        <w:t>，持续提升答复质量。</w:t>
      </w:r>
      <w:r>
        <w:rPr>
          <w:szCs w:val="32"/>
        </w:rPr>
        <w:t>2025年</w:t>
      </w:r>
      <w:r>
        <w:rPr>
          <w:rFonts w:ascii="方正仿宋_GBK" w:cs="Arial" w:hint="eastAsia"/>
          <w:szCs w:val="32"/>
        </w:rPr>
        <w:t>，广州邮局海关</w:t>
      </w:r>
      <w:r>
        <w:rPr>
          <w:szCs w:val="32"/>
        </w:rPr>
        <w:t>受理政府信息公开申请</w:t>
      </w:r>
      <w:r>
        <w:rPr>
          <w:rFonts w:hint="eastAsia"/>
          <w:szCs w:val="32"/>
        </w:rPr>
        <w:t>3</w:t>
      </w:r>
      <w:r>
        <w:rPr>
          <w:szCs w:val="32"/>
        </w:rPr>
        <w:t>件</w:t>
      </w:r>
      <w:r>
        <w:rPr>
          <w:rFonts w:ascii="方正仿宋_GBK" w:cs="Arial" w:hint="eastAsia"/>
          <w:szCs w:val="32"/>
        </w:rPr>
        <w:t>，均已按期办结，未收到因政府信息公开申请引发的行政复议、诉讼。</w:t>
      </w:r>
    </w:p>
    <w:p>
      <w:pPr>
        <w:pStyle w:val="42"/>
        <w:adjustRightInd w:val="0"/>
        <w:snapToGrid w:val="0"/>
        <w:ind w:firstLineChars="200" w:firstLine="640"/>
        <w:rPr>
          <w:rFonts w:ascii="方正仿宋_GBK" w:cs="Arial"/>
          <w:szCs w:val="32"/>
        </w:rPr>
      </w:pPr>
      <w:r>
        <w:rPr>
          <w:rFonts w:ascii="方正楷体_GBK" w:eastAsia="方正楷体_GBK" w:hint="eastAsia"/>
          <w:b/>
          <w:bCs/>
          <w:spacing w:val="0"/>
          <w:szCs w:val="32"/>
        </w:rPr>
        <w:t>（三）政府信息公开平台建设方面。</w:t>
      </w:r>
    </w:p>
    <w:p>
      <w:pPr>
        <w:pStyle w:val="42"/>
        <w:adjustRightInd w:val="0"/>
        <w:snapToGrid w:val="0"/>
        <w:ind w:firstLineChars="200" w:firstLine="624"/>
        <w:rPr>
          <w:rFonts w:ascii="方正仿宋_GBK" w:cs="Arial"/>
          <w:szCs w:val="32"/>
        </w:rPr>
      </w:pPr>
      <w:r>
        <w:rPr>
          <w:rFonts w:ascii="方正仿宋_GBK" w:cs="Arial" w:hint="eastAsia"/>
          <w:b/>
          <w:bCs/>
          <w:szCs w:val="32"/>
        </w:rPr>
        <w:t>一是</w:t>
      </w:r>
      <w:r>
        <w:rPr>
          <w:rFonts w:ascii="方正仿宋_GBK" w:cs="Arial" w:hint="eastAsia"/>
          <w:szCs w:val="32"/>
        </w:rPr>
        <w:t>提升办事窗口政务服务能力，开展“我陪群众走流程”活动，“换位体验”信息查询、邮件申报等业务办理流程，收集意见建议，</w:t>
      </w:r>
      <w:r>
        <w:rPr>
          <w:rFonts w:ascii="方正仿宋_GBK" w:cs="Arial"/>
          <w:szCs w:val="32"/>
        </w:rPr>
        <w:t>优化</w:t>
      </w:r>
      <w:r>
        <w:rPr>
          <w:rFonts w:ascii="方正仿宋_GBK" w:cs="Arial" w:hint="eastAsia"/>
          <w:szCs w:val="32"/>
        </w:rPr>
        <w:t>窗口服务措施</w:t>
      </w:r>
      <w:r>
        <w:rPr>
          <w:szCs w:val="32"/>
        </w:rPr>
        <w:t>4</w:t>
      </w:r>
      <w:r>
        <w:rPr>
          <w:rFonts w:ascii="方正仿宋_GBK" w:cs="Arial" w:hint="eastAsia"/>
          <w:szCs w:val="32"/>
        </w:rPr>
        <w:t>项。</w:t>
      </w:r>
      <w:r>
        <w:rPr>
          <w:rFonts w:ascii="方正仿宋_GBK" w:cs="Arial" w:hint="eastAsia"/>
          <w:b/>
          <w:szCs w:val="32"/>
        </w:rPr>
        <w:t>二是</w:t>
      </w:r>
      <w:r>
        <w:rPr>
          <w:rFonts w:ascii="方正仿宋_GBK" w:cs="Arial" w:hint="eastAsia"/>
          <w:szCs w:val="32"/>
        </w:rPr>
        <w:t>设置业务咨询统一电话，</w:t>
      </w:r>
      <w:r>
        <w:rPr>
          <w:rFonts w:ascii="方正仿宋_GBK" w:cs="Arial"/>
          <w:szCs w:val="32"/>
        </w:rPr>
        <w:t>梳理搭</w:t>
      </w:r>
      <w:r>
        <w:rPr>
          <w:rFonts w:ascii="方正仿宋_GBK" w:cs="Arial" w:hint="eastAsia"/>
          <w:szCs w:val="32"/>
        </w:rPr>
        <w:t>建常见问题库，</w:t>
      </w:r>
      <w:r>
        <w:rPr>
          <w:rFonts w:ascii="方正仿宋_GBK" w:cs="Arial"/>
          <w:szCs w:val="32"/>
        </w:rPr>
        <w:t>运用智慧化手段</w:t>
      </w:r>
      <w:r>
        <w:rPr>
          <w:rFonts w:ascii="方正仿宋_GBK" w:cs="Arial" w:hint="eastAsia"/>
          <w:szCs w:val="32"/>
        </w:rPr>
        <w:t>提升答复质效，</w:t>
      </w:r>
      <w:r>
        <w:rPr>
          <w:szCs w:val="32"/>
        </w:rPr>
        <w:t>2025</w:t>
      </w:r>
      <w:r>
        <w:rPr>
          <w:rFonts w:ascii="方正仿宋_GBK" w:cs="Arial" w:hint="eastAsia"/>
          <w:szCs w:val="32"/>
        </w:rPr>
        <w:t>年答复咨询电话</w:t>
      </w:r>
      <w:r>
        <w:rPr>
          <w:szCs w:val="32"/>
        </w:rPr>
        <w:t>5000</w:t>
      </w:r>
      <w:r>
        <w:rPr>
          <w:rFonts w:ascii="方正仿宋_GBK" w:cs="Arial" w:hint="eastAsia"/>
          <w:szCs w:val="32"/>
        </w:rPr>
        <w:t>余次。</w:t>
      </w:r>
      <w:r>
        <w:rPr>
          <w:rFonts w:ascii="方正仿宋_GBK" w:cs="Arial" w:hint="eastAsia"/>
          <w:b/>
          <w:szCs w:val="32"/>
        </w:rPr>
        <w:t>三是</w:t>
      </w:r>
      <w:r>
        <w:rPr>
          <w:rFonts w:ascii="方正仿宋_GBK" w:cs="Arial" w:hint="eastAsia"/>
          <w:szCs w:val="32"/>
        </w:rPr>
        <w:t>优化广州海关门户网站基层政务公开栏目，设置子网页集中展示本关法定主动公开内容，提升查询便捷性。</w:t>
      </w:r>
      <w:r>
        <w:rPr>
          <w:rFonts w:ascii="方正仿宋_GBK" w:cs="Arial" w:hint="eastAsia"/>
          <w:b/>
          <w:szCs w:val="32"/>
        </w:rPr>
        <w:t>四是</w:t>
      </w:r>
      <w:r>
        <w:rPr>
          <w:rFonts w:ascii="方正仿宋_GBK" w:cs="Arial" w:hint="eastAsia"/>
          <w:szCs w:val="32"/>
        </w:rPr>
        <w:t>落实“高效办成一件事”工作要求，深化进出境邮件通关“一站式”办理平台应用，开展政策宣讲和功能解读</w:t>
      </w:r>
      <w:r>
        <w:rPr>
          <w:szCs w:val="32"/>
        </w:rPr>
        <w:t>10</w:t>
      </w:r>
      <w:r>
        <w:rPr>
          <w:rFonts w:ascii="方正仿宋_GBK" w:cs="Arial" w:hint="eastAsia"/>
          <w:szCs w:val="32"/>
        </w:rPr>
        <w:t>次，</w:t>
      </w:r>
      <w:r>
        <w:rPr>
          <w:rFonts w:ascii="方正仿宋_GBK" w:cs="Arial"/>
          <w:szCs w:val="32"/>
        </w:rPr>
        <w:t>帮助用邮人切实享受便捷化</w:t>
      </w:r>
      <w:r>
        <w:rPr>
          <w:rFonts w:ascii="方正仿宋_GBK" w:cs="Arial" w:hint="eastAsia"/>
          <w:szCs w:val="32"/>
        </w:rPr>
        <w:t>服务。</w:t>
      </w:r>
    </w:p>
    <w:p>
      <w:pPr>
        <w:pStyle w:val="42"/>
        <w:adjustRightInd w:val="0"/>
        <w:snapToGrid w:val="0"/>
        <w:ind w:firstLineChars="200" w:firstLine="640"/>
        <w:rPr>
          <w:rFonts w:ascii="方正楷体_GBK" w:eastAsia="方正楷体_GBK"/>
          <w:b/>
          <w:bCs/>
          <w:spacing w:val="0"/>
          <w:szCs w:val="32"/>
        </w:rPr>
      </w:pPr>
      <w:r>
        <w:rPr>
          <w:rFonts w:ascii="方正楷体_GBK" w:eastAsia="方正楷体_GBK" w:hint="eastAsia"/>
          <w:b/>
          <w:bCs/>
          <w:spacing w:val="0"/>
          <w:szCs w:val="32"/>
        </w:rPr>
        <w:t>（四）政府信息管理</w:t>
      </w:r>
      <w:r>
        <w:rPr>
          <w:rFonts w:ascii="方正楷体_GBK" w:eastAsia="方正楷体_GBK"/>
          <w:b/>
          <w:bCs/>
          <w:spacing w:val="0"/>
          <w:szCs w:val="32"/>
        </w:rPr>
        <w:t>方面。</w:t>
      </w:r>
    </w:p>
    <w:p>
      <w:pPr>
        <w:pStyle w:val="28"/>
        <w:widowControl/>
        <w:adjustRightInd w:val="0"/>
        <w:snapToGrid w:val="0"/>
        <w:spacing w:beforeAutospacing="0" w:afterAutospacing="0" w:line="560" w:lineRule="exact"/>
        <w:ind w:firstLineChars="200" w:firstLine="640"/>
        <w:jc w:val="both"/>
        <w:rPr>
          <w:rFonts w:ascii="方正仿宋_GBK" w:eastAsia="方正仿宋_GBK" w:cs="Arial"/>
          <w:sz w:val="32"/>
          <w:szCs w:val="32"/>
        </w:rPr>
      </w:pPr>
      <w:r>
        <w:rPr>
          <w:rFonts w:ascii="方正仿宋_GBK" w:eastAsia="方正仿宋_GBK" w:cs="Arial" w:hint="eastAsia"/>
          <w:sz w:val="32"/>
          <w:szCs w:val="32"/>
        </w:rPr>
        <w:t>强化政府信息管理，对主动公开事项目录实行清单化动态管理，丰富公开内容，开展日常巡检，及时清理冗余信息，提升公开信息的规范性。加强内容把控，落实审核责任，按照规定程序对拟发布信息进行审查，确保信息准确性。</w:t>
      </w:r>
    </w:p>
    <w:p>
      <w:pPr>
        <w:pStyle w:val="89"/>
        <w:adjustRightInd w:val="0"/>
        <w:snapToGrid w:val="0"/>
        <w:ind w:firstLineChars="200" w:firstLine="640"/>
        <w:rPr>
          <w:rFonts w:ascii="方正楷体_GBK" w:eastAsia="方正楷体_GBK"/>
          <w:b/>
          <w:bCs/>
          <w:spacing w:val="0"/>
          <w:szCs w:val="32"/>
        </w:rPr>
      </w:pPr>
      <w:r>
        <w:rPr>
          <w:rFonts w:ascii="方正楷体_GBK" w:eastAsia="方正楷体_GBK"/>
          <w:b/>
          <w:bCs/>
          <w:spacing w:val="0"/>
          <w:szCs w:val="32"/>
        </w:rPr>
        <w:t>（五）</w:t>
      </w:r>
      <w:r>
        <w:rPr>
          <w:rFonts w:ascii="方正楷体_GBK" w:eastAsia="方正楷体_GBK" w:hint="eastAsia"/>
          <w:b/>
          <w:bCs/>
          <w:spacing w:val="0"/>
          <w:szCs w:val="32"/>
        </w:rPr>
        <w:t>监督保障方面。</w:t>
      </w:r>
    </w:p>
    <w:p>
      <w:pPr>
        <w:pStyle w:val="23"/>
        <w:tabs>
          <w:tab w:val="center" w:pos="4153"/>
          <w:tab w:val="right" w:pos="8306"/>
        </w:tabs>
        <w:adjustRightInd/>
        <w:snapToGrid w:val="0"/>
        <w:spacing w:beforeAutospacing="0" w:afterAutospacing="0" w:line="560" w:lineRule="exact"/>
        <w:ind w:firstLineChars="200" w:firstLine="640"/>
        <w:contextualSpacing w:val="0"/>
      </w:pPr>
      <w:r>
        <w:rPr>
          <w:rFonts w:ascii="方正仿宋_GBK" w:eastAsia="方正仿宋_GBK" w:cs="Arial" w:hint="eastAsia"/>
          <w:sz w:val="32"/>
          <w:szCs w:val="32"/>
        </w:rPr>
        <w:t>畅通监督渠道，通过广州海关门户网站、基层政务公开专区、办事窗口等渠道公布电子邮箱、联系电话等监督渠道信息，开展“关长接待日”</w:t>
      </w:r>
      <w:r>
        <w:rPr>
          <w:rFonts w:eastAsia="方正仿宋_GBK"/>
          <w:sz w:val="32"/>
          <w:szCs w:val="32"/>
        </w:rPr>
        <w:t>12次</w:t>
      </w:r>
      <w:r>
        <w:rPr>
          <w:rFonts w:ascii="方正仿宋_GBK" w:cs="Arial"/>
          <w:sz w:val="32"/>
          <w:szCs w:val="32"/>
        </w:rPr>
        <w:t>，</w:t>
      </w:r>
      <w:r>
        <w:rPr>
          <w:rFonts w:ascii="方正仿宋_GBK" w:eastAsia="方正仿宋_GBK" w:cs="Arial" w:hint="eastAsia"/>
          <w:sz w:val="32"/>
          <w:szCs w:val="32"/>
        </w:rPr>
        <w:t>自觉接受监督。</w:t>
      </w:r>
    </w:p>
    <w:p>
      <w:pPr>
        <w:pStyle w:val="28"/>
        <w:widowControl/>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19"/>
        <w:gridCol w:w="2183"/>
        <w:gridCol w:w="1936"/>
        <w:gridCol w:w="2156"/>
      </w:tblGrid>
      <w:tr>
        <w:trPr>
          <w:trHeight w:val="495"/>
        </w:trPr>
        <w:tc>
          <w:tcPr>
            <w:tcW w:w="8994"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5"/>
              <w:widowControl/>
              <w:jc w:val="center"/>
              <w:rPr>
                <w:sz w:val="24"/>
                <w:szCs w:val="24"/>
              </w:rPr>
            </w:pPr>
            <w:r>
              <w:rPr>
                <w:rFonts w:ascii="宋体" w:cs="宋体" w:hint="eastAsia"/>
                <w:kern w:val="0"/>
                <w:sz w:val="24"/>
                <w:szCs w:val="24"/>
              </w:rPr>
              <w:t>第二十条第（一）项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5"/>
              <w:widowControl/>
              <w:jc w:val="center"/>
              <w:rPr>
                <w:sz w:val="24"/>
                <w:szCs w:val="24"/>
              </w:rPr>
            </w:pPr>
            <w:r>
              <w:rPr>
                <w:rFonts w:ascii="宋体" w:cs="宋体" w:hint="eastAsia"/>
                <w:kern w:val="0"/>
                <w:sz w:val="24"/>
                <w:szCs w:val="24"/>
              </w:rPr>
              <w:t>现行有效件数</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autoSpaceDN w:val="0"/>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autoSpaceDN w:val="0"/>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5"/>
              <w:autoSpaceDN w:val="0"/>
              <w:jc w:val="center"/>
              <w:rPr>
                <w:rFonts w:eastAsia="方正仿宋_GBK"/>
                <w:sz w:val="24"/>
                <w:szCs w:val="24"/>
              </w:rPr>
            </w:pPr>
            <w:r>
              <w:rPr>
                <w:rFonts w:eastAsia="方正仿宋_GBK"/>
                <w:sz w:val="24"/>
                <w:szCs w:val="24"/>
              </w:rPr>
              <w:t>0</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autoSpaceDN w:val="0"/>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autoSpaceDN w:val="0"/>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5"/>
              <w:autoSpaceDN w:val="0"/>
              <w:jc w:val="center"/>
              <w:rPr>
                <w:rFonts w:eastAsia="方正仿宋_GBK"/>
                <w:sz w:val="24"/>
                <w:szCs w:val="24"/>
              </w:rPr>
            </w:pPr>
            <w:r>
              <w:rPr>
                <w:rFonts w:eastAsia="方正仿宋_GBK"/>
                <w:sz w:val="24"/>
                <w:szCs w:val="24"/>
              </w:rPr>
              <w:t>0</w:t>
            </w:r>
          </w:p>
        </w:tc>
      </w:tr>
      <w:tr>
        <w:trPr>
          <w:trHeight w:val="435"/>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5"/>
              <w:widowControl/>
              <w:jc w:val="center"/>
              <w:rPr>
                <w:sz w:val="24"/>
                <w:szCs w:val="24"/>
              </w:rPr>
            </w:pPr>
            <w:r>
              <w:rPr>
                <w:rFonts w:ascii="宋体" w:cs="宋体" w:hint="eastAsia"/>
                <w:kern w:val="0"/>
                <w:sz w:val="24"/>
                <w:szCs w:val="24"/>
              </w:rPr>
              <w:t>第二十条第（五）项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8"/>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9"/>
              <w:jc w:val="center"/>
              <w:rPr>
                <w:rFonts w:eastAsia="方正仿宋_GBK" w:cs="宋体"/>
                <w:sz w:val="24"/>
                <w:szCs w:val="24"/>
              </w:rPr>
            </w:pPr>
            <w:r>
              <w:rPr>
                <w:rFonts w:eastAsia="方正仿宋_GBK"/>
                <w:sz w:val="24"/>
                <w:szCs w:val="24"/>
              </w:rPr>
              <w:t>0</w:t>
            </w:r>
          </w:p>
        </w:tc>
      </w:tr>
      <w:tr>
        <w:trPr>
          <w:trHeight w:val="406"/>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5"/>
              <w:widowControl/>
              <w:jc w:val="center"/>
              <w:rPr>
                <w:sz w:val="24"/>
                <w:szCs w:val="24"/>
              </w:rPr>
            </w:pPr>
            <w:r>
              <w:rPr>
                <w:rFonts w:ascii="宋体" w:cs="宋体" w:hint="eastAsia"/>
                <w:kern w:val="0"/>
                <w:sz w:val="24"/>
                <w:szCs w:val="24"/>
              </w:rPr>
              <w:t>第二十条第（六）项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1"/>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ind w:left="0"/>
              <w:jc w:val="center"/>
            </w:pPr>
            <w:r>
              <w:rPr>
                <w:rFonts w:cs="宋体"/>
                <w:sz w:val="24"/>
                <w:szCs w:val="24"/>
              </w:rPr>
              <w:t>514</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0"/>
              <w:jc w:val="center"/>
              <w:rPr>
                <w:rFonts w:eastAsia="方正仿宋_GBK" w:cs="宋体"/>
                <w:sz w:val="24"/>
                <w:szCs w:val="24"/>
              </w:rPr>
            </w:pPr>
            <w:r>
              <w:rPr>
                <w:rFonts w:eastAsia="方正仿宋_GBK" w:cs="宋体"/>
                <w:sz w:val="24"/>
                <w:szCs w:val="24"/>
              </w:rPr>
              <w:t>9</w:t>
            </w:r>
          </w:p>
        </w:tc>
      </w:tr>
      <w:tr>
        <w:trPr>
          <w:trHeight w:val="474"/>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5"/>
              <w:widowControl/>
              <w:jc w:val="center"/>
              <w:rPr>
                <w:sz w:val="24"/>
                <w:szCs w:val="24"/>
              </w:rPr>
            </w:pPr>
            <w:r>
              <w:rPr>
                <w:rFonts w:ascii="宋体" w:cs="宋体" w:hint="eastAsia"/>
                <w:kern w:val="0"/>
                <w:sz w:val="24"/>
                <w:szCs w:val="24"/>
              </w:rPr>
              <w:t>第二十条第（八）项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65"/>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35"/>
              <w:jc w:val="center"/>
              <w:rPr>
                <w:rFonts w:eastAsia="方正仿宋_GBK" w:cs="宋体"/>
                <w:sz w:val="24"/>
                <w:szCs w:val="24"/>
              </w:rPr>
            </w:pPr>
            <w:r>
              <w:rPr>
                <w:rFonts w:eastAsia="方正仿宋_GBK" w:cs="宋体" w:hint="eastAsia"/>
                <w:sz w:val="24"/>
                <w:szCs w:val="24"/>
              </w:rPr>
              <w:t>0</w:t>
            </w:r>
          </w:p>
        </w:tc>
      </w:tr>
    </w:tbl>
    <w:p>
      <w:pPr>
        <w:pStyle w:val="88"/>
        <w:widowControl/>
        <w:adjustRightInd w:val="0"/>
        <w:snapToGrid w:val="0"/>
        <w:spacing w:before="0" w:beforeAutospacing="0" w:after="0" w:afterAutospacing="0" w:line="560" w:lineRule="exact"/>
        <w:ind w:firstLineChars="200" w:firstLine="640"/>
        <w:jc w:val="both"/>
        <w:rPr>
          <w:rFonts w:eastAsia="方正仿宋_GBK" w:cs="方正黑体_GBK"/>
          <w:kern w:val="2"/>
          <w:sz w:val="32"/>
          <w:szCs w:val="32"/>
        </w:rPr>
      </w:pPr>
      <w:r>
        <w:rPr>
          <w:rFonts w:eastAsia="方正仿宋_GBK" w:cs="方正黑体_GBK" w:hint="eastAsia"/>
          <w:kern w:val="2"/>
          <w:sz w:val="32"/>
          <w:szCs w:val="32"/>
        </w:rPr>
        <w:t>*备注：本表格行政许可的处理决定数量，包括本机关在本年度内作出的准予许可决定、不予许可决定、变更许可决定、延期（延续）许可决定、撤销许可决定、撤回许可决定等。</w:t>
      </w:r>
    </w:p>
    <w:p>
      <w:pPr>
        <w:pStyle w:val="28"/>
        <w:widowControl/>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pPr>
            <w:r>
              <w:rPr>
                <w:rFonts w:ascii="宋体"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pPr>
            <w:r>
              <w:rPr>
                <w:rFonts w:ascii="宋体"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5"/>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3</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3</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5"/>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1</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5"/>
              <w:widowControl/>
              <w:rPr>
                <w:rFonts w:ascii="楷体" w:eastAsia="楷体" w:cs="楷体"/>
                <w:kern w:val="0"/>
                <w:sz w:val="24"/>
                <w:szCs w:val="24"/>
              </w:rPr>
            </w:pPr>
            <w:r>
              <w:rPr>
                <w:rFonts w:ascii="楷体" w:eastAsia="楷体" w:cs="楷体" w:hint="eastAsia"/>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5"/>
              <w:widowControl/>
              <w:rPr>
                <w:rFonts w:ascii="楷体" w:eastAsia="楷体" w:cs="楷体"/>
                <w:kern w:val="0"/>
                <w:sz w:val="24"/>
                <w:szCs w:val="24"/>
              </w:rPr>
            </w:pPr>
            <w:r>
              <w:rPr>
                <w:rFonts w:ascii="楷体" w:eastAsia="楷体" w:cs="楷体" w:hint="eastAsia"/>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5"/>
              <w:widowControl/>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5"/>
              <w:widowControl/>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2</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35"/>
              <w:jc w:val="center"/>
              <w:rPr>
                <w:rFonts w:eastAsia="方正仿宋_GBK"/>
                <w:sz w:val="24"/>
                <w:szCs w:val="24"/>
              </w:rPr>
            </w:pPr>
            <w:r>
              <w:rPr>
                <w:rFonts w:eastAsia="方正仿宋_GBK" w:hint="eastAsia"/>
                <w:sz w:val="24"/>
                <w:szCs w:val="24"/>
              </w:rPr>
              <w:t>2</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3</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3</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jc w:val="center"/>
              <w:rPr>
                <w:rFonts w:eastAsia="方正仿宋_GBK"/>
                <w:sz w:val="24"/>
                <w:szCs w:val="24"/>
              </w:rPr>
            </w:pPr>
            <w:r>
              <w:rPr>
                <w:rFonts w:eastAsia="方正仿宋_GBK" w:hint="eastAsia"/>
                <w:sz w:val="24"/>
                <w:szCs w:val="24"/>
              </w:rPr>
              <w:t>0</w:t>
            </w:r>
          </w:p>
        </w:tc>
      </w:tr>
    </w:tbl>
    <w:p>
      <w:pPr>
        <w:pStyle w:val="28"/>
        <w:widowControl/>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jc w:val="center"/>
              <w:rPr>
                <w:sz w:val="24"/>
                <w:szCs w:val="24"/>
              </w:rPr>
            </w:pPr>
            <w:r>
              <w:rPr>
                <w:rFonts w:ascii="宋体" w:cs="宋体" w:hint="eastAsia"/>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utoSpaceDN w:val="0"/>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utoSpaceDN w:val="0"/>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utoSpaceDN w:val="0"/>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utoSpaceDN w:val="0"/>
              <w:jc w:val="center"/>
              <w:rPr>
                <w:sz w:val="28"/>
                <w:szCs w:val="28"/>
              </w:rPr>
            </w:pPr>
            <w:r>
              <w:rPr>
                <w:sz w:val="28"/>
                <w:szCs w:val="28"/>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utoSpaceDN w:val="0"/>
              <w:jc w:val="center"/>
              <w:rPr>
                <w:sz w:val="28"/>
                <w:szCs w:val="28"/>
              </w:rPr>
            </w:pPr>
            <w:r>
              <w:rPr>
                <w:sz w:val="28"/>
                <w:szCs w:val="28"/>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utoSpaceDN w:val="0"/>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utoSpaceDN w:val="0"/>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utoSpaceDN w:val="0"/>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utoSpaceDN w:val="0"/>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utoSpaceDN w:val="0"/>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utoSpaceDN w:val="0"/>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utoSpaceDN w:val="0"/>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utoSpaceDN w:val="0"/>
              <w:jc w:val="center"/>
              <w:rPr>
                <w:sz w:val="28"/>
                <w:szCs w:val="28"/>
              </w:rPr>
            </w:pPr>
            <w:r>
              <w:rPr>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utoSpaceDN w:val="0"/>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utoSpaceDN w:val="0"/>
              <w:jc w:val="center"/>
              <w:rPr>
                <w:kern w:val="0"/>
                <w:sz w:val="28"/>
                <w:szCs w:val="28"/>
              </w:rPr>
            </w:pPr>
            <w:r>
              <w:rPr>
                <w:kern w:val="0"/>
                <w:sz w:val="28"/>
                <w:szCs w:val="28"/>
              </w:rPr>
              <w:t>0</w:t>
            </w:r>
          </w:p>
        </w:tc>
      </w:tr>
    </w:tbl>
    <w:p>
      <w:pPr>
        <w:pStyle w:val="28"/>
        <w:widowControl/>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rPr>
        <w:t>五、存在的主要问题及改进情况</w:t>
      </w:r>
    </w:p>
    <w:p>
      <w:pPr>
        <w:pStyle w:val="28"/>
        <w:widowControl/>
        <w:adjustRightInd w:val="0"/>
        <w:snapToGrid w:val="0"/>
        <w:spacing w:beforeAutospacing="0" w:afterAutospacing="0" w:line="560" w:lineRule="exact"/>
        <w:ind w:firstLineChars="200" w:firstLine="624"/>
        <w:jc w:val="both"/>
        <w:rPr>
          <w:rFonts w:ascii="方正楷体_GBK" w:eastAsia="方正楷体_GBK"/>
          <w:b/>
          <w:bCs/>
          <w:spacing w:val="-4"/>
          <w:kern w:val="2"/>
          <w:sz w:val="32"/>
          <w:szCs w:val="20"/>
        </w:rPr>
      </w:pPr>
      <w:r>
        <w:rPr>
          <w:rFonts w:ascii="方正楷体_GBK" w:eastAsia="方正楷体_GBK" w:hint="eastAsia"/>
          <w:b/>
          <w:bCs/>
          <w:spacing w:val="-4"/>
          <w:kern w:val="2"/>
          <w:sz w:val="32"/>
          <w:szCs w:val="20"/>
        </w:rPr>
        <w:t>（一）</w:t>
      </w:r>
      <w:r>
        <w:rPr>
          <w:rFonts w:eastAsia="方正楷体_GBK"/>
          <w:b/>
          <w:bCs/>
          <w:spacing w:val="-4"/>
          <w:kern w:val="2"/>
          <w:sz w:val="32"/>
          <w:szCs w:val="20"/>
        </w:rPr>
        <w:t>202</w:t>
      </w:r>
      <w:r>
        <w:rPr>
          <w:rFonts w:eastAsia="方正楷体_GBK" w:hint="eastAsia"/>
          <w:b/>
          <w:bCs/>
          <w:spacing w:val="-4"/>
          <w:kern w:val="2"/>
          <w:sz w:val="32"/>
          <w:szCs w:val="20"/>
        </w:rPr>
        <w:t>4</w:t>
      </w:r>
      <w:r>
        <w:rPr>
          <w:rFonts w:ascii="方正楷体_GBK" w:eastAsia="方正楷体_GBK" w:hint="eastAsia"/>
          <w:b/>
          <w:bCs/>
          <w:spacing w:val="-4"/>
          <w:kern w:val="2"/>
          <w:sz w:val="32"/>
          <w:szCs w:val="20"/>
        </w:rPr>
        <w:t>年年报中所提问题整改情况。</w:t>
      </w:r>
    </w:p>
    <w:p>
      <w:pPr>
        <w:pStyle w:val="28"/>
        <w:widowControl/>
        <w:adjustRightInd w:val="0"/>
        <w:snapToGrid w:val="0"/>
        <w:spacing w:beforeAutospacing="0" w:afterAutospacing="0" w:line="560" w:lineRule="exact"/>
        <w:ind w:firstLineChars="200" w:firstLine="640"/>
        <w:jc w:val="both"/>
        <w:rPr>
          <w:rFonts w:eastAsia="方正仿宋_GBK"/>
          <w:sz w:val="32"/>
          <w:szCs w:val="32"/>
        </w:rPr>
      </w:pPr>
      <w:r>
        <w:rPr>
          <w:rFonts w:eastAsia="方正仿宋_GBK" w:hint="eastAsia"/>
          <w:sz w:val="32"/>
          <w:szCs w:val="32"/>
        </w:rPr>
        <w:t>广州邮局海关</w:t>
      </w:r>
      <w:r>
        <w:rPr>
          <w:rFonts w:eastAsia="方正仿宋_GBK"/>
          <w:sz w:val="32"/>
          <w:szCs w:val="32"/>
        </w:rPr>
        <w:t>202</w:t>
      </w:r>
      <w:r>
        <w:rPr>
          <w:rFonts w:eastAsia="方正仿宋_GBK" w:hint="eastAsia"/>
          <w:sz w:val="32"/>
          <w:szCs w:val="32"/>
        </w:rPr>
        <w:t>4年年报提出以下问题：政府信息依申请公开岗位人员办理熟练度不够，办理能力需进一步提升。</w:t>
      </w:r>
    </w:p>
    <w:p>
      <w:pPr>
        <w:pStyle w:val="28"/>
        <w:widowControl/>
        <w:adjustRightInd w:val="0"/>
        <w:snapToGrid w:val="0"/>
        <w:spacing w:beforeAutospacing="0" w:afterAutospacing="0" w:line="560" w:lineRule="exact"/>
        <w:ind w:firstLineChars="200" w:firstLine="640"/>
        <w:jc w:val="both"/>
        <w:rPr>
          <w:rFonts w:eastAsia="方正仿宋_GBK"/>
          <w:sz w:val="32"/>
          <w:szCs w:val="32"/>
        </w:rPr>
      </w:pPr>
      <w:r>
        <w:rPr>
          <w:rFonts w:eastAsia="方正仿宋_GBK" w:hint="eastAsia"/>
          <w:sz w:val="32"/>
          <w:szCs w:val="32"/>
        </w:rPr>
        <w:t>上述问题在202</w:t>
      </w:r>
      <w:r>
        <w:rPr>
          <w:rFonts w:eastAsia="方正仿宋_GBK"/>
          <w:sz w:val="32"/>
          <w:szCs w:val="32"/>
        </w:rPr>
        <w:t>5</w:t>
      </w:r>
      <w:r>
        <w:rPr>
          <w:rFonts w:eastAsia="方正仿宋_GBK" w:hint="eastAsia"/>
          <w:sz w:val="32"/>
          <w:szCs w:val="32"/>
        </w:rPr>
        <w:t>年已采取措施完成整改：</w:t>
      </w:r>
      <w:r>
        <w:rPr>
          <w:rFonts w:eastAsia="方正仿宋_GBK" w:hint="eastAsia"/>
          <w:b/>
          <w:bCs/>
          <w:sz w:val="32"/>
          <w:szCs w:val="32"/>
        </w:rPr>
        <w:t>一是</w:t>
      </w:r>
      <w:r>
        <w:rPr>
          <w:rFonts w:eastAsia="方正仿宋_GBK" w:hint="eastAsia"/>
          <w:sz w:val="32"/>
          <w:szCs w:val="32"/>
        </w:rPr>
        <w:t>组织相关岗位人员学习</w:t>
      </w:r>
      <w:r>
        <w:rPr>
          <w:rFonts w:eastAsia="方正仿宋_GBK"/>
          <w:sz w:val="32"/>
          <w:szCs w:val="32"/>
        </w:rPr>
        <w:t>《中华人民共和国政府信息公开条例》等法规要求，就工作要点进行常态化巩固及自测</w:t>
      </w:r>
      <w:r>
        <w:rPr>
          <w:rFonts w:eastAsia="方正仿宋_GBK" w:hint="eastAsia"/>
          <w:sz w:val="32"/>
          <w:szCs w:val="32"/>
        </w:rPr>
        <w:t>，提高</w:t>
      </w:r>
      <w:r>
        <w:rPr>
          <w:rFonts w:eastAsia="方正仿宋_GBK"/>
          <w:sz w:val="32"/>
          <w:szCs w:val="32"/>
        </w:rPr>
        <w:t>业务办理</w:t>
      </w:r>
      <w:r>
        <w:rPr>
          <w:rFonts w:eastAsia="方正仿宋_GBK" w:hint="eastAsia"/>
          <w:sz w:val="32"/>
          <w:szCs w:val="32"/>
        </w:rPr>
        <w:t>水平。</w:t>
      </w:r>
      <w:r>
        <w:rPr>
          <w:rFonts w:eastAsia="方正仿宋_GBK" w:hint="eastAsia"/>
          <w:b/>
          <w:sz w:val="32"/>
          <w:szCs w:val="32"/>
        </w:rPr>
        <w:t>二是</w:t>
      </w:r>
      <w:r>
        <w:rPr>
          <w:rFonts w:eastAsia="方正仿宋_GBK" w:hint="eastAsia"/>
          <w:sz w:val="32"/>
          <w:szCs w:val="32"/>
        </w:rPr>
        <w:t>模拟</w:t>
      </w:r>
      <w:r>
        <w:rPr>
          <w:rFonts w:eastAsia="方正仿宋_GBK"/>
          <w:sz w:val="32"/>
          <w:szCs w:val="32"/>
        </w:rPr>
        <w:t>练习政府信息公开</w:t>
      </w:r>
      <w:r>
        <w:rPr>
          <w:rFonts w:eastAsia="方正仿宋_GBK" w:hint="eastAsia"/>
          <w:sz w:val="32"/>
          <w:szCs w:val="32"/>
        </w:rPr>
        <w:t>接收登记、审核办理、答复归档等流程，提升办理熟练度。</w:t>
      </w:r>
    </w:p>
    <w:p>
      <w:pPr>
        <w:pStyle w:val="48"/>
        <w:adjustRightInd w:val="0"/>
        <w:snapToGrid w:val="0"/>
        <w:ind w:firstLineChars="200" w:firstLine="624"/>
        <w:rPr>
          <w:rFonts w:ascii="方正楷体_GBK" w:eastAsia="方正楷体_GBK"/>
          <w:b/>
          <w:bCs/>
        </w:rPr>
      </w:pPr>
      <w:r>
        <w:rPr>
          <w:rFonts w:ascii="方正楷体_GBK" w:eastAsia="方正楷体_GBK" w:hint="eastAsia"/>
          <w:b/>
          <w:bCs/>
        </w:rPr>
        <w:t>（二）目前存在问题。</w:t>
      </w:r>
    </w:p>
    <w:p>
      <w:pPr>
        <w:pStyle w:val="85"/>
        <w:spacing w:line="560" w:lineRule="exact"/>
        <w:ind w:firstLineChars="200" w:firstLine="640"/>
        <w:jc w:val="both"/>
      </w:pPr>
      <w:r>
        <w:rPr>
          <w:rFonts w:ascii="Times New Roman" w:eastAsia="方正仿宋_GBK" w:hAnsi="Times New Roman" w:hint="eastAsia"/>
          <w:kern w:val="0"/>
          <w:sz w:val="32"/>
          <w:szCs w:val="32"/>
        </w:rPr>
        <w:t>办事窗口岗位人员</w:t>
      </w:r>
      <w:r>
        <w:rPr>
          <w:rFonts w:ascii="Times New Roman" w:eastAsia="方正仿宋_GBK" w:hAnsi="Times New Roman"/>
          <w:kern w:val="0"/>
          <w:sz w:val="32"/>
          <w:szCs w:val="32"/>
        </w:rPr>
        <w:t>政府信息</w:t>
      </w:r>
      <w:r>
        <w:rPr>
          <w:rFonts w:ascii="Times New Roman" w:eastAsia="方正仿宋_GBK" w:hAnsi="Times New Roman" w:hint="eastAsia"/>
          <w:kern w:val="0"/>
          <w:sz w:val="32"/>
          <w:szCs w:val="32"/>
        </w:rPr>
        <w:t>主动公开意识有待提升。</w:t>
      </w:r>
    </w:p>
    <w:p>
      <w:pPr>
        <w:pStyle w:val="28"/>
        <w:widowControl/>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rPr>
        <w:t>六、其他需要报告的事项</w:t>
      </w:r>
      <w:bookmarkEnd w:id="1"/>
    </w:p>
    <w:p>
      <w:pPr>
        <w:pStyle w:val="28"/>
        <w:widowControl/>
        <w:autoSpaceDN w:val="0"/>
        <w:adjustRightInd w:val="0"/>
        <w:snapToGrid w:val="0"/>
        <w:spacing w:beforeAutospacing="0" w:afterAutospacing="0" w:line="560" w:lineRule="exact"/>
        <w:ind w:firstLineChars="200" w:firstLine="640"/>
        <w:jc w:val="both"/>
        <w:rPr>
          <w:rFonts w:eastAsia="方正仿宋_GBK"/>
          <w:sz w:val="32"/>
          <w:szCs w:val="32"/>
        </w:rPr>
      </w:pPr>
      <w:r>
        <w:rPr>
          <w:rFonts w:eastAsia="方正仿宋_GBK" w:hint="eastAsia"/>
          <w:sz w:val="32"/>
          <w:szCs w:val="32"/>
        </w:rPr>
        <w:t>广州邮局海关严格按照《国务院办公厅关于印发〈政府信息公开信息处理费管理办法〉的通知》，规范政府信息公开信息处理费收取工作，</w:t>
      </w:r>
      <w:r>
        <w:rPr>
          <w:rFonts w:eastAsia="方正仿宋_GBK"/>
          <w:sz w:val="32"/>
          <w:szCs w:val="32"/>
        </w:rPr>
        <w:t>202</w:t>
      </w:r>
      <w:r>
        <w:rPr>
          <w:rFonts w:eastAsia="方正仿宋_GBK" w:hint="eastAsia"/>
          <w:sz w:val="32"/>
          <w:szCs w:val="32"/>
        </w:rPr>
        <w:t>5年未收取政府信息公开信息处理费。</w:t>
      </w:r>
    </w:p>
    <w:sectPr>
      <w:footerReference w:type="default" r:id="rId2"/>
      <w:footerReference w:type="even" r:id="rId3"/>
      <w:footerReference w:type="first" r:id="rId4"/>
      <w:pgSz w:w="11907" w:h="16840"/>
      <w:pgMar w:top="1928" w:right="1588" w:bottom="1588"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3"/>
      <w:framePr w:w="0" w:hRule="auto" w:wrap="around" w:vAnchor="text" w:hAnchor="margin" w:xAlign="outside" w:y="1" w:anchorLock="0"/>
      <w:tabs>
        <w:tab w:val="center" w:pos="4153"/>
        <w:tab w:val="right" w:pos="8306"/>
      </w:tabs>
    </w:pPr>
    <w:r>
      <w:rPr>
        <w:rStyle w:val="30"/>
      </w:rPr>
      <w:fldChar w:fldCharType="begin"/>
    </w:r>
    <w:r>
      <w:rPr>
        <w:rStyle w:val="30"/>
      </w:rPr>
      <w:instrText>Page</w:instrText>
    </w:r>
    <w:r>
      <w:rPr>
        <w:rStyle w:val="30"/>
      </w:rPr>
      <w:fldChar w:fldCharType="separate"/>
    </w:r>
    <w:r>
      <w:rPr>
        <w:rStyle w:val="30"/>
      </w:rPr>
      <w:t>- 5 -</w:t>
    </w:r>
    <w:r>
      <w:rPr>
        <w:rStyle w:val="30"/>
      </w:rPr>
      <w:fldChar w:fldCharType="end"/>
    </w:r>
  </w:p>
  <w:p>
    <w:pPr>
      <w:pStyle w:val="23"/>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3"/>
      <w:framePr w:w="0" w:hRule="auto" w:wrap="around" w:vAnchor="text" w:hAnchor="margin" w:xAlign="outside" w:y="1" w:anchorLock="0"/>
      <w:tabs>
        <w:tab w:val="center" w:pos="4153"/>
        <w:tab w:val="right" w:pos="8306"/>
      </w:tabs>
    </w:pPr>
    <w:r>
      <w:rPr>
        <w:rStyle w:val="30"/>
      </w:rPr>
      <w:fldChar w:fldCharType="begin"/>
    </w:r>
    <w:r>
      <w:rPr>
        <w:rStyle w:val="30"/>
      </w:rPr>
      <w:instrText>Page</w:instrText>
    </w:r>
    <w:r>
      <w:rPr>
        <w:rStyle w:val="30"/>
      </w:rPr>
      <w:fldChar w:fldCharType="separate"/>
    </w:r>
    <w:r>
      <w:rPr>
        <w:rStyle w:val="30"/>
      </w:rPr>
      <w:t>- 6 -</w:t>
    </w:r>
    <w:r>
      <w:rPr>
        <w:rStyle w:val="30"/>
      </w:rPr>
      <w:fldChar w:fldCharType="end"/>
    </w:r>
  </w:p>
  <w:p>
    <w:pPr>
      <w:pStyle w:val="23"/>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3"/>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7</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23"/>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bordersDoNotSurroundHeader/>
  <w:bordersDoNotSurroundFooter/>
  <w:trackRevisions/>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List Number 2"/>
    <w:basedOn w:val="0"/>
    <w:pPr>
      <w:tabs>
        <w:tab w:val="left" w:pos="780"/>
      </w:tabs>
      <w:ind w:left="780" w:hanging="360"/>
    </w:pPr>
  </w:style>
  <w:style w:type="paragraph" w:styleId="16">
    <w:name w:val="index 8"/>
    <w:basedOn w:val="0"/>
    <w:autoRedefine/>
    <w:next w:val="0"/>
    <w:pPr>
      <w:ind w:left="2940"/>
    </w:pPr>
  </w:style>
  <w:style w:type="paragraph" w:styleId="17">
    <w:name w:val="List Number"/>
    <w:basedOn w:val="0"/>
    <w:pPr>
      <w:tabs>
        <w:tab w:val="left" w:pos="360"/>
      </w:tabs>
      <w:ind w:left="360" w:hanging="360"/>
    </w:pPr>
  </w:style>
  <w:style w:type="paragraph" w:styleId="18">
    <w:name w:val="index 5"/>
    <w:basedOn w:val="0"/>
    <w:autoRedefine/>
    <w:next w:val="0"/>
    <w:pPr>
      <w:ind w:left="1680"/>
    </w:pPr>
    <w:rPr>
      <w:rFonts w:eastAsia="宋体"/>
    </w:rPr>
  </w:style>
  <w:style w:type="paragraph" w:styleId="19">
    <w:name w:val="List Bullet"/>
    <w:basedOn w:val="0"/>
    <w:pPr>
      <w:tabs>
        <w:tab w:val="left" w:pos="360"/>
      </w:tabs>
      <w:ind w:left="360" w:hanging="360"/>
    </w:pPr>
  </w:style>
  <w:style w:type="paragraph" w:styleId="20">
    <w:name w:val="annotation text"/>
    <w:basedOn w:val="0"/>
    <w:pPr>
      <w:jc w:val="left"/>
    </w:pPr>
  </w:style>
  <w:style w:type="paragraph" w:styleId="21">
    <w:name w:val="index 6"/>
    <w:basedOn w:val="0"/>
    <w:autoRedefine/>
    <w:next w:val="0"/>
    <w:pPr>
      <w:ind w:left="2100"/>
    </w:pPr>
  </w:style>
  <w:style w:type="paragraph" w:styleId="22">
    <w:name w:val="Balloon Text"/>
    <w:basedOn w:val="0"/>
    <w:rPr>
      <w:sz w:val="18"/>
      <w:szCs w:val="18"/>
    </w:rPr>
  </w:style>
  <w:style w:type="paragraph" w:styleId="23">
    <w:name w:val="footer"/>
    <w:basedOn w:val="0"/>
    <w:pPr>
      <w:tabs>
        <w:tab w:val="center" w:pos="4153"/>
        <w:tab w:val="right" w:pos="8306"/>
      </w:tabs>
      <w:snapToGrid w:val="0"/>
      <w:jc w:val="left"/>
    </w:pPr>
    <w:rPr>
      <w:sz w:val="18"/>
      <w:szCs w:val="18"/>
    </w:rPr>
  </w:style>
  <w:style w:type="paragraph" w:styleId="24">
    <w:name w:val="header"/>
    <w:basedOn w:val="0"/>
    <w:pPr>
      <w:pBdr>
        <w:bottom w:val="single" w:sz="6" w:space="1" w:color="auto"/>
      </w:pBdr>
      <w:tabs>
        <w:tab w:val="center" w:pos="4153"/>
        <w:tab w:val="right" w:pos="8306"/>
      </w:tabs>
      <w:snapToGrid w:val="0"/>
      <w:jc w:val="center"/>
    </w:pPr>
    <w:rPr>
      <w:sz w:val="18"/>
      <w:szCs w:val="18"/>
    </w:rPr>
  </w:style>
  <w:style w:type="paragraph" w:styleId="25">
    <w:name w:val="toc 1"/>
    <w:basedOn w:val="0"/>
    <w:autoRedefine/>
    <w:next w:val="0"/>
  </w:style>
  <w:style w:type="paragraph" w:styleId="26">
    <w:name w:val="index 7"/>
    <w:basedOn w:val="0"/>
    <w:autoRedefine/>
    <w:next w:val="0"/>
    <w:pPr>
      <w:ind w:left="2520"/>
    </w:pPr>
  </w:style>
  <w:style w:type="paragraph" w:styleId="27">
    <w:name w:val="toc 2"/>
    <w:basedOn w:val="0"/>
    <w:autoRedefine/>
    <w:next w:val="0"/>
    <w:pPr>
      <w:ind w:left="420"/>
    </w:pPr>
  </w:style>
  <w:style w:type="paragraph" w:styleId="28">
    <w:name w:val="Normal (Web)"/>
    <w:next w:val="23"/>
    <w:pPr>
      <w:widowControl w:val="0"/>
      <w:spacing w:beforeAutospacing="1" w:afterAutospacing="1"/>
    </w:pPr>
    <w:rPr>
      <w:rFonts w:ascii="Times New Roman" w:eastAsia="宋体" w:cs="Times New Roman" w:hAnsi="Times New Roman"/>
      <w:sz w:val="24"/>
      <w:szCs w:val="30"/>
      <w:lang w:val="en-US" w:eastAsia="zh-CN" w:bidi="ar-SA"/>
    </w:rPr>
  </w:style>
  <w:style w:type="paragraph" w:styleId="29">
    <w:name w:val="annotation subject"/>
    <w:basedOn w:val="20"/>
    <w:next w:val="20"/>
    <w:rPr>
      <w:b/>
      <w:bCs/>
    </w:rPr>
  </w:style>
  <w:style w:type="character" w:styleId="30">
    <w:name w:val="page number"/>
    <w:basedOn w:val="10"/>
  </w:style>
  <w:style w:type="character" w:styleId="31">
    <w:name w:val="annotation reference"/>
    <w:basedOn w:val="10"/>
    <w:rPr>
      <w:sz w:val="21"/>
      <w:szCs w:val="21"/>
    </w:rPr>
  </w:style>
  <w:style w:type="paragraph" w:customStyle="1" w:styleId="32">
    <w:name w:val="样式 三号"/>
    <w:next w:val="33"/>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3">
    <w:name w:val="样式 三号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
    <w:name w:val="样式 1 三号"/>
    <w:next w:val="25"/>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5">
    <w:name w:val="样式 小三"/>
    <w:next w:val="27"/>
    <w:pPr>
      <w:widowControl w:val="0"/>
      <w:jc w:val="both"/>
    </w:pPr>
    <w:rPr>
      <w:rFonts w:ascii="Times New Roman" w:eastAsia="宋体" w:cs="Times New Roman" w:hAnsi="Times New Roman"/>
      <w:kern w:val="2"/>
      <w:sz w:val="30"/>
      <w:szCs w:val="30"/>
      <w:lang w:val="en-US" w:eastAsia="zh-CN" w:bidi="ar-SA"/>
    </w:rPr>
  </w:style>
  <w:style w:type="paragraph" w:customStyle="1" w:styleId="36">
    <w:name w:val="样式 1 小四"/>
    <w:next w:val="0"/>
    <w:pPr>
      <w:widowControl w:val="0"/>
    </w:pPr>
    <w:rPr>
      <w:rFonts w:ascii="宋体" w:eastAsia="宋体" w:cs="Times New Roman"/>
      <w:kern w:val="2"/>
      <w:sz w:val="24"/>
      <w:lang w:val="en-US" w:eastAsia="zh-CN" w:bidi="ar-SA"/>
    </w:rPr>
  </w:style>
  <w:style w:type="paragraph" w:customStyle="1" w:styleId="37">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8">
    <w:name w:val="样式 20 小四"/>
    <w:next w:val="18"/>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9">
    <w:name w:val="样式 12 三号"/>
    <w:next w:val="16"/>
    <w:pPr>
      <w:widowControl w:val="0"/>
      <w:jc w:val="both"/>
    </w:pPr>
    <w:rPr>
      <w:rFonts w:ascii="Times New Roman" w:eastAsia="方正仿宋_GBK" w:cs="Times New Roman" w:hAnsi="Times New Roman"/>
      <w:kern w:val="2"/>
      <w:sz w:val="32"/>
      <w:lang w:val="en-US" w:eastAsia="zh-CN" w:bidi="ar-SA"/>
    </w:rPr>
  </w:style>
  <w:style w:type="paragraph" w:customStyle="1" w:styleId="40">
    <w:name w:val="样式 50 三号"/>
    <w:next w:val="2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
    <w:name w:val="样式 13 三号"/>
    <w:next w:val="26"/>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2">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3">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4">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5">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6">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7">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8">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9">
    <w:name w:val="样式 小四"/>
    <w:pPr>
      <w:widowControl w:val="0"/>
    </w:pPr>
    <w:rPr>
      <w:rFonts w:ascii="宋体" w:eastAsia="宋体" w:cs="Times New Roman"/>
      <w:kern w:val="2"/>
      <w:sz w:val="24"/>
      <w:lang w:val="en-US" w:eastAsia="zh-CN" w:bidi="ar-SA"/>
    </w:rPr>
  </w:style>
  <w:style w:type="paragraph" w:customStyle="1" w:styleId="50">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51">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52">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55">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56">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7">
    <w:name w:val="样式 3 小四"/>
    <w:pPr>
      <w:widowControl w:val="0"/>
    </w:pPr>
    <w:rPr>
      <w:rFonts w:ascii="宋体" w:eastAsia="宋体" w:cs="Times New Roman"/>
      <w:kern w:val="2"/>
      <w:sz w:val="24"/>
      <w:lang w:val="en-US" w:eastAsia="zh-CN" w:bidi="ar-SA"/>
    </w:rPr>
  </w:style>
  <w:style w:type="paragraph" w:customStyle="1" w:styleId="58">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72">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73">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74">
    <w:name w:val="样式 10 磅"/>
    <w:pPr>
      <w:widowControl w:val="0"/>
      <w:jc w:val="both"/>
    </w:pPr>
    <w:rPr>
      <w:rFonts w:ascii="Calibri" w:eastAsia="宋体" w:cs="Times New Roman" w:hAnsi="Calibri"/>
      <w:kern w:val="2"/>
      <w:sz w:val="21"/>
      <w:szCs w:val="22"/>
      <w:lang w:val="en-US" w:eastAsia="zh-CN" w:bidi="ar-SA"/>
    </w:rPr>
  </w:style>
  <w:style w:type="paragraph" w:customStyle="1" w:styleId="75">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76">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77">
    <w:name w:val="样式 17 三号"/>
    <w:next w:val="19"/>
    <w:pPr>
      <w:widowControl w:val="0"/>
      <w:jc w:val="both"/>
    </w:pPr>
    <w:rPr>
      <w:rFonts w:ascii="Times New Roman" w:eastAsia="方正仿宋_GBK" w:cs="Times New Roman" w:hAnsi="Times New Roman"/>
      <w:kern w:val="2"/>
      <w:sz w:val="32"/>
      <w:lang w:val="en-US" w:eastAsia="zh-CN" w:bidi="ar-SA"/>
    </w:rPr>
  </w:style>
  <w:style w:type="paragraph" w:customStyle="1" w:styleId="78">
    <w:name w:val="样式 18 三号"/>
    <w:next w:val="17"/>
    <w:pPr>
      <w:widowControl w:val="0"/>
      <w:jc w:val="both"/>
    </w:pPr>
    <w:rPr>
      <w:rFonts w:ascii="Times New Roman" w:eastAsia="方正仿宋_GBK" w:cs="Times New Roman" w:hAnsi="Times New Roman"/>
      <w:kern w:val="2"/>
      <w:sz w:val="32"/>
      <w:szCs w:val="22"/>
      <w:lang w:val="en-US" w:eastAsia="zh-CN" w:bidi="ar-SA"/>
    </w:rPr>
  </w:style>
  <w:style w:type="paragraph" w:customStyle="1" w:styleId="79">
    <w:name w:val="修订1"/>
    <w:rPr>
      <w:rFonts w:ascii="Times New Roman" w:eastAsia="方正仿宋_GBK" w:cs="Times New Roman" w:hAnsi="Times New Roman"/>
      <w:kern w:val="2"/>
      <w:sz w:val="32"/>
      <w:szCs w:val="22"/>
      <w:lang w:val="en-US" w:eastAsia="zh-CN" w:bidi="ar-SA"/>
    </w:rPr>
  </w:style>
  <w:style w:type="paragraph" w:customStyle="1" w:styleId="80">
    <w:name w:val="样式 11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81">
    <w:name w:val="样式 14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82">
    <w:name w:val="样式 15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83">
    <w:name w:val="样式 1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84">
    <w:name w:val="样式 19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85">
    <w:name w:val="样式 8 小四"/>
    <w:next w:val="29"/>
    <w:pPr>
      <w:widowControl w:val="0"/>
    </w:pPr>
    <w:rPr>
      <w:rFonts w:ascii="宋体" w:eastAsia="宋体" w:cs="Times New Roman"/>
      <w:kern w:val="2"/>
      <w:sz w:val="24"/>
      <w:szCs w:val="21"/>
      <w:lang w:val="en-US" w:eastAsia="zh-CN" w:bidi="ar-SA"/>
    </w:rPr>
  </w:style>
  <w:style w:type="paragraph" w:customStyle="1" w:styleId="86">
    <w:name w:val="样式 20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87">
    <w:name w:val="样式 21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88">
    <w:name w:val="样式 4 小四"/>
    <w:pPr>
      <w:widowControl w:val="0"/>
      <w:spacing w:before="100" w:beforeAutospacing="1" w:after="100" w:afterAutospacing="1"/>
    </w:pPr>
    <w:rPr>
      <w:rFonts w:ascii="Times New Roman" w:eastAsia="宋体" w:cs="Times New Roman" w:hAnsi="Times New Roman"/>
      <w:sz w:val="24"/>
      <w:szCs w:val="24"/>
      <w:lang w:val="en-US" w:eastAsia="zh-CN" w:bidi="ar-SA"/>
    </w:rPr>
  </w:style>
  <w:style w:type="paragraph" w:customStyle="1" w:styleId="89">
    <w:name w:val="样式 2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90">
    <w:name w:val="样式 5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91">
    <w:name w:val="样式 23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4181</TotalTime>
  <Application>Yozo_Office</Application>
  <Pages>6</Pages>
  <Words>2529</Words>
  <Characters>2633</Characters>
  <Lines>437</Lines>
  <Paragraphs>314</Paragraphs>
  <CharactersWithSpaces>2633</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199</cp:revision>
  <cp:lastPrinted>2025-01-14T10:12:00Z</cp:lastPrinted>
  <dcterms:created xsi:type="dcterms:W3CDTF">2008-05-09T07:46:00Z</dcterms:created>
  <dcterms:modified xsi:type="dcterms:W3CDTF">2026-01-26T00:53:48Z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eyJoZGlkIjoiNzU3MGRlZDkyOTYzNjNjNmY4ODVjNTIwMzc1MzY2MWYiLCJ1c2VySWQiOiIxOTc0ODEzIn0=</vt:lpwstr>
  </property>
  <property fmtid="{D5CDD505-2E9C-101B-9397-08002B2CF9AE}" pid="3" name="KSOProductBuildVer">
    <vt:lpwstr>2052-12.1.0.24034</vt:lpwstr>
  </property>
  <property fmtid="{D5CDD505-2E9C-101B-9397-08002B2CF9AE}" pid="4" name="ICV">
    <vt:lpwstr>0B24BB2D3CD448D6B0B80438D6A55BD4_12</vt:lpwstr>
  </property>
</Properties>
</file>