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pacing w:line="580" w:lineRule="exact"/>
        <w:ind w:left="0"/>
        <w:jc w:val="center"/>
        <w:rPr>
          <w:rFonts w:ascii="方正小标宋_GBK" w:eastAsia="方正小标宋_GBK" w:cs="方正小标宋_GBK" w:hint="eastAsia"/>
          <w:color w:val="auto"/>
          <w:sz w:val="44"/>
          <w:szCs w:val="44"/>
          <w:lang w:bidi="ar-SA"/>
        </w:rPr>
      </w:pPr>
      <w:bookmarkStart w:id="0" w:name="_Hlk25540369"/>
      <w:bookmarkStart w:id="1" w:name="cogw__正文__file"/>
      <w:r>
        <w:rPr>
          <w:rFonts w:ascii="方正小标宋_GBK" w:eastAsia="方正小标宋_GBK" w:cs="方正小标宋_GBK" w:hint="eastAsia"/>
          <w:color w:val="auto"/>
          <w:sz w:val="44"/>
          <w:szCs w:val="44"/>
          <w:lang w:bidi="ar-SA"/>
        </w:rPr>
        <w:t>广州车站海关2025年政府信息公开工作</w:t>
      </w:r>
    </w:p>
    <w:p>
      <w:pPr>
        <w:pStyle w:val="39"/>
        <w:spacing w:line="580" w:lineRule="exact"/>
        <w:ind w:left="0"/>
        <w:jc w:val="center"/>
        <w:rPr>
          <w:rFonts w:ascii="方正小标宋_GBK" w:eastAsia="方正小标宋_GBK" w:cs="方正小标宋_GBK" w:hint="eastAsia"/>
          <w:color w:val="auto"/>
          <w:sz w:val="44"/>
          <w:szCs w:val="44"/>
          <w:lang w:bidi="ar-SA"/>
        </w:rPr>
      </w:pPr>
      <w:r>
        <w:rPr>
          <w:rFonts w:ascii="方正小标宋_GBK" w:eastAsia="方正小标宋_GBK" w:cs="方正小标宋_GBK" w:hint="eastAsia"/>
          <w:color w:val="auto"/>
          <w:sz w:val="44"/>
          <w:szCs w:val="44"/>
          <w:lang w:bidi="ar-SA"/>
        </w:rPr>
        <w:t>年度报告</w:t>
      </w:r>
      <w:bookmarkEnd w:id="0"/>
    </w:p>
    <w:p>
      <w:pPr>
        <w:pStyle w:val="25"/>
        <w:widowControl/>
        <w:shd w:val="clear" w:color="auto" w:fill="FFFFFF"/>
        <w:adjustRightInd w:val="0"/>
        <w:snapToGrid w:val="0"/>
        <w:spacing w:beforeAutospacing="0" w:afterAutospacing="0" w:line="560" w:lineRule="exact"/>
        <w:ind w:firstLine="0"/>
        <w:jc w:val="both"/>
        <w:rPr>
          <w:rFonts w:eastAsia="楷体_GB2312" w:cs="楷体_GB2312"/>
          <w:bCs/>
          <w:color w:val="auto"/>
          <w:sz w:val="32"/>
          <w:szCs w:val="32"/>
          <w:shd w:val="clear" w:color="auto" w:fill="FFFFFF"/>
          <w:lang w:bidi="ar-SA"/>
        </w:rPr>
      </w:pPr>
    </w:p>
    <w:p>
      <w:pPr>
        <w:pStyle w:val="16"/>
        <w:tabs>
          <w:tab w:val="center" w:pos="4153"/>
          <w:tab w:val="right" w:pos="8306"/>
        </w:tabs>
        <w:adjustRightInd/>
        <w:snapToGrid w:val="0"/>
        <w:contextualSpacing w:val="0"/>
      </w:pPr>
    </w:p>
    <w:p>
      <w:pPr>
        <w:pStyle w:val="16"/>
        <w:tabs>
          <w:tab w:val="center" w:pos="4153"/>
          <w:tab w:val="right" w:pos="8306"/>
        </w:tabs>
        <w:adjustRightInd/>
        <w:snapToGrid w:val="0"/>
        <w:contextualSpacing w:val="0"/>
      </w:pPr>
    </w:p>
    <w:p>
      <w:pPr>
        <w:pStyle w:val="210"/>
        <w:adjustRightInd w:val="0"/>
        <w:snapToGrid w:val="0"/>
        <w:spacing w:line="560" w:lineRule="exact"/>
        <w:ind w:firstLineChars="200" w:firstLine="640"/>
        <w:rPr>
          <w:rFonts w:ascii="Times New Roman" w:eastAsia="方正仿宋_GBK" w:cs="方正仿宋_GBK" w:hAnsi="Times New Roman" w:hint="eastAsia"/>
          <w:sz w:val="32"/>
          <w:szCs w:val="32"/>
          <w:lang w:bidi="ar-SA"/>
        </w:rPr>
      </w:pPr>
      <w:r>
        <w:rPr>
          <w:rFonts w:ascii="Times New Roman" w:eastAsia="方正仿宋_GBK" w:cs="方正仿宋_GBK" w:hAnsi="Times New Roman" w:hint="eastAsia"/>
          <w:sz w:val="32"/>
          <w:szCs w:val="32"/>
          <w:lang w:bidi="ar-SA"/>
        </w:rPr>
        <w:t>根据《中华人民共和国政府信息公开条例》</w:t>
      </w:r>
      <w:r>
        <w:rPr>
          <w:rFonts w:ascii="Times New Roman" w:eastAsia="方正仿宋_GBK" w:cs="方正仿宋_GBK" w:hAnsi="Times New Roman" w:hint="eastAsia"/>
          <w:color w:val="000000"/>
          <w:spacing w:val="-4"/>
          <w:kern w:val="0"/>
          <w:sz w:val="32"/>
          <w:szCs w:val="32"/>
          <w:lang w:bidi="ar-SA"/>
        </w:rPr>
        <w:t>《国务院办公厅政府信息与政务公开办公室关于政府信息公开工作年度报告有关事项的通知》《国</w:t>
      </w:r>
      <w:bookmarkStart w:id="2" w:name="_GoBack"/>
      <w:bookmarkEnd w:id="2"/>
      <w:r>
        <w:rPr>
          <w:rFonts w:ascii="Times New Roman" w:eastAsia="方正仿宋_GBK" w:cs="方正仿宋_GBK" w:hAnsi="Times New Roman" w:hint="eastAsia"/>
          <w:color w:val="000000"/>
          <w:spacing w:val="-4"/>
          <w:kern w:val="0"/>
          <w:sz w:val="32"/>
          <w:szCs w:val="32"/>
          <w:lang w:bidi="ar-SA"/>
        </w:rPr>
        <w:t>务院办公厅政府信息与政务公开办公室关于印发〈中华人民共和国政府信息公开工作年度报告格式〉的通知》等</w:t>
      </w:r>
      <w:r>
        <w:rPr>
          <w:rFonts w:ascii="Times New Roman" w:eastAsia="方正仿宋_GBK" w:cs="方正仿宋_GBK" w:hAnsi="Times New Roman" w:hint="eastAsia"/>
          <w:sz w:val="32"/>
          <w:szCs w:val="32"/>
          <w:lang w:bidi="ar-SA"/>
        </w:rPr>
        <w:t>规定，梳理编制广州车站海关202</w:t>
      </w:r>
      <w:r>
        <w:rPr>
          <w:rFonts w:ascii="Times New Roman" w:eastAsia="方正仿宋_GBK" w:cs="方正仿宋_GBK" w:hAnsi="Times New Roman"/>
          <w:sz w:val="32"/>
          <w:szCs w:val="32"/>
          <w:lang w:bidi="ar-SA"/>
        </w:rPr>
        <w:t>5</w:t>
      </w:r>
      <w:r>
        <w:rPr>
          <w:rFonts w:ascii="Times New Roman" w:eastAsia="方正仿宋_GBK" w:cs="方正仿宋_GBK" w:hAnsi="Times New Roman" w:hint="eastAsia"/>
          <w:sz w:val="32"/>
          <w:szCs w:val="32"/>
          <w:lang w:bidi="ar-SA"/>
        </w:rPr>
        <w:t>年政府信息公开工作年报，年报中所列数据的统计期限，自202</w:t>
      </w:r>
      <w:r>
        <w:rPr>
          <w:rFonts w:ascii="Times New Roman" w:eastAsia="方正仿宋_GBK" w:cs="方正仿宋_GBK" w:hAnsi="Times New Roman"/>
          <w:sz w:val="32"/>
          <w:szCs w:val="32"/>
          <w:lang w:bidi="ar-SA"/>
        </w:rPr>
        <w:t>5</w:t>
      </w:r>
      <w:r>
        <w:rPr>
          <w:rFonts w:ascii="Times New Roman" w:eastAsia="方正仿宋_GBK" w:cs="方正仿宋_GBK" w:hAnsi="Times New Roman" w:hint="eastAsia"/>
          <w:sz w:val="32"/>
          <w:szCs w:val="32"/>
          <w:lang w:bidi="ar-SA"/>
        </w:rPr>
        <w:t>年1月1日起至202</w:t>
      </w:r>
      <w:r>
        <w:rPr>
          <w:rFonts w:ascii="Times New Roman" w:eastAsia="方正仿宋_GBK" w:cs="方正仿宋_GBK" w:hAnsi="Times New Roman"/>
          <w:sz w:val="32"/>
          <w:szCs w:val="32"/>
          <w:lang w:bidi="ar-SA"/>
        </w:rPr>
        <w:t>5</w:t>
      </w:r>
      <w:r>
        <w:rPr>
          <w:rFonts w:ascii="Times New Roman" w:eastAsia="方正仿宋_GBK" w:cs="方正仿宋_GBK" w:hAnsi="Times New Roman" w:hint="eastAsia"/>
          <w:sz w:val="32"/>
          <w:szCs w:val="32"/>
          <w:lang w:bidi="ar-SA"/>
        </w:rPr>
        <w:t>年12月31日止。如对本年报有疑问或有任何意见、建议，请联系广州车站海关办公室。地址：广东省广州市</w:t>
      </w:r>
      <w:r>
        <w:rPr>
          <w:rFonts w:ascii="Times New Roman" w:eastAsia="方正仿宋_GBK" w:cs="方正仿宋_GBK" w:hAnsi="Times New Roman"/>
          <w:sz w:val="32"/>
          <w:szCs w:val="32"/>
          <w:lang w:bidi="ar-SA"/>
        </w:rPr>
        <w:t>白云区锦石二路135号</w:t>
      </w:r>
      <w:r>
        <w:rPr>
          <w:rFonts w:ascii="Times New Roman" w:eastAsia="方正仿宋_GBK" w:cs="方正仿宋_GBK" w:hAnsi="Times New Roman" w:hint="eastAsia"/>
          <w:sz w:val="32"/>
          <w:szCs w:val="32"/>
          <w:lang w:bidi="ar-SA"/>
        </w:rPr>
        <w:t>，邮编：510</w:t>
      </w:r>
      <w:r>
        <w:rPr>
          <w:rFonts w:ascii="Times New Roman" w:eastAsia="方正仿宋_GBK" w:cs="方正仿宋_GBK" w:hAnsi="Times New Roman"/>
          <w:sz w:val="32"/>
          <w:szCs w:val="32"/>
          <w:lang w:bidi="ar-SA"/>
        </w:rPr>
        <w:t>450</w:t>
      </w:r>
      <w:r>
        <w:rPr>
          <w:rFonts w:ascii="Times New Roman" w:eastAsia="方正仿宋_GBK" w:cs="方正仿宋_GBK" w:hAnsi="Times New Roman" w:hint="eastAsia"/>
          <w:sz w:val="32"/>
          <w:szCs w:val="32"/>
          <w:lang w:bidi="ar-SA"/>
        </w:rPr>
        <w:t>；电话：020-38774006；电子邮箱：czhg@customs.gov.cn。</w:t>
      </w:r>
    </w:p>
    <w:p>
      <w:pPr>
        <w:pStyle w:val="16"/>
        <w:tabs>
          <w:tab w:val="center" w:pos="4153"/>
          <w:tab w:val="right" w:pos="8306"/>
        </w:tabs>
        <w:adjustRightInd/>
        <w:snapToGrid w:val="0"/>
        <w:contextualSpacing w:val="0"/>
        <w:rPr>
          <w:rFonts w:hint="eastAsia"/>
        </w:rPr>
      </w:pPr>
    </w:p>
    <w:p>
      <w:pPr>
        <w:pStyle w:val="25"/>
        <w:widowControl/>
        <w:shd w:val="clear" w:color="auto" w:fill="FFFFFF"/>
        <w:adjustRightInd w:val="0"/>
        <w:snapToGrid w:val="0"/>
        <w:spacing w:beforeAutospacing="0" w:afterAutospacing="0" w:line="560" w:lineRule="exact"/>
        <w:ind w:firstLineChars="200" w:firstLine="640"/>
        <w:jc w:val="both"/>
        <w:rPr>
          <w:rFonts w:eastAsia="方正黑体_GBK" w:cs="楷体_GB2312" w:hint="eastAsia"/>
          <w:bCs/>
          <w:color w:val="auto"/>
          <w:sz w:val="32"/>
          <w:szCs w:val="32"/>
          <w:lang w:bidi="ar-SA"/>
        </w:rPr>
      </w:pPr>
      <w:r>
        <w:rPr>
          <w:rFonts w:eastAsia="方正黑体_GBK" w:cs="楷体_GB2312" w:hint="eastAsia"/>
          <w:bCs/>
          <w:color w:val="auto"/>
          <w:sz w:val="32"/>
          <w:szCs w:val="32"/>
          <w:shd w:val="clear" w:color="auto" w:fill="FFFFFF"/>
          <w:lang w:bidi="ar-SA"/>
        </w:rPr>
        <w:t>一、总体情况</w:t>
      </w:r>
    </w:p>
    <w:p>
      <w:pPr>
        <w:pStyle w:val="211"/>
        <w:adjustRightInd w:val="0"/>
        <w:snapToGrid w:val="0"/>
        <w:ind w:firstLineChars="200" w:firstLine="640"/>
        <w:rPr>
          <w:rFonts w:cs="Arial"/>
          <w:spacing w:val="0"/>
          <w:szCs w:val="32"/>
          <w:lang w:bidi="ar-SA"/>
        </w:rPr>
      </w:pPr>
      <w:r>
        <w:rPr>
          <w:rFonts w:cs="Arial" w:hint="eastAsia"/>
          <w:spacing w:val="0"/>
          <w:szCs w:val="32"/>
          <w:lang w:bidi="ar-SA"/>
        </w:rPr>
        <w:t>202</w:t>
      </w:r>
      <w:r>
        <w:rPr>
          <w:rFonts w:cs="Arial"/>
          <w:spacing w:val="0"/>
          <w:szCs w:val="32"/>
          <w:lang w:bidi="ar-SA"/>
        </w:rPr>
        <w:t>5</w:t>
      </w:r>
      <w:r>
        <w:rPr>
          <w:rFonts w:cs="Arial" w:hint="eastAsia"/>
          <w:spacing w:val="0"/>
          <w:szCs w:val="32"/>
          <w:lang w:bidi="ar-SA"/>
        </w:rPr>
        <w:t>年，广州车站海关坚持以习近平新时代中国特色社会主义思想为指导，</w:t>
      </w:r>
      <w:r>
        <w:rPr>
          <w:rFonts w:cs="Arial"/>
          <w:spacing w:val="0"/>
          <w:szCs w:val="32"/>
          <w:lang w:bidi="ar-SA"/>
        </w:rPr>
        <w:t>认真学习宣传贯彻党的二十大和二十届历次全会精神，</w:t>
      </w:r>
      <w:r>
        <w:rPr>
          <w:rFonts w:cs="Arial" w:hint="eastAsia"/>
          <w:spacing w:val="0"/>
          <w:szCs w:val="32"/>
          <w:lang w:bidi="ar-SA"/>
        </w:rPr>
        <w:t>深入贯彻习近平总书记</w:t>
      </w:r>
      <w:r>
        <w:rPr>
          <w:rFonts w:cs="Arial"/>
          <w:spacing w:val="0"/>
          <w:szCs w:val="32"/>
          <w:lang w:bidi="ar-SA"/>
        </w:rPr>
        <w:t>重要指示批示和</w:t>
      </w:r>
      <w:r>
        <w:rPr>
          <w:rFonts w:cs="Arial" w:hint="eastAsia"/>
          <w:spacing w:val="0"/>
          <w:szCs w:val="32"/>
          <w:lang w:bidi="ar-SA"/>
        </w:rPr>
        <w:t>给红其拉甫海关全体关员重要回信精神，严格</w:t>
      </w:r>
      <w:r>
        <w:rPr>
          <w:rFonts w:cs="Arial"/>
          <w:spacing w:val="0"/>
          <w:szCs w:val="32"/>
          <w:lang w:bidi="ar-SA"/>
        </w:rPr>
        <w:t>执行</w:t>
      </w:r>
      <w:r>
        <w:rPr>
          <w:rFonts w:cs="Arial" w:hint="eastAsia"/>
          <w:spacing w:val="0"/>
          <w:szCs w:val="32"/>
          <w:lang w:bidi="ar-SA"/>
        </w:rPr>
        <w:t>《中华人民共和国政府信息公开条例》，</w:t>
      </w:r>
      <w:r>
        <w:rPr>
          <w:rFonts w:cs="Arial"/>
          <w:spacing w:val="0"/>
          <w:szCs w:val="32"/>
          <w:lang w:bidi="ar-SA"/>
        </w:rPr>
        <w:t>围绕中心、服务大局，以深化基层政务公开标准化规范化建设为主线，持续补短板、提效能，全面提升政府信息公开工作水平，推动政务公开与海关业务深度融合。现将工作情况报告如下：</w:t>
      </w:r>
    </w:p>
    <w:p>
      <w:pPr>
        <w:pStyle w:val="212"/>
        <w:adjustRightInd w:val="0"/>
        <w:snapToGrid w:val="0"/>
        <w:ind w:firstLineChars="200" w:firstLine="640"/>
        <w:rPr>
          <w:rFonts w:eastAsia="方正楷体_GBK" w:cs="Arial"/>
          <w:b/>
          <w:spacing w:val="0"/>
          <w:szCs w:val="32"/>
          <w:lang w:bidi="ar-SA"/>
        </w:rPr>
      </w:pPr>
      <w:r>
        <w:rPr>
          <w:rFonts w:eastAsia="方正楷体_GBK" w:cs="Arial" w:hint="eastAsia"/>
          <w:b/>
          <w:spacing w:val="0"/>
          <w:szCs w:val="32"/>
          <w:lang w:bidi="ar-SA"/>
        </w:rPr>
        <w:t>（一）主动公开情况。</w:t>
      </w:r>
    </w:p>
    <w:p>
      <w:pPr>
        <w:pStyle w:val="211"/>
        <w:adjustRightInd w:val="0"/>
        <w:snapToGrid w:val="0"/>
        <w:ind w:firstLineChars="200" w:firstLine="640"/>
        <w:rPr>
          <w:rFonts w:cs="Arial"/>
          <w:spacing w:val="0"/>
          <w:szCs w:val="32"/>
          <w:lang w:bidi="ar-SA"/>
        </w:rPr>
      </w:pPr>
      <w:r>
        <w:rPr>
          <w:rFonts w:cs="Arial"/>
          <w:spacing w:val="0"/>
          <w:szCs w:val="32"/>
          <w:lang w:bidi="ar-SA"/>
        </w:rPr>
        <w:t>紧密围绕海关中心工作和社会公众关切，持续深化重点领域政府信息公开。及时在广州海关门户网站动态更新本级海关政府信息，按规定公开政府信息公开工作年度报告、财务预决算、行政执法信息等法定主动公开内容共52条。以服务高质量发展为导向，精准对接企业需求，持续擦亮</w:t>
      </w:r>
      <w:r>
        <w:rPr>
          <w:rFonts w:cs="Arial" w:hint="eastAsia"/>
          <w:spacing w:val="0"/>
          <w:szCs w:val="32"/>
          <w:lang w:bidi="ar-SA"/>
        </w:rPr>
        <w:t>“</w:t>
      </w:r>
      <w:r>
        <w:rPr>
          <w:rFonts w:cs="Arial"/>
          <w:spacing w:val="0"/>
          <w:szCs w:val="32"/>
          <w:lang w:bidi="ar-SA"/>
        </w:rPr>
        <w:t>关长联系企业</w:t>
      </w:r>
      <w:r>
        <w:rPr>
          <w:rFonts w:cs="Arial" w:hint="eastAsia"/>
          <w:spacing w:val="0"/>
          <w:szCs w:val="32"/>
          <w:lang w:bidi="ar-SA"/>
        </w:rPr>
        <w:t>”</w:t>
      </w:r>
      <w:r>
        <w:rPr>
          <w:rFonts w:cs="Arial"/>
          <w:spacing w:val="0"/>
          <w:szCs w:val="32"/>
          <w:lang w:bidi="ar-SA"/>
        </w:rPr>
        <w:t>及</w:t>
      </w:r>
      <w:r>
        <w:rPr>
          <w:rFonts w:cs="Arial" w:hint="eastAsia"/>
          <w:spacing w:val="0"/>
          <w:szCs w:val="32"/>
          <w:lang w:bidi="ar-SA"/>
        </w:rPr>
        <w:t>“海关进企业、海关进社区、海关进校园”——“</w:t>
      </w:r>
      <w:r>
        <w:rPr>
          <w:rFonts w:cs="Arial"/>
          <w:spacing w:val="0"/>
          <w:szCs w:val="32"/>
          <w:lang w:bidi="ar-SA"/>
        </w:rPr>
        <w:t>三进</w:t>
      </w:r>
      <w:r>
        <w:rPr>
          <w:rFonts w:cs="Arial" w:hint="eastAsia"/>
          <w:spacing w:val="0"/>
          <w:szCs w:val="32"/>
          <w:lang w:bidi="ar-SA"/>
        </w:rPr>
        <w:t>”品牌</w:t>
      </w:r>
      <w:r>
        <w:rPr>
          <w:rFonts w:cs="Arial"/>
          <w:spacing w:val="0"/>
          <w:szCs w:val="32"/>
          <w:lang w:bidi="ar-SA"/>
        </w:rPr>
        <w:t>。围绕促进外贸稳增长、优化口岸营商环境、筑牢国门生物安全防线等重点主题，深入广州中欧班列相关企业、外贸企业、学校等开展政策宣讲、法规解读和业务指导累计60余场次，服务企业超380家，覆盖师生近700人次，有效提升海关政策措施的社会知晓度和宣传覆盖面。</w:t>
      </w:r>
    </w:p>
    <w:p>
      <w:pPr>
        <w:pStyle w:val="214"/>
        <w:adjustRightInd w:val="0"/>
        <w:snapToGrid w:val="0"/>
        <w:ind w:firstLineChars="200" w:firstLine="640"/>
        <w:rPr>
          <w:rFonts w:eastAsia="方正楷体_GBK" w:cs="Arial"/>
          <w:b/>
          <w:spacing w:val="0"/>
          <w:szCs w:val="32"/>
          <w:lang w:bidi="ar-SA"/>
        </w:rPr>
      </w:pPr>
      <w:r>
        <w:rPr>
          <w:rFonts w:eastAsia="方正楷体_GBK" w:cs="Arial" w:hint="eastAsia"/>
          <w:b/>
          <w:spacing w:val="0"/>
          <w:szCs w:val="32"/>
          <w:lang w:bidi="ar-SA"/>
        </w:rPr>
        <w:t>（二）依申请公开情况。</w:t>
      </w:r>
    </w:p>
    <w:p>
      <w:pPr>
        <w:pStyle w:val="218"/>
        <w:adjustRightInd w:val="0"/>
        <w:snapToGrid w:val="0"/>
        <w:ind w:firstLineChars="200" w:firstLine="640"/>
        <w:rPr>
          <w:rFonts w:hint="eastAsia"/>
        </w:rPr>
      </w:pPr>
      <w:r>
        <w:rPr>
          <w:rFonts w:cs="Arial"/>
          <w:spacing w:val="0"/>
          <w:szCs w:val="32"/>
          <w:lang w:bidi="ar-SA"/>
        </w:rPr>
        <w:t>筑牢</w:t>
      </w:r>
      <w:r>
        <w:rPr>
          <w:rFonts w:cs="Arial" w:hint="eastAsia"/>
          <w:spacing w:val="0"/>
          <w:szCs w:val="32"/>
          <w:lang w:bidi="ar-SA"/>
        </w:rPr>
        <w:t>“</w:t>
      </w:r>
      <w:r>
        <w:rPr>
          <w:rFonts w:cs="Arial"/>
          <w:spacing w:val="0"/>
          <w:szCs w:val="32"/>
          <w:lang w:bidi="ar-SA"/>
        </w:rPr>
        <w:t>以人民为中心</w:t>
      </w:r>
      <w:r>
        <w:rPr>
          <w:rFonts w:cs="Arial" w:hint="eastAsia"/>
          <w:spacing w:val="0"/>
          <w:szCs w:val="32"/>
          <w:lang w:bidi="ar-SA"/>
        </w:rPr>
        <w:t>”</w:t>
      </w:r>
      <w:r>
        <w:rPr>
          <w:rFonts w:cs="Arial"/>
          <w:spacing w:val="0"/>
          <w:szCs w:val="32"/>
          <w:lang w:bidi="ar-SA"/>
        </w:rPr>
        <w:t>理念推进依申请公开相关工作，持续畅通并明确现场、邮政信函、电子邮件、传真等多种渠道的指引，不断优化申请受理、审核、办理、答复、归档等各环节衔接，确保全程规范、高效、可追溯。</w:t>
      </w:r>
      <w:r>
        <w:rPr>
          <w:lang w:bidi="ar-SA"/>
        </w:rPr>
        <w:t>年内共受理政府信息公开申请2件，均在法定时限内办结，未发生因政府信息公开申请引发的行政复议、诉讼。</w:t>
      </w:r>
    </w:p>
    <w:p>
      <w:pPr>
        <w:pStyle w:val="215"/>
        <w:adjustRightInd w:val="0"/>
        <w:snapToGrid w:val="0"/>
        <w:ind w:firstLineChars="200" w:firstLine="640"/>
        <w:rPr>
          <w:rFonts w:eastAsia="方正楷体_GBK" w:cs="Arial"/>
          <w:b/>
          <w:spacing w:val="0"/>
          <w:szCs w:val="32"/>
          <w:lang w:bidi="ar-SA"/>
        </w:rPr>
      </w:pPr>
      <w:r>
        <w:rPr>
          <w:rFonts w:eastAsia="方正楷体_GBK" w:cs="Arial" w:hint="eastAsia"/>
          <w:b/>
          <w:spacing w:val="0"/>
          <w:szCs w:val="32"/>
          <w:lang w:bidi="ar-SA"/>
        </w:rPr>
        <w:t>（三）政府信息管理情况。</w:t>
      </w:r>
    </w:p>
    <w:p>
      <w:pPr>
        <w:pStyle w:val="211"/>
        <w:adjustRightInd w:val="0"/>
        <w:snapToGrid w:val="0"/>
        <w:ind w:firstLineChars="200" w:firstLine="640"/>
        <w:rPr>
          <w:rFonts w:cs="Arial"/>
          <w:spacing w:val="0"/>
          <w:szCs w:val="32"/>
          <w:lang w:bidi="ar-SA"/>
        </w:rPr>
      </w:pPr>
      <w:r>
        <w:rPr>
          <w:rFonts w:cs="Arial"/>
          <w:spacing w:val="0"/>
          <w:szCs w:val="32"/>
          <w:lang w:bidi="ar-SA"/>
        </w:rPr>
        <w:t>强化信息发布全程管理，落实政府信息公开发布审查制度，压实信息发布主体责任。加强对已公开政府信息的常态化监测与动态管理，及时发现并处置过时、失效或内容不准确的信息，提升对外发布信息的时效性、准确性和权威性。</w:t>
      </w:r>
    </w:p>
    <w:p>
      <w:pPr>
        <w:pStyle w:val="216"/>
        <w:adjustRightInd w:val="0"/>
        <w:snapToGrid w:val="0"/>
        <w:ind w:firstLineChars="200" w:firstLine="640"/>
        <w:rPr>
          <w:rFonts w:eastAsia="方正楷体_GBK" w:cs="Arial"/>
          <w:b/>
          <w:spacing w:val="0"/>
          <w:szCs w:val="32"/>
          <w:lang w:bidi="ar-SA"/>
        </w:rPr>
      </w:pPr>
      <w:r>
        <w:rPr>
          <w:rFonts w:eastAsia="方正楷体_GBK" w:cs="Arial" w:hint="eastAsia"/>
          <w:b/>
          <w:spacing w:val="0"/>
          <w:szCs w:val="32"/>
          <w:lang w:bidi="ar-SA"/>
        </w:rPr>
        <w:t>（四）政府信息公开平台建设情况。</w:t>
      </w:r>
    </w:p>
    <w:p>
      <w:pPr>
        <w:pStyle w:val="211"/>
        <w:adjustRightInd w:val="0"/>
        <w:snapToGrid w:val="0"/>
        <w:ind w:firstLineChars="200" w:firstLine="640"/>
        <w:rPr>
          <w:rFonts w:cs="Arial"/>
          <w:spacing w:val="0"/>
          <w:szCs w:val="32"/>
          <w:lang w:bidi="ar-SA"/>
        </w:rPr>
      </w:pPr>
      <w:r>
        <w:rPr>
          <w:rFonts w:cs="Arial"/>
          <w:spacing w:val="0"/>
          <w:szCs w:val="32"/>
          <w:lang w:bidi="ar-SA"/>
        </w:rPr>
        <w:t>坚持务实导向，结合办公场所搬迁，对基层政务公开专区进行针对性规划建设与功能性布置，着重提升现有设施利用率与服务舒适度，营造明亮、亲切的政务公开环境。建立健全专区设施设备管理与信息更新维护机制，严格落实网络信息安全要求，加强对专区信息发布内容和设备接入的安全管理。</w:t>
      </w:r>
    </w:p>
    <w:p>
      <w:pPr>
        <w:pStyle w:val="217"/>
        <w:adjustRightInd w:val="0"/>
        <w:snapToGrid w:val="0"/>
        <w:ind w:firstLineChars="200" w:firstLine="640"/>
        <w:rPr>
          <w:rFonts w:eastAsia="方正楷体_GBK" w:cs="Arial"/>
          <w:b/>
          <w:spacing w:val="0"/>
          <w:szCs w:val="32"/>
          <w:lang w:bidi="ar-SA"/>
        </w:rPr>
      </w:pPr>
      <w:r>
        <w:rPr>
          <w:rFonts w:eastAsia="方正楷体_GBK" w:cs="Arial" w:hint="eastAsia"/>
          <w:b/>
          <w:spacing w:val="0"/>
          <w:szCs w:val="32"/>
          <w:lang w:bidi="ar-SA"/>
        </w:rPr>
        <w:t>（五）监督保障情况。</w:t>
      </w:r>
    </w:p>
    <w:p>
      <w:pPr>
        <w:pStyle w:val="217"/>
        <w:adjustRightInd w:val="0"/>
        <w:snapToGrid w:val="0"/>
        <w:ind w:firstLineChars="200" w:firstLine="640"/>
        <w:rPr>
          <w:rFonts w:eastAsia="方正楷体_GBK" w:cs="Arial"/>
          <w:b/>
          <w:spacing w:val="0"/>
          <w:szCs w:val="32"/>
        </w:rPr>
      </w:pPr>
      <w:r>
        <w:rPr>
          <w:rFonts w:cs="Arial"/>
          <w:spacing w:val="0"/>
          <w:szCs w:val="32"/>
          <w:lang w:bidi="ar-SA"/>
        </w:rPr>
        <w:t>落实内部监督机制，定期开展政务公开工作自查与专项检查，对发现的问题建立清单、立行立改，并对整改情况开展</w:t>
      </w:r>
      <w:r>
        <w:rPr>
          <w:rFonts w:cs="Arial" w:hint="eastAsia"/>
          <w:spacing w:val="0"/>
          <w:szCs w:val="32"/>
          <w:lang w:bidi="ar-SA"/>
        </w:rPr>
        <w:t>“</w:t>
      </w:r>
      <w:r>
        <w:rPr>
          <w:rFonts w:cs="Arial"/>
          <w:spacing w:val="0"/>
          <w:szCs w:val="32"/>
          <w:lang w:bidi="ar-SA"/>
        </w:rPr>
        <w:t>回头看</w:t>
      </w:r>
      <w:r>
        <w:rPr>
          <w:rFonts w:cs="Arial" w:hint="eastAsia"/>
          <w:spacing w:val="0"/>
          <w:szCs w:val="32"/>
          <w:lang w:bidi="ar-SA"/>
        </w:rPr>
        <w:t>”</w:t>
      </w:r>
      <w:r>
        <w:rPr>
          <w:rFonts w:cs="Arial"/>
          <w:spacing w:val="0"/>
          <w:szCs w:val="32"/>
          <w:lang w:bidi="ar-SA"/>
        </w:rPr>
        <w:t>，确保问题销号、闭环管理。强化政务公开人员能力建设，将政务公开纳入干部年度培训计划，定期组织开展专题培训，持续夯实政务公开工作基础。</w:t>
      </w:r>
    </w:p>
    <w:p>
      <w:pPr>
        <w:pStyle w:val="33"/>
        <w:adjustRightInd w:val="0"/>
        <w:snapToGrid w:val="0"/>
        <w:spacing w:beforeLines="50" w:before="218" w:afterLines="50" w:after="218"/>
        <w:ind w:firstLineChars="200" w:firstLine="624"/>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本年</w:t>
            </w:r>
            <w:r>
              <w:rPr>
                <w:color w:val="auto"/>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本年废止件</w:t>
            </w:r>
            <w:r>
              <w:rPr>
                <w:color w:val="auto"/>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jc w:val="center"/>
              <w:rPr>
                <w:color w:val="auto"/>
                <w:sz w:val="24"/>
                <w:szCs w:val="24"/>
              </w:rPr>
            </w:pPr>
            <w:r>
              <w:rPr>
                <w:rFonts w:cs="宋体" w:hint="eastAsia"/>
                <w:color w:val="auto"/>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adjustRightInd w:val="0"/>
              <w:snapToGrid w:val="0"/>
              <w:spacing w:line="260" w:lineRule="exact"/>
              <w:jc w:val="center"/>
              <w:rPr>
                <w:color w:val="auto"/>
                <w:sz w:val="24"/>
                <w:szCs w:val="24"/>
              </w:rPr>
            </w:pPr>
            <w:r>
              <w:rPr>
                <w:rFonts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rPr>
                <w:rFonts w:eastAsia="方正仿宋_GBK" w:cs="宋体"/>
                <w:sz w:val="24"/>
                <w:szCs w:val="24"/>
                <w:lang w:bidi="ar-SA"/>
              </w:rPr>
            </w:pPr>
            <w:r>
              <w:rPr>
                <w:rFonts w:eastAsia="方正仿宋_GBK" w:cs="宋体"/>
                <w:sz w:val="24"/>
                <w:szCs w:val="24"/>
                <w:lang w:bidi="ar-SA"/>
              </w:rPr>
              <w:t>2</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adjustRightInd w:val="0"/>
              <w:snapToGrid w:val="0"/>
              <w:spacing w:line="260" w:lineRule="exact"/>
              <w:jc w:val="center"/>
              <w:rPr>
                <w:color w:val="auto"/>
                <w:sz w:val="24"/>
                <w:szCs w:val="24"/>
              </w:rPr>
            </w:pPr>
            <w:r>
              <w:rPr>
                <w:rFonts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
              <w:ind w:left="0" w:firstLine="0"/>
              <w:jc w:val="center"/>
            </w:pPr>
            <w:r>
              <w:rPr>
                <w:rFonts w:eastAsia="方正仿宋_GBK" w:cs="宋体"/>
                <w:sz w:val="24"/>
                <w:szCs w:val="24"/>
                <w:lang w:bidi="ar-SA"/>
              </w:rPr>
              <w:t>31</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jc w:val="center"/>
              <w:rPr>
                <w:rFonts w:eastAsia="方正仿宋_GBK" w:cs="宋体"/>
                <w:sz w:val="24"/>
                <w:szCs w:val="24"/>
                <w:lang w:bidi="ar-SA"/>
              </w:rPr>
            </w:pPr>
            <w:r>
              <w:rPr>
                <w:rFonts w:eastAsia="方正仿宋_GBK" w:cs="宋体"/>
                <w:sz w:val="24"/>
                <w:szCs w:val="24"/>
                <w:lang w:bidi="ar-SA"/>
              </w:rPr>
              <w:t>1</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jc w:val="center"/>
              <w:rPr>
                <w:color w:val="auto"/>
                <w:sz w:val="24"/>
                <w:szCs w:val="24"/>
              </w:rPr>
            </w:pPr>
            <w:r>
              <w:rPr>
                <w:rFonts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color w:val="auto"/>
                <w:sz w:val="24"/>
                <w:szCs w:val="24"/>
              </w:rPr>
            </w:pPr>
            <w:r>
              <w:rPr>
                <w:rFonts w:cs="宋体" w:hint="eastAsia"/>
                <w:color w:val="auto"/>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adjustRightInd w:val="0"/>
              <w:snapToGrid w:val="0"/>
              <w:spacing w:line="260" w:lineRule="exact"/>
              <w:jc w:val="center"/>
              <w:rPr>
                <w:color w:val="auto"/>
                <w:sz w:val="24"/>
                <w:szCs w:val="24"/>
              </w:rPr>
            </w:pPr>
            <w:r>
              <w:rPr>
                <w:rFonts w:cs="宋体" w:hint="eastAsia"/>
                <w:color w:val="auto"/>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pPr>
            <w:r>
              <w:rPr>
                <w:rFonts w:cs="宋体" w:hint="eastAsia"/>
                <w:color w:val="auto"/>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jc w:val="center"/>
              <w:rPr>
                <w:rFonts w:eastAsia="方正仿宋_GBK" w:cs="宋体"/>
                <w:sz w:val="24"/>
                <w:szCs w:val="24"/>
                <w:lang w:bidi="ar-SA"/>
              </w:rPr>
            </w:pPr>
            <w:r>
              <w:rPr>
                <w:rFonts w:eastAsia="方正仿宋_GBK" w:cs="宋体"/>
                <w:sz w:val="24"/>
                <w:szCs w:val="24"/>
                <w:lang w:bidi="ar-SA"/>
              </w:rPr>
              <w:t>0</w:t>
            </w:r>
          </w:p>
        </w:tc>
      </w:tr>
    </w:tbl>
    <w:p>
      <w:pPr>
        <w:pStyle w:val="231"/>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25"/>
        <w:widowControl/>
        <w:shd w:val="clear" w:color="auto" w:fill="FFFFFF"/>
        <w:adjustRightInd w:val="0"/>
        <w:snapToGrid w:val="0"/>
        <w:spacing w:beforeAutospacing="0" w:afterLines="50" w:after="218" w:afterAutospacing="0" w:line="560" w:lineRule="exact"/>
        <w:ind w:left="0"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rPr>
            </w:pPr>
            <w:r>
              <w:rPr>
                <w:rFonts w:cs="宋体" w:hint="eastAsia"/>
                <w:color w:val="auto"/>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color w:val="auto"/>
                <w:sz w:val="24"/>
                <w:szCs w:val="24"/>
              </w:rPr>
            </w:pPr>
            <w:r>
              <w:rPr>
                <w:rFonts w:cs="宋体" w:hint="eastAsia"/>
                <w:color w:val="auto"/>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jc w:val="left"/>
              <w:rPr>
                <w:color w:val="auto"/>
                <w:sz w:val="24"/>
                <w:szCs w:val="24"/>
              </w:rPr>
            </w:pPr>
            <w:r>
              <w:rPr>
                <w:rFonts w:cs="宋体" w:hint="eastAsia"/>
                <w:color w:val="auto"/>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sz w:val="24"/>
                <w:szCs w:val="24"/>
              </w:rPr>
            </w:pPr>
            <w:r>
              <w:rPr>
                <w:rFonts w:eastAsia="楷体" w:cs="楷体" w:hint="eastAsia"/>
                <w:color w:val="auto"/>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sz w:val="24"/>
                <w:szCs w:val="24"/>
              </w:rPr>
            </w:pPr>
            <w:r>
              <w:rPr>
                <w:rFonts w:eastAsia="楷体" w:cs="楷体" w:hint="eastAsia"/>
                <w:color w:val="auto"/>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eastAsia="楷体" w:cs="楷体" w:hint="eastAsia"/>
                <w:kern w:val="0"/>
                <w:sz w:val="24"/>
                <w:szCs w:val="24"/>
                <w:lang w:bidi="ar-SA"/>
              </w:rPr>
            </w:pPr>
            <w:r>
              <w:rPr>
                <w:rFonts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eastAsia="楷体" w:cs="楷体" w:hint="eastAsia"/>
                <w:kern w:val="0"/>
                <w:sz w:val="24"/>
                <w:szCs w:val="24"/>
                <w:lang w:bidi="ar-SA"/>
              </w:rPr>
            </w:pPr>
            <w:r>
              <w:rPr>
                <w:rFonts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9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9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9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0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02"/>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eastAsia="楷体" w:cs="楷体" w:hint="eastAsia"/>
                <w:kern w:val="0"/>
                <w:sz w:val="24"/>
                <w:szCs w:val="24"/>
                <w:lang w:bidi="ar-SA"/>
              </w:rPr>
            </w:pPr>
            <w:r>
              <w:rPr>
                <w:rFonts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0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0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0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09"/>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rPr>
                <w:rFonts w:eastAsia="楷体" w:cs="楷体" w:hint="eastAsia"/>
                <w:kern w:val="0"/>
                <w:sz w:val="24"/>
                <w:szCs w:val="24"/>
                <w:lang w:bidi="ar-SA"/>
              </w:rPr>
            </w:pPr>
            <w:r>
              <w:rPr>
                <w:rFonts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rPr>
                <w:color w:val="auto"/>
                <w:sz w:val="24"/>
                <w:szCs w:val="24"/>
              </w:rPr>
            </w:pPr>
            <w:r>
              <w:rPr>
                <w:rFonts w:eastAsia="楷体" w:cs="楷体" w:hint="eastAsia"/>
                <w:color w:val="auto"/>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left"/>
              <w:rPr>
                <w:color w:val="auto"/>
              </w:rPr>
            </w:pPr>
            <w:r>
              <w:rPr>
                <w:rFonts w:cs="宋体" w:hint="eastAsia"/>
                <w:color w:val="auto"/>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bl>
    <w:p>
      <w:pPr>
        <w:pStyle w:val="25"/>
        <w:widowControl/>
        <w:shd w:val="clear" w:color="auto" w:fill="FFFFFF"/>
        <w:spacing w:beforeLines="50" w:before="218" w:beforeAutospacing="0" w:after="120" w:afterAutospacing="0"/>
        <w:ind w:firstLineChars="200" w:firstLine="640"/>
        <w:jc w:val="both"/>
        <w:rPr>
          <w:rFonts w:cs="宋体" w:hint="eastAsia"/>
          <w:color w:val="auto"/>
          <w:szCs w:val="24"/>
          <w:lang w:bidi="ar-SA"/>
        </w:rPr>
      </w:pPr>
      <w:r>
        <w:rPr>
          <w:rFonts w:eastAsia="方正黑体_GBK" w:cs="楷体_GB2312" w:hint="eastAsia"/>
          <w:bCs/>
          <w:color w:val="auto"/>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4"/>
                <w:szCs w:val="24"/>
              </w:rPr>
            </w:pPr>
            <w:r>
              <w:rPr>
                <w:rFonts w:cs="宋体" w:hint="eastAsia"/>
                <w:color w:val="auto"/>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color w:val="auto"/>
                <w:sz w:val="28"/>
                <w:szCs w:val="28"/>
              </w:rPr>
            </w:pPr>
            <w:r>
              <w:rPr>
                <w:color w:val="auto"/>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jc w:val="center"/>
              <w:rPr>
                <w:kern w:val="0"/>
                <w:sz w:val="28"/>
                <w:szCs w:val="28"/>
              </w:rPr>
            </w:pPr>
            <w:r>
              <w:rPr>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五、存在的主要问题及改进情况</w:t>
      </w:r>
    </w:p>
    <w:p>
      <w:pPr>
        <w:pStyle w:val="41"/>
        <w:adjustRightInd w:val="0"/>
        <w:snapToGrid w:val="0"/>
        <w:ind w:firstLineChars="200" w:firstLine="624"/>
        <w:rPr>
          <w:rFonts w:eastAsia="方正楷体_GBK"/>
          <w:b/>
          <w:bCs/>
        </w:rPr>
      </w:pPr>
      <w:r>
        <w:rPr>
          <w:rFonts w:eastAsia="方正楷体_GBK" w:hint="eastAsia"/>
          <w:b/>
          <w:bCs/>
        </w:rPr>
        <w:t>（一）202</w:t>
      </w:r>
      <w:r>
        <w:rPr>
          <w:rFonts w:eastAsia="方正楷体_GBK"/>
          <w:b/>
          <w:bCs/>
        </w:rPr>
        <w:t>4</w:t>
      </w:r>
      <w:r>
        <w:rPr>
          <w:rFonts w:eastAsia="方正楷体_GBK" w:hint="eastAsia"/>
          <w:b/>
          <w:bCs/>
        </w:rPr>
        <w:t>年年报中所提问题整改情况。</w:t>
      </w:r>
    </w:p>
    <w:p>
      <w:pPr>
        <w:pStyle w:val="41"/>
        <w:adjustRightInd w:val="0"/>
        <w:snapToGrid w:val="0"/>
        <w:ind w:firstLineChars="200" w:firstLine="624"/>
      </w:pPr>
      <w:r>
        <w:rPr>
          <w:rFonts w:hint="eastAsia"/>
        </w:rPr>
        <w:t>广州车站海关关区202</w:t>
      </w:r>
      <w:r>
        <w:t>4</w:t>
      </w:r>
      <w:r>
        <w:rPr>
          <w:rFonts w:hint="eastAsia"/>
        </w:rPr>
        <w:t>年年报中提出以下问题：</w:t>
      </w:r>
      <w:r>
        <w:t>基层政务公开专区布局有待进一步优化，需更好适配企业群众使用需求和业务改革发展需要。</w:t>
      </w:r>
    </w:p>
    <w:p>
      <w:pPr>
        <w:pStyle w:val="75"/>
        <w:adjustRightInd w:val="0"/>
        <w:snapToGrid w:val="0"/>
        <w:ind w:firstLineChars="200" w:firstLine="624"/>
      </w:pPr>
      <w:r>
        <w:rPr>
          <w:rFonts w:hint="eastAsia"/>
        </w:rPr>
        <w:t>上述问题在202</w:t>
      </w:r>
      <w:r>
        <w:t>5</w:t>
      </w:r>
      <w:r>
        <w:rPr>
          <w:rFonts w:hint="eastAsia"/>
        </w:rPr>
        <w:t>年已采取措施完成整改：</w:t>
      </w:r>
      <w:r>
        <w:t>2025年，广州车站海关结合办公场所搬迁实际，对基层政务公开专区进行针对性设计改造。重点优化空间布局与功能整合，通过科学规划，确保各项核心服务功能的集中与流畅；增设电子显示屏，用于动态、集中发布政策解读与通知公告，增强了信息获取的便捷性的和直观性。</w:t>
      </w:r>
    </w:p>
    <w:p>
      <w:pPr>
        <w:pStyle w:val="34"/>
        <w:adjustRightInd w:val="0"/>
        <w:snapToGrid w:val="0"/>
        <w:ind w:firstLineChars="200" w:firstLine="624"/>
        <w:rPr>
          <w:rFonts w:eastAsia="方正楷体_GBK"/>
          <w:b/>
          <w:bCs/>
        </w:rPr>
      </w:pPr>
      <w:r>
        <w:rPr>
          <w:rFonts w:eastAsia="方正楷体_GBK" w:hint="eastAsia"/>
          <w:b/>
          <w:bCs/>
        </w:rPr>
        <w:t>（二）目前存在问题。</w:t>
      </w:r>
    </w:p>
    <w:p>
      <w:pPr>
        <w:pStyle w:val="21"/>
        <w:spacing w:line="560" w:lineRule="exact"/>
        <w:ind w:left="0" w:firstLineChars="200" w:firstLine="640"/>
      </w:pPr>
      <w:r>
        <w:t>随着广州车站海关辖区调整及业务职能转变，面对新业务领域的公开要求，对相关政府信息公开工作的认识有待进一步提升。</w:t>
      </w:r>
    </w:p>
    <w:p>
      <w:pPr>
        <w:pStyle w:val="25"/>
        <w:widowControl/>
        <w:shd w:val="clear" w:color="auto" w:fill="FFFFFF"/>
        <w:spacing w:beforeAutospacing="0" w:afterAutospacing="0" w:line="560" w:lineRule="exact"/>
        <w:ind w:firstLineChars="200" w:firstLine="640"/>
        <w:jc w:val="both"/>
        <w:rPr>
          <w:rFonts w:eastAsia="方正黑体_GBK" w:cs="楷体_GB2312" w:hint="eastAsia"/>
          <w:bCs/>
          <w:color w:val="auto"/>
          <w:sz w:val="32"/>
          <w:szCs w:val="32"/>
          <w:shd w:val="clear" w:color="auto" w:fill="FFFFFF"/>
          <w:lang w:bidi="ar-SA"/>
        </w:rPr>
      </w:pPr>
      <w:r>
        <w:rPr>
          <w:rFonts w:eastAsia="方正黑体_GBK" w:cs="楷体_GB2312" w:hint="eastAsia"/>
          <w:bCs/>
          <w:color w:val="auto"/>
          <w:sz w:val="32"/>
          <w:szCs w:val="32"/>
          <w:shd w:val="clear" w:color="auto" w:fill="FFFFFF"/>
          <w:lang w:bidi="ar-SA"/>
        </w:rPr>
        <w:t>六、其他需要报告的事项</w:t>
      </w:r>
      <w:bookmarkEnd w:id="1"/>
    </w:p>
    <w:p>
      <w:pPr>
        <w:pStyle w:val="76"/>
        <w:adjustRightInd w:val="0"/>
        <w:snapToGrid w:val="0"/>
        <w:ind w:firstLineChars="200" w:firstLine="624"/>
      </w:pPr>
      <w:r>
        <w:t>广州车站海关</w:t>
      </w:r>
      <w:r>
        <w:rPr>
          <w:szCs w:val="32"/>
          <w:shd w:val="clear" w:color="auto" w:fill="FFFFFF"/>
        </w:rPr>
        <w:t>严格按照《国务院办公厅关于印发〈政府信息公开信息处理费管理办法〉的通知》，规范政府信息公开信息处理费收取工作，2025年</w:t>
      </w:r>
      <w:r>
        <w:t>未收取政府信息公开信息处理费。</w:t>
      </w:r>
    </w:p>
    <w:p>
      <w:pPr>
        <w:pStyle w:val="40"/>
        <w:adjustRightInd w:val="0"/>
        <w:snapToGrid w:val="0"/>
        <w:ind w:firstLineChars="200" w:firstLine="624"/>
      </w:pPr>
    </w:p>
    <w:p>
      <w:pPr>
        <w:pStyle w:val="16"/>
        <w:tabs>
          <w:tab w:val="center" w:pos="4153"/>
          <w:tab w:val="right" w:pos="8306"/>
        </w:tabs>
      </w:pPr>
    </w:p>
    <w:p>
      <w:pPr>
        <w:pStyle w:val="16"/>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00" w:usb3="00000000" w:csb0="00040000" w:csb1="00000000"/>
  </w:font>
  <w:font w:name="Arial">
    <w:altName w:val="DejaVu Sans"/>
    <w:panose1 w:val="020B0604020202020204"/>
    <w:charset w:val="00"/>
    <w:family w:val="auto"/>
    <w:pitch w:val="variable"/>
    <w:sig w:usb0="00007A87" w:usb1="80000000" w:usb2="00000008" w:usb3="00000000" w:csb0="400001FF" w:csb1="FFFF0000"/>
  </w:font>
  <w:font w:name="方正楷体_GBK">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003" w:usb1="080E0000" w:usb2="00000000"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黑体">
    <w:altName w:val="方正黑体_GBK"/>
    <w:panose1 w:val="00000000000000000000"/>
    <w:charset w:val="00"/>
    <w:family w:val="auto"/>
    <w:pitch w:val="variable"/>
    <w:sig w:usb0="00000000" w:usb1="00000000" w:usb2="00000000" w:usb3="00000000" w:csb0="00000000" w:csb1="00000000"/>
  </w:font>
  <w:font w:name="Calibri">
    <w:altName w:val="Times New Roman"/>
    <w:panose1 w:val="020F0502020204030204"/>
    <w:charset w:val="00"/>
    <w:family w:val="auto"/>
    <w:pitch w:val="variable"/>
    <w:sig w:usb0="E00002FF" w:usb1="4000ACFF" w:usb2="00000001" w:usb3="00000000" w:csb0="2000019F" w:csb1="0000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0803AE2"/>
    <w:multiLevelType w:val="singleLevel"/>
    <w:tmpl w:val="00000000"/>
    <w:lvl w:ilvl="0">
      <w:start w:val="1"/>
      <w:numFmt w:val="decimal"/>
      <w:lvlRestart w:val="0"/>
      <w:pStyle w:val="52"/>
      <w:lvlText w:val="%1."/>
      <w:lvlJc w:val="left"/>
      <w:pPr>
        <w:tabs>
          <w:tab w:val="num" w:pos="780"/>
        </w:tabs>
        <w:ind w:left="780" w:hanging="360"/>
      </w:pPr>
    </w:lvl>
  </w:abstractNum>
  <w:abstractNum w:abstractNumId="1">
    <w:nsid w:val="0FFFFF89"/>
    <w:multiLevelType w:val="singleLevel"/>
    <w:tmpl w:val="00000000"/>
    <w:lvl w:ilvl="0">
      <w:start w:val="1"/>
      <w:numFmt w:val="bullet"/>
      <w:lvlRestart w:val="0"/>
      <w:pStyle w:val="48"/>
      <w:lvlText w:val=""/>
      <w:lvlJc w:val="left"/>
      <w:pPr>
        <w:tabs>
          <w:tab w:val="num" w:pos="360"/>
        </w:tabs>
        <w:ind w:left="360" w:hanging="360"/>
      </w:pPr>
      <w:rPr>
        <w:rFonts w:ascii="Wingdings" w:hAnsi="Wingdings" w:hint="default"/>
      </w:rPr>
    </w:lvl>
  </w:abstractNum>
  <w:abstractNum w:abstractNumId="2">
    <w:nsid w:val="0FFFFF88"/>
    <w:multiLevelType w:val="singleLevel"/>
    <w:tmpl w:val="00000000"/>
    <w:lvl w:ilvl="0">
      <w:start w:val="1"/>
      <w:numFmt w:val="decimal"/>
      <w:lvlRestart w:val="0"/>
      <w:pStyle w:val="49"/>
      <w:lvlText w:val="%1."/>
      <w:lvlJc w:val="left"/>
      <w:pPr>
        <w:tabs>
          <w:tab w:val="num" w:pos="360"/>
        </w:tabs>
        <w:ind w:left="36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firstLineChars="200" w:firstLine="20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6">
    <w:name w:val="样式 1 三号"/>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customStyle="1" w:styleId="30">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1">
    <w:name w:val="样式 20 小四"/>
    <w:next w:val="19"/>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2">
    <w:name w:val="样式 12 三号"/>
    <w:next w:val="2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numPr>
        <w:ilvl w:val="0"/>
        <w:numId w:val="2"/>
      </w:numPr>
    </w:pPr>
  </w:style>
  <w:style w:type="paragraph" w:styleId="72">
    <w:name w:val="List Number"/>
    <w:basedOn w:val="0"/>
    <w:pPr>
      <w:numPr>
        <w:ilvl w:val="0"/>
        <w:numId w:val="3"/>
      </w:numPr>
    </w:pPr>
  </w:style>
  <w:style w:type="paragraph" w:customStyle="1" w:styleId="73">
    <w:name w:val="样式 17 三号"/>
    <w:next w:val="7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paragraph" w:customStyle="1" w:styleId="75">
    <w:name w:val="样式 1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6">
    <w:name w:val="样式 1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7">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4 小四"/>
    <w:pPr>
      <w:widowControl w:val="0"/>
    </w:pPr>
    <w:rPr>
      <w:rFonts w:ascii="宋体" w:eastAsia="宋体" w:cs="宋体"/>
      <w:kern w:val="2"/>
      <w:sz w:val="24"/>
      <w:szCs w:val="24"/>
      <w:lang w:val="en-US" w:eastAsia="zh-CN" w:bidi="ar-SA"/>
    </w:rPr>
  </w:style>
  <w:style w:type="paragraph" w:customStyle="1" w:styleId="211">
    <w:name w:val="样式 1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2">
    <w:name w:val="样式 1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3">
    <w:name w:val="样式 1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4">
    <w:name w:val="样式 2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5">
    <w:name w:val="样式 2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6">
    <w:name w:val="样式 2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7">
    <w:name w:val="样式 2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8">
    <w:name w:val="样式 2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9">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0">
    <w:name w:val="样式 2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1">
    <w:name w:val="样式 2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2">
    <w:name w:val="样式 2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3">
    <w:name w:val="样式 2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4">
    <w:name w:val="样式 3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5">
    <w:name w:val="样式 3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6">
    <w:name w:val="样式 3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7">
    <w:name w:val="样式 3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8">
    <w:name w:val="样式 3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229">
    <w:name w:val="annotation text"/>
    <w:basedOn w:val="0"/>
    <w:pPr>
      <w:jc w:val="left"/>
    </w:pPr>
  </w:style>
  <w:style w:type="paragraph" w:styleId="230">
    <w:name w:val="annotation subject"/>
    <w:basedOn w:val="229"/>
    <w:next w:val="229"/>
    <w:rPr>
      <w:b/>
    </w:rPr>
  </w:style>
  <w:style w:type="paragraph" w:customStyle="1" w:styleId="231">
    <w:name w:val="样式 5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1338</TotalTime>
  <Application>Yozo_Office</Application>
  <Pages>7</Pages>
  <Words>2669</Words>
  <Characters>2766</Characters>
  <Lines>449</Lines>
  <Paragraphs>314</Paragraphs>
  <CharactersWithSpaces>2766</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2020-01-22T00:43:00Z</cp:lastPrinted>
  <dcterms:created xsi:type="dcterms:W3CDTF">2008-05-09T07:46:00Z</dcterms:created>
  <dcterms:modified xsi:type="dcterms:W3CDTF">2026-01-26T00:56:55Z</dcterms:modified>
</cp:coreProperties>
</file>