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49"/>
        <w:jc w:val="center"/>
        <w:rPr>
          <w:rFonts w:ascii="方正小标宋_GBK" w:eastAsia="方正小标宋_GBK" w:hint="eastAsia"/>
          <w:sz w:val="44"/>
          <w:szCs w:val="44"/>
        </w:rPr>
      </w:pPr>
      <w:bookmarkStart w:id="0" w:name="_Hlk25540369"/>
      <w:bookmarkStart w:id="1" w:name="cogw__正文__file"/>
      <w:r>
        <w:rPr>
          <w:rFonts w:ascii="方正小标宋_GBK" w:eastAsia="方正小标宋_GBK" w:hint="eastAsia"/>
          <w:sz w:val="44"/>
          <w:szCs w:val="44"/>
        </w:rPr>
        <w:t>番禺海关2025年政府信息公开工作年度报告</w:t>
      </w:r>
      <w:bookmarkEnd w:id="0"/>
    </w:p>
    <w:p>
      <w:pPr>
        <w:pStyle w:val="25"/>
        <w:widowControl/>
        <w:shd w:val="clear" w:color="auto" w:fill="FFFFFF"/>
        <w:adjustRightInd w:val="0"/>
        <w:snapToGrid w:val="0"/>
        <w:spacing w:line="560" w:lineRule="exact"/>
        <w:jc w:val="both"/>
        <w:rPr>
          <w:rFonts w:eastAsia="楷体_GB2312" w:hint="eastAsia"/>
          <w:bCs/>
          <w:sz w:val="32"/>
          <w:szCs w:val="32"/>
          <w:shd w:val="clear" w:color="auto" w:fill="FFFFFF"/>
        </w:rPr>
      </w:pPr>
    </w:p>
    <w:p>
      <w:pPr>
        <w:pStyle w:val="20"/>
        <w:tabs>
          <w:tab w:val="center" w:pos="4153"/>
          <w:tab w:val="right" w:pos="8306"/>
        </w:tabs>
        <w:spacing w:line="560" w:lineRule="exact"/>
        <w:ind w:firstLine="630"/>
        <w:jc w:val="both"/>
        <w:rPr>
          <w:sz w:val="32"/>
          <w:szCs w:val="32"/>
        </w:rPr>
      </w:pPr>
      <w:r>
        <w:rPr>
          <w:color w:val="000000"/>
          <w:sz w:val="32"/>
          <w:szCs w:val="32"/>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番禺海关2025年政府信息公开工作年报。年报中所列数据的统计期限，自2025年1月1日起至2025年12月31日止。如对本年报有疑问或有任何意见、建议，请联系番禺海关办公室。地址：广东省广州市番禺区清河东路口岸大街8号，邮编：511400；电话：020-84623601；电子邮箱：</w:t>
      </w:r>
      <w:r>
        <w:rPr>
          <w:sz w:val="32"/>
          <w:szCs w:val="32"/>
        </w:rPr>
        <w:t>pyhgbgs@customs.gov.cn</w:t>
      </w:r>
      <w:r>
        <w:rPr>
          <w:color w:val="000000"/>
          <w:sz w:val="32"/>
          <w:szCs w:val="32"/>
        </w:rPr>
        <w:t>。</w:t>
      </w:r>
    </w:p>
    <w:p>
      <w:pPr>
        <w:pStyle w:val="116"/>
        <w:spacing w:line="560" w:lineRule="exact"/>
        <w:ind w:firstLineChars="200" w:firstLine="640"/>
        <w:rPr>
          <w:rFonts w:ascii="方正黑体_GBK" w:eastAsia="方正黑体_GBK" w:hint="eastAsia"/>
          <w:color w:val="000000"/>
          <w:szCs w:val="32"/>
        </w:rPr>
      </w:pPr>
      <w:r>
        <w:rPr>
          <w:rFonts w:ascii="方正黑体_GBK" w:eastAsia="方正黑体_GBK" w:hint="eastAsia"/>
          <w:bCs/>
          <w:kern w:val="0"/>
          <w:szCs w:val="32"/>
          <w:shd w:val="clear" w:color="auto" w:fill="FFFFFF"/>
        </w:rPr>
        <w:t>一、总体情况</w:t>
      </w:r>
    </w:p>
    <w:p>
      <w:pPr>
        <w:pStyle w:val="116"/>
        <w:spacing w:line="560" w:lineRule="exact"/>
        <w:ind w:firstLineChars="200" w:firstLine="640"/>
        <w:rPr>
          <w:bCs/>
          <w:color w:val="000000"/>
          <w:szCs w:val="32"/>
        </w:rPr>
      </w:pPr>
      <w:r>
        <w:rPr>
          <w:color w:val="000000"/>
          <w:szCs w:val="32"/>
        </w:rPr>
        <w:t>2025年，番禺海关坚持以习近平新时代中国特色社会主义思想为指导，全面贯彻落实党的二十大和二十届</w:t>
      </w:r>
      <w:r>
        <w:rPr>
          <w:color w:val="000000"/>
          <w:szCs w:val="32"/>
          <w:lang w:val="en-US" w:eastAsia="zh-CN"/>
        </w:rPr>
        <w:t>历次</w:t>
      </w:r>
      <w:r>
        <w:rPr>
          <w:color w:val="000000"/>
          <w:szCs w:val="32"/>
        </w:rPr>
        <w:t>全会精神，深入学习贯彻习近平总书记给红其拉甫海关全体关员的重要回信精神，持续优化政务公开服务，保障公众知情权、参与权和监督权，</w:t>
      </w:r>
      <w:r>
        <w:rPr>
          <w:rFonts w:hint="eastAsia"/>
          <w:color w:val="000000"/>
          <w:szCs w:val="32"/>
          <w:lang w:val="en-US" w:eastAsia="zh-CN"/>
        </w:rPr>
        <w:t>不断</w:t>
      </w:r>
      <w:r>
        <w:rPr>
          <w:color w:val="000000"/>
          <w:szCs w:val="32"/>
          <w:lang w:eastAsia="zh-CN"/>
        </w:rPr>
        <w:t>提升基层政务公开标准化规范化</w:t>
      </w:r>
      <w:r>
        <w:rPr>
          <w:color w:val="000000"/>
          <w:szCs w:val="32"/>
          <w:lang w:val="en-US" w:eastAsia="zh-CN"/>
        </w:rPr>
        <w:t>建设</w:t>
      </w:r>
      <w:r>
        <w:rPr>
          <w:color w:val="000000"/>
          <w:szCs w:val="32"/>
          <w:lang w:eastAsia="zh-CN"/>
        </w:rPr>
        <w:t>水平</w:t>
      </w:r>
      <w:r>
        <w:rPr>
          <w:rFonts w:ascii="方正仿宋_GBK" w:cs="Arial" w:hint="eastAsia"/>
          <w:szCs w:val="32"/>
          <w:shd w:val="clear" w:color="auto" w:fill="auto"/>
          <w:lang w:bidi="ar-SA"/>
        </w:rPr>
        <w:t>。现将工作情况报告如下</w:t>
      </w:r>
      <w:r>
        <w:rPr>
          <w:color w:val="000000"/>
          <w:szCs w:val="32"/>
        </w:rPr>
        <w:t>：</w:t>
      </w:r>
    </w:p>
    <w:p>
      <w:pPr>
        <w:pStyle w:val="116"/>
        <w:spacing w:line="560" w:lineRule="exact"/>
        <w:ind w:firstLineChars="200" w:firstLine="640"/>
        <w:rPr>
          <w:rFonts w:ascii="方正楷体_GBK" w:eastAsia="方正楷体_GBK" w:cs="方正楷体_GBK" w:hint="eastAsia"/>
          <w:b/>
          <w:bCs/>
          <w:kern w:val="2"/>
          <w:sz w:val="32"/>
          <w:szCs w:val="20"/>
          <w:shd w:val="clear" w:color="auto" w:fill="auto"/>
          <w:lang w:val="en-US" w:eastAsia="zh-CN" w:bidi="ar-SA"/>
        </w:rPr>
      </w:pPr>
      <w:r>
        <w:rPr>
          <w:rFonts w:ascii="方正楷体_GBK" w:eastAsia="方正楷体_GBK" w:cs="方正楷体_GBK" w:hint="eastAsia"/>
          <w:b/>
          <w:bCs/>
          <w:kern w:val="2"/>
          <w:sz w:val="32"/>
          <w:szCs w:val="20"/>
          <w:shd w:val="clear" w:color="auto" w:fill="auto"/>
          <w:lang w:val="en-US" w:eastAsia="zh-CN" w:bidi="ar-SA"/>
        </w:rPr>
        <w:t>（一）重常态运转，推进主动公开规范落地。</w:t>
      </w:r>
    </w:p>
    <w:p>
      <w:pPr>
        <w:pStyle w:val="116"/>
        <w:spacing w:line="560" w:lineRule="exact"/>
        <w:ind w:firstLineChars="200" w:firstLine="640"/>
        <w:rPr>
          <w:bCs/>
          <w:color w:val="000000"/>
          <w:szCs w:val="32"/>
        </w:rPr>
      </w:pPr>
      <w:r>
        <w:rPr>
          <w:bCs/>
          <w:color w:val="000000"/>
          <w:szCs w:val="32"/>
        </w:rPr>
        <w:t>严格落实信息主动公开，拓展</w:t>
      </w:r>
      <w:r>
        <w:rPr>
          <w:rFonts w:hint="eastAsia"/>
          <w:bCs/>
          <w:color w:val="000000"/>
          <w:szCs w:val="32"/>
          <w:lang w:val="en-US" w:eastAsia="zh-CN"/>
        </w:rPr>
        <w:t>政务</w:t>
      </w:r>
      <w:r>
        <w:rPr>
          <w:bCs/>
          <w:color w:val="000000"/>
          <w:szCs w:val="32"/>
        </w:rPr>
        <w:t>公开的广度与深度。</w:t>
      </w:r>
      <w:r>
        <w:rPr>
          <w:b/>
          <w:color w:val="000000"/>
          <w:szCs w:val="32"/>
        </w:rPr>
        <w:t>一是目录管理精细化。</w:t>
      </w:r>
      <w:r>
        <w:rPr>
          <w:bCs/>
          <w:color w:val="000000"/>
          <w:szCs w:val="32"/>
        </w:rPr>
        <w:t>动态维护《政务公开标准事项目录》，确保机构职能、办事指南、财务预决算等法定内容发布及时、准确。</w:t>
      </w:r>
      <w:r>
        <w:rPr>
          <w:b/>
          <w:color w:val="000000"/>
          <w:szCs w:val="32"/>
        </w:rPr>
        <w:t>二是重点领域规范化。</w:t>
      </w:r>
      <w:r>
        <w:rPr>
          <w:bCs/>
          <w:color w:val="000000"/>
          <w:szCs w:val="32"/>
        </w:rPr>
        <w:t>严格落实</w:t>
      </w:r>
      <w:r>
        <w:rPr>
          <w:rFonts w:eastAsia="宋体" w:hint="eastAsia"/>
          <w:bCs/>
          <w:color w:val="000000"/>
          <w:szCs w:val="32"/>
          <w:lang w:eastAsia="zh-CN"/>
        </w:rPr>
        <w:t>“</w:t>
      </w:r>
      <w:r>
        <w:rPr>
          <w:bCs/>
          <w:color w:val="000000"/>
          <w:szCs w:val="32"/>
        </w:rPr>
        <w:t>双随机、一公开</w:t>
      </w:r>
      <w:r>
        <w:rPr>
          <w:rFonts w:eastAsia="宋体" w:hint="eastAsia"/>
          <w:bCs/>
          <w:color w:val="000000"/>
          <w:szCs w:val="32"/>
          <w:lang w:eastAsia="zh-CN"/>
        </w:rPr>
        <w:t>”</w:t>
      </w:r>
      <w:r>
        <w:rPr>
          <w:bCs/>
          <w:color w:val="000000"/>
          <w:szCs w:val="32"/>
        </w:rPr>
        <w:t>要求，及时通过门户网站、</w:t>
      </w:r>
      <w:r>
        <w:rPr>
          <w:rFonts w:hint="eastAsia"/>
          <w:bCs/>
          <w:color w:val="000000"/>
          <w:szCs w:val="32"/>
          <w:lang w:val="en-US" w:eastAsia="zh-CN"/>
        </w:rPr>
        <w:t>网络拍卖</w:t>
      </w:r>
      <w:r>
        <w:rPr>
          <w:bCs/>
          <w:color w:val="000000"/>
          <w:szCs w:val="32"/>
        </w:rPr>
        <w:t>平台</w:t>
      </w:r>
      <w:r>
        <w:rPr>
          <w:rFonts w:hint="eastAsia"/>
          <w:bCs/>
          <w:color w:val="000000"/>
          <w:szCs w:val="32"/>
          <w:lang w:val="en-US" w:eastAsia="zh-CN"/>
        </w:rPr>
        <w:t>等途径</w:t>
      </w:r>
      <w:r>
        <w:rPr>
          <w:bCs/>
          <w:color w:val="000000"/>
          <w:szCs w:val="32"/>
        </w:rPr>
        <w:t>，依法规范公开行政执法、涉案财物拍卖等信息。</w:t>
      </w:r>
      <w:r>
        <w:rPr>
          <w:b/>
          <w:color w:val="000000"/>
          <w:szCs w:val="32"/>
        </w:rPr>
        <w:t>三是政策解读多样化。</w:t>
      </w:r>
      <w:r>
        <w:rPr>
          <w:bCs/>
          <w:color w:val="000000"/>
          <w:szCs w:val="32"/>
        </w:rPr>
        <w:t>围绕国门生物安全、外贸高质量发展、强化监管服务等企业公众关切热点，采用图文、问答等多种形式精准</w:t>
      </w:r>
      <w:r>
        <w:rPr>
          <w:rFonts w:hint="eastAsia"/>
          <w:bCs/>
          <w:color w:val="000000"/>
          <w:szCs w:val="32"/>
          <w:lang w:val="en-US" w:eastAsia="zh-CN"/>
        </w:rPr>
        <w:t>宣贯</w:t>
      </w:r>
      <w:r>
        <w:rPr>
          <w:bCs/>
          <w:color w:val="000000"/>
          <w:szCs w:val="32"/>
        </w:rPr>
        <w:t>解读，相关</w:t>
      </w:r>
      <w:r>
        <w:rPr>
          <w:rFonts w:hint="eastAsia"/>
          <w:bCs/>
          <w:color w:val="000000"/>
          <w:szCs w:val="32"/>
          <w:lang w:val="en-US" w:eastAsia="zh-CN"/>
        </w:rPr>
        <w:t>工作成果</w:t>
      </w:r>
      <w:r>
        <w:rPr>
          <w:bCs/>
          <w:color w:val="000000"/>
          <w:szCs w:val="32"/>
        </w:rPr>
        <w:t>获人民日报、</w:t>
      </w:r>
      <w:r>
        <w:rPr>
          <w:rFonts w:hint="eastAsia"/>
          <w:bCs/>
          <w:color w:val="000000"/>
          <w:szCs w:val="32"/>
          <w:lang w:eastAsia="zh-CN"/>
        </w:rPr>
        <w:t>“</w:t>
      </w:r>
      <w:r>
        <w:rPr>
          <w:bCs/>
          <w:color w:val="000000"/>
          <w:szCs w:val="32"/>
        </w:rPr>
        <w:t>海关发布</w:t>
      </w:r>
      <w:r>
        <w:rPr>
          <w:rFonts w:hint="eastAsia"/>
          <w:bCs/>
          <w:color w:val="000000"/>
          <w:szCs w:val="32"/>
          <w:lang w:eastAsia="zh-CN"/>
        </w:rPr>
        <w:t>”</w:t>
      </w:r>
      <w:r>
        <w:rPr>
          <w:bCs/>
          <w:color w:val="000000"/>
          <w:szCs w:val="32"/>
        </w:rPr>
        <w:t>等主流媒体转载，有效提升政策普及率和公众知晓度。</w:t>
      </w:r>
    </w:p>
    <w:p>
      <w:pPr>
        <w:pStyle w:val="116"/>
        <w:spacing w:line="560" w:lineRule="exact"/>
        <w:ind w:firstLineChars="200" w:firstLine="640"/>
        <w:rPr>
          <w:rFonts w:ascii="方正楷体_GBK" w:eastAsia="方正楷体_GBK" w:cs="方正楷体_GBK" w:hint="eastAsia"/>
          <w:b/>
          <w:bCs/>
          <w:kern w:val="2"/>
          <w:sz w:val="32"/>
          <w:szCs w:val="20"/>
          <w:shd w:val="clear" w:color="auto" w:fill="auto"/>
          <w:lang w:val="en-US" w:eastAsia="zh-CN" w:bidi="ar-SA"/>
        </w:rPr>
      </w:pPr>
      <w:r>
        <w:rPr>
          <w:rFonts w:ascii="方正楷体_GBK" w:eastAsia="方正楷体_GBK" w:cs="方正楷体_GBK" w:hint="eastAsia"/>
          <w:b/>
          <w:bCs/>
          <w:kern w:val="2"/>
          <w:sz w:val="32"/>
          <w:szCs w:val="20"/>
          <w:shd w:val="clear" w:color="auto" w:fill="auto"/>
          <w:lang w:val="en-US" w:eastAsia="zh-CN" w:bidi="ar-SA"/>
        </w:rPr>
        <w:t>（二）抓规范管理，优化依申请</w:t>
      </w:r>
      <w:r>
        <w:rPr>
          <w:rFonts w:ascii="方正楷体_GBK" w:eastAsia="方正楷体_GBK" w:cs="方正楷体_GBK"/>
          <w:b/>
          <w:bCs/>
          <w:kern w:val="2"/>
          <w:sz w:val="32"/>
          <w:szCs w:val="20"/>
          <w:shd w:val="clear" w:color="auto" w:fill="auto"/>
          <w:lang w:val="en-US" w:eastAsia="zh-CN" w:bidi="ar-SA"/>
        </w:rPr>
        <w:t>公开</w:t>
      </w:r>
      <w:r>
        <w:rPr>
          <w:rFonts w:ascii="方正楷体_GBK" w:eastAsia="方正楷体_GBK" w:cs="方正楷体_GBK" w:hint="eastAsia"/>
          <w:b/>
          <w:bCs/>
          <w:kern w:val="2"/>
          <w:sz w:val="32"/>
          <w:szCs w:val="20"/>
          <w:shd w:val="clear" w:color="auto" w:fill="auto"/>
          <w:lang w:val="en-US" w:eastAsia="zh-CN" w:bidi="ar-SA"/>
        </w:rPr>
        <w:t>办理流程。</w:t>
      </w:r>
    </w:p>
    <w:p>
      <w:pPr>
        <w:pStyle w:val="116"/>
        <w:spacing w:line="560" w:lineRule="exact"/>
        <w:ind w:firstLineChars="200" w:firstLine="640"/>
        <w:rPr>
          <w:rFonts w:hint="eastAsia"/>
          <w:bCs/>
          <w:color w:val="000000"/>
          <w:szCs w:val="32"/>
          <w:lang w:eastAsia="zh-CN"/>
        </w:rPr>
      </w:pPr>
      <w:r>
        <w:rPr>
          <w:bCs/>
          <w:color w:val="000000"/>
          <w:szCs w:val="32"/>
        </w:rPr>
        <w:t>依法依规办理政府信息公开申请，保障申请人合法权益。</w:t>
      </w:r>
      <w:r>
        <w:rPr>
          <w:b/>
          <w:color w:val="000000"/>
          <w:szCs w:val="32"/>
        </w:rPr>
        <w:t>一是严格规范办理流程。</w:t>
      </w:r>
      <w:r>
        <w:rPr>
          <w:bCs/>
          <w:color w:val="000000"/>
          <w:szCs w:val="32"/>
        </w:rPr>
        <w:t>深入学习贯彻《中华人民共和国政府信息公开条例》</w:t>
      </w:r>
      <w:r>
        <w:rPr>
          <w:rFonts w:hint="eastAsia"/>
          <w:bCs/>
          <w:color w:val="000000"/>
          <w:szCs w:val="32"/>
          <w:lang w:val="en-US" w:eastAsia="zh-CN"/>
        </w:rPr>
        <w:t>等</w:t>
      </w:r>
      <w:r>
        <w:rPr>
          <w:rFonts w:hint="eastAsia"/>
          <w:bCs/>
          <w:color w:val="000000"/>
          <w:szCs w:val="32"/>
          <w:lang w:eastAsia="zh-CN"/>
        </w:rPr>
        <w:t>法规</w:t>
      </w:r>
      <w:r>
        <w:rPr>
          <w:bCs/>
          <w:color w:val="000000"/>
          <w:szCs w:val="32"/>
        </w:rPr>
        <w:t>，优化</w:t>
      </w:r>
      <w:r>
        <w:rPr>
          <w:rFonts w:hint="eastAsia"/>
          <w:bCs/>
          <w:color w:val="000000"/>
          <w:szCs w:val="32"/>
          <w:lang w:val="en-US" w:eastAsia="zh-CN"/>
        </w:rPr>
        <w:t>申请</w:t>
      </w:r>
      <w:r>
        <w:rPr>
          <w:bCs/>
          <w:color w:val="000000"/>
          <w:szCs w:val="32"/>
        </w:rPr>
        <w:t>受理、审查、答复、归档等各环节工作机制，确保程序合法、答复规范。</w:t>
      </w:r>
      <w:r>
        <w:rPr>
          <w:b/>
          <w:color w:val="000000"/>
          <w:szCs w:val="32"/>
        </w:rPr>
        <w:t>二是保障申请渠道畅通。</w:t>
      </w:r>
      <w:r>
        <w:rPr>
          <w:bCs/>
          <w:color w:val="000000"/>
          <w:szCs w:val="32"/>
        </w:rPr>
        <w:t>设置专人专岗负责跟进，确保</w:t>
      </w:r>
      <w:r>
        <w:rPr>
          <w:rFonts w:hint="eastAsia"/>
          <w:bCs/>
          <w:color w:val="000000"/>
          <w:szCs w:val="32"/>
          <w:lang w:eastAsia="zh-CN"/>
        </w:rPr>
        <w:t>信函</w:t>
      </w:r>
      <w:r>
        <w:rPr>
          <w:bCs/>
          <w:color w:val="000000"/>
          <w:szCs w:val="32"/>
        </w:rPr>
        <w:t>、电话、电邮、传真等各类申请渠道响应及时、运转</w:t>
      </w:r>
      <w:r>
        <w:rPr>
          <w:rFonts w:hint="eastAsia"/>
          <w:bCs/>
          <w:color w:val="000000"/>
          <w:szCs w:val="32"/>
          <w:lang w:val="en-US" w:eastAsia="zh-CN"/>
        </w:rPr>
        <w:t>高效</w:t>
      </w:r>
      <w:r>
        <w:rPr>
          <w:bCs/>
          <w:color w:val="000000"/>
          <w:szCs w:val="32"/>
        </w:rPr>
        <w:t>。</w:t>
      </w:r>
      <w:r>
        <w:rPr>
          <w:b/>
          <w:color w:val="000000"/>
          <w:szCs w:val="32"/>
        </w:rPr>
        <w:t>三是</w:t>
      </w:r>
      <w:r>
        <w:rPr>
          <w:rFonts w:hint="eastAsia"/>
          <w:b/>
          <w:color w:val="000000"/>
          <w:szCs w:val="32"/>
          <w:lang w:val="en-US" w:eastAsia="zh-CN"/>
        </w:rPr>
        <w:t>持续</w:t>
      </w:r>
      <w:r>
        <w:rPr>
          <w:b/>
          <w:color w:val="000000"/>
          <w:szCs w:val="32"/>
        </w:rPr>
        <w:t>提升答复质量。</w:t>
      </w:r>
      <w:r>
        <w:rPr>
          <w:rFonts w:hint="eastAsia"/>
          <w:bCs/>
          <w:color w:val="000000"/>
          <w:szCs w:val="32"/>
          <w:lang w:val="en-US" w:eastAsia="zh-CN"/>
        </w:rPr>
        <w:t>2025年，</w:t>
      </w:r>
      <w:r>
        <w:rPr>
          <w:bCs/>
          <w:color w:val="000000"/>
          <w:szCs w:val="32"/>
        </w:rPr>
        <w:t>累计收到政府信息公开申请5件，均已按期规范办结</w:t>
      </w:r>
      <w:r>
        <w:rPr>
          <w:rFonts w:hint="eastAsia"/>
          <w:bCs/>
          <w:color w:val="000000"/>
          <w:szCs w:val="32"/>
          <w:lang w:eastAsia="zh-CN"/>
        </w:rPr>
        <w:t>，</w:t>
      </w:r>
      <w:r>
        <w:rPr>
          <w:bCs/>
          <w:color w:val="000000"/>
          <w:szCs w:val="32"/>
        </w:rPr>
        <w:t>未发生因政府信息公开申请引发的行政复议、诉讼</w:t>
      </w:r>
      <w:r>
        <w:rPr>
          <w:rFonts w:hint="eastAsia"/>
          <w:bCs/>
          <w:color w:val="000000"/>
          <w:szCs w:val="32"/>
          <w:lang w:eastAsia="zh-CN"/>
        </w:rPr>
        <w:t>。</w:t>
      </w:r>
    </w:p>
    <w:p>
      <w:pPr>
        <w:pStyle w:val="116"/>
        <w:spacing w:line="560" w:lineRule="exact"/>
        <w:ind w:firstLineChars="200" w:firstLine="640"/>
        <w:rPr>
          <w:rFonts w:ascii="方正楷体_GBK" w:eastAsia="方正楷体_GBK" w:cs="方正楷体_GBK" w:hint="eastAsia"/>
          <w:b/>
          <w:bCs/>
          <w:kern w:val="2"/>
          <w:sz w:val="32"/>
          <w:szCs w:val="20"/>
          <w:shd w:val="clear" w:color="auto" w:fill="auto"/>
          <w:lang w:val="en-US" w:eastAsia="zh-CN" w:bidi="ar-SA"/>
        </w:rPr>
      </w:pPr>
      <w:r>
        <w:rPr>
          <w:rFonts w:ascii="方正楷体_GBK" w:eastAsia="方正楷体_GBK" w:cs="方正楷体_GBK" w:hint="eastAsia"/>
          <w:b/>
          <w:bCs/>
          <w:kern w:val="2"/>
          <w:sz w:val="32"/>
          <w:szCs w:val="20"/>
          <w:shd w:val="clear" w:color="auto" w:fill="auto"/>
          <w:lang w:val="en-US" w:eastAsia="zh-CN" w:bidi="ar-SA"/>
        </w:rPr>
        <w:t>（三）提平台效能，促进政务服务一体融合。</w:t>
      </w:r>
    </w:p>
    <w:p>
      <w:pPr>
        <w:pStyle w:val="116"/>
        <w:spacing w:line="560" w:lineRule="exact"/>
        <w:ind w:firstLineChars="200" w:firstLine="640"/>
        <w:rPr>
          <w:bCs/>
          <w:color w:val="000000"/>
          <w:szCs w:val="32"/>
        </w:rPr>
      </w:pPr>
      <w:r>
        <w:rPr>
          <w:bCs/>
          <w:color w:val="000000"/>
          <w:szCs w:val="32"/>
        </w:rPr>
        <w:t>以企业公众需求为导向，推动线上线下</w:t>
      </w:r>
      <w:r>
        <w:rPr>
          <w:rFonts w:hint="eastAsia"/>
          <w:bCs/>
          <w:color w:val="000000"/>
          <w:szCs w:val="32"/>
          <w:lang w:val="en-US" w:eastAsia="zh-CN"/>
        </w:rPr>
        <w:t>服务</w:t>
      </w:r>
      <w:r>
        <w:rPr>
          <w:bCs/>
          <w:color w:val="000000"/>
          <w:szCs w:val="32"/>
        </w:rPr>
        <w:t>平台协同发展。</w:t>
      </w:r>
      <w:r>
        <w:rPr>
          <w:b/>
          <w:color w:val="000000"/>
          <w:szCs w:val="32"/>
        </w:rPr>
        <w:t>一是线下专区提质。</w:t>
      </w:r>
      <w:r>
        <w:rPr>
          <w:rFonts w:hint="eastAsia"/>
          <w:bCs/>
          <w:color w:val="000000"/>
          <w:szCs w:val="32"/>
          <w:lang w:val="en-US" w:eastAsia="zh-CN"/>
        </w:rPr>
        <w:t>加强关区</w:t>
      </w:r>
      <w:r>
        <w:rPr>
          <w:rFonts w:hint="eastAsia"/>
          <w:bCs/>
          <w:color w:val="000000"/>
          <w:szCs w:val="32"/>
          <w:lang w:eastAsia="zh-CN"/>
        </w:rPr>
        <w:t>“</w:t>
      </w:r>
      <w:r>
        <w:rPr>
          <w:rFonts w:hint="eastAsia"/>
          <w:bCs/>
          <w:color w:val="000000"/>
          <w:szCs w:val="32"/>
          <w:lang w:val="en-US" w:eastAsia="zh-CN"/>
        </w:rPr>
        <w:t>‘莲’心桥</w:t>
      </w:r>
      <w:r>
        <w:rPr>
          <w:rFonts w:hint="eastAsia"/>
          <w:bCs/>
          <w:color w:val="000000"/>
          <w:szCs w:val="32"/>
          <w:lang w:eastAsia="zh-CN"/>
        </w:rPr>
        <w:t>”</w:t>
      </w:r>
      <w:r>
        <w:rPr>
          <w:rFonts w:hint="eastAsia"/>
          <w:bCs/>
          <w:color w:val="000000"/>
          <w:szCs w:val="32"/>
          <w:lang w:val="en-US" w:eastAsia="zh-CN"/>
        </w:rPr>
        <w:t>品牌</w:t>
      </w:r>
      <w:r>
        <w:rPr>
          <w:bCs/>
          <w:color w:val="000000"/>
          <w:szCs w:val="32"/>
        </w:rPr>
        <w:t>基层政务公开专区建设，</w:t>
      </w:r>
      <w:r>
        <w:rPr>
          <w:rFonts w:hint="eastAsia"/>
          <w:bCs/>
          <w:color w:val="000000"/>
          <w:szCs w:val="32"/>
          <w:lang w:val="en-US" w:eastAsia="zh-CN"/>
        </w:rPr>
        <w:t>优化</w:t>
      </w:r>
      <w:r>
        <w:rPr>
          <w:rFonts w:hint="eastAsia"/>
          <w:bCs/>
          <w:color w:val="000000"/>
          <w:szCs w:val="32"/>
        </w:rPr>
        <w:t>“</w:t>
      </w:r>
      <w:r>
        <w:rPr>
          <w:rFonts w:ascii="方正仿宋_GBK" w:hint="eastAsia"/>
          <w:bCs/>
          <w:color w:val="000000"/>
          <w:szCs w:val="32"/>
        </w:rPr>
        <w:t>‘</w:t>
      </w:r>
      <w:r>
        <w:rPr>
          <w:bCs/>
          <w:color w:val="000000"/>
          <w:szCs w:val="32"/>
        </w:rPr>
        <w:t>办不成事</w:t>
      </w:r>
      <w:r>
        <w:rPr>
          <w:rFonts w:ascii="方正仿宋_GBK" w:hint="eastAsia"/>
          <w:bCs/>
          <w:color w:val="000000"/>
          <w:szCs w:val="32"/>
        </w:rPr>
        <w:t>’兜底窗口”</w:t>
      </w:r>
      <w:r>
        <w:rPr>
          <w:rFonts w:hint="eastAsia"/>
          <w:bCs/>
          <w:color w:val="000000"/>
          <w:szCs w:val="32"/>
          <w:lang w:val="en-US" w:eastAsia="zh-CN"/>
        </w:rPr>
        <w:t>等</w:t>
      </w:r>
      <w:r>
        <w:rPr>
          <w:bCs/>
          <w:color w:val="000000"/>
          <w:szCs w:val="32"/>
        </w:rPr>
        <w:t>特色专窗服务</w:t>
      </w:r>
      <w:r>
        <w:rPr>
          <w:rFonts w:hint="eastAsia"/>
          <w:bCs/>
          <w:color w:val="000000"/>
          <w:szCs w:val="32"/>
          <w:lang w:val="en-US" w:eastAsia="zh-CN"/>
        </w:rPr>
        <w:t>，</w:t>
      </w:r>
      <w:r>
        <w:rPr>
          <w:bCs/>
          <w:color w:val="000000"/>
          <w:szCs w:val="32"/>
          <w:lang w:val="en-US" w:eastAsia="zh-CN"/>
        </w:rPr>
        <w:t>力争企业公众</w:t>
      </w:r>
      <w:r>
        <w:rPr>
          <w:rFonts w:hint="eastAsia"/>
          <w:bCs/>
          <w:color w:val="000000"/>
          <w:szCs w:val="32"/>
          <w:lang w:val="en-US" w:eastAsia="zh-CN"/>
        </w:rPr>
        <w:t>“高效办成一件事”</w:t>
      </w:r>
      <w:r>
        <w:rPr>
          <w:bCs/>
          <w:color w:val="000000"/>
          <w:szCs w:val="32"/>
        </w:rPr>
        <w:t>。</w:t>
      </w:r>
      <w:r>
        <w:rPr>
          <w:b/>
          <w:color w:val="000000"/>
          <w:szCs w:val="32"/>
        </w:rPr>
        <w:t>二是线上服务增效。</w:t>
      </w:r>
      <w:r>
        <w:rPr>
          <w:rFonts w:hint="eastAsia"/>
          <w:bCs/>
          <w:color w:val="000000"/>
          <w:szCs w:val="32"/>
          <w:lang w:val="en-US" w:eastAsia="zh-CN"/>
        </w:rPr>
        <w:t>依托广州海关</w:t>
      </w:r>
      <w:r>
        <w:rPr>
          <w:rFonts w:hint="eastAsia"/>
          <w:bCs/>
          <w:color w:val="000000"/>
          <w:szCs w:val="32"/>
          <w:lang w:eastAsia="zh-CN"/>
        </w:rPr>
        <w:t>“</w:t>
      </w:r>
      <w:r>
        <w:rPr>
          <w:bCs/>
          <w:color w:val="000000"/>
          <w:szCs w:val="32"/>
        </w:rPr>
        <w:t>智慧海关政务服务地图</w:t>
      </w:r>
      <w:r>
        <w:rPr>
          <w:rFonts w:hint="eastAsia"/>
          <w:bCs/>
          <w:color w:val="000000"/>
          <w:szCs w:val="32"/>
          <w:lang w:eastAsia="zh-CN"/>
        </w:rPr>
        <w:t>”</w:t>
      </w:r>
      <w:r>
        <w:rPr>
          <w:bCs/>
          <w:color w:val="000000"/>
          <w:szCs w:val="32"/>
        </w:rPr>
        <w:t>项目，推动政策查询与办事服务一体化，力求让数据多跑路、群众少跑腿</w:t>
      </w:r>
      <w:r>
        <w:rPr>
          <w:rFonts w:hint="eastAsia"/>
          <w:bCs/>
          <w:color w:val="000000"/>
          <w:szCs w:val="32"/>
          <w:lang w:eastAsia="zh-CN"/>
        </w:rPr>
        <w:t>。</w:t>
      </w:r>
      <w:r>
        <w:rPr>
          <w:b/>
          <w:color w:val="000000"/>
          <w:szCs w:val="32"/>
        </w:rPr>
        <w:t>三是品牌活动扩面。</w:t>
      </w:r>
      <w:r>
        <w:rPr>
          <w:bCs/>
          <w:color w:val="000000"/>
          <w:szCs w:val="32"/>
        </w:rPr>
        <w:t>擦亮广州海关</w:t>
      </w:r>
      <w:r>
        <w:rPr>
          <w:rFonts w:hint="eastAsia"/>
          <w:bCs/>
          <w:color w:val="000000"/>
          <w:szCs w:val="32"/>
          <w:lang w:eastAsia="zh-CN"/>
        </w:rPr>
        <w:t>“</w:t>
      </w:r>
      <w:r>
        <w:rPr>
          <w:bCs/>
          <w:color w:val="000000"/>
          <w:szCs w:val="32"/>
        </w:rPr>
        <w:t>海关进企业、海关进校园、海关进社区</w:t>
      </w:r>
      <w:r>
        <w:rPr>
          <w:rFonts w:hint="eastAsia"/>
          <w:bCs/>
          <w:color w:val="000000"/>
          <w:szCs w:val="32"/>
          <w:lang w:eastAsia="zh-CN"/>
        </w:rPr>
        <w:t>”——“三进”</w:t>
      </w:r>
      <w:r>
        <w:rPr>
          <w:bCs/>
          <w:color w:val="000000"/>
          <w:szCs w:val="32"/>
        </w:rPr>
        <w:t>品牌，结合入选</w:t>
      </w:r>
      <w:r>
        <w:rPr>
          <w:rFonts w:hint="eastAsia"/>
          <w:bCs/>
          <w:color w:val="000000"/>
          <w:szCs w:val="32"/>
        </w:rPr>
        <w:t>“</w:t>
      </w:r>
      <w:r>
        <w:rPr>
          <w:bCs/>
          <w:color w:val="000000"/>
          <w:szCs w:val="32"/>
        </w:rPr>
        <w:t>广州市文明实践种志计划</w:t>
      </w:r>
      <w:r>
        <w:rPr>
          <w:rFonts w:hint="eastAsia"/>
          <w:bCs/>
          <w:color w:val="000000"/>
          <w:szCs w:val="32"/>
        </w:rPr>
        <w:t>”</w:t>
      </w:r>
      <w:r>
        <w:rPr>
          <w:bCs/>
          <w:color w:val="000000"/>
          <w:szCs w:val="32"/>
        </w:rPr>
        <w:t>的</w:t>
      </w:r>
      <w:r>
        <w:rPr>
          <w:rFonts w:hint="eastAsia"/>
          <w:bCs/>
          <w:color w:val="000000"/>
          <w:szCs w:val="32"/>
          <w:lang w:eastAsia="zh-CN"/>
        </w:rPr>
        <w:t>“</w:t>
      </w:r>
      <w:r>
        <w:rPr>
          <w:bCs/>
          <w:color w:val="000000"/>
          <w:szCs w:val="32"/>
        </w:rPr>
        <w:t>携手</w:t>
      </w:r>
      <w:r>
        <w:rPr>
          <w:rFonts w:hint="eastAsia"/>
          <w:bCs/>
          <w:color w:val="000000"/>
          <w:szCs w:val="32"/>
        </w:rPr>
        <w:t>‘</w:t>
      </w:r>
      <w:r>
        <w:rPr>
          <w:bCs/>
          <w:color w:val="000000"/>
          <w:szCs w:val="32"/>
        </w:rPr>
        <w:t>关</w:t>
      </w:r>
      <w:r>
        <w:rPr>
          <w:rFonts w:hint="eastAsia"/>
          <w:bCs/>
          <w:color w:val="000000"/>
          <w:szCs w:val="32"/>
        </w:rPr>
        <w:t>’</w:t>
      </w:r>
      <w:r>
        <w:rPr>
          <w:bCs/>
          <w:color w:val="000000"/>
          <w:szCs w:val="32"/>
        </w:rPr>
        <w:t>筑国门生物安全</w:t>
      </w:r>
      <w:r>
        <w:rPr>
          <w:rFonts w:hint="eastAsia"/>
          <w:bCs/>
          <w:color w:val="000000"/>
          <w:szCs w:val="32"/>
          <w:lang w:eastAsia="zh-CN"/>
        </w:rPr>
        <w:t>”</w:t>
      </w:r>
      <w:r>
        <w:rPr>
          <w:bCs/>
          <w:color w:val="000000"/>
          <w:szCs w:val="32"/>
        </w:rPr>
        <w:t>科普项目，深入高校、社区、企业开展普法宣传84场，服务企业200余家，惠及公众超1万人次，品牌社会影响力</w:t>
      </w:r>
      <w:r>
        <w:rPr>
          <w:rFonts w:hint="eastAsia"/>
          <w:bCs/>
          <w:color w:val="000000"/>
          <w:szCs w:val="32"/>
          <w:lang w:val="en-US" w:eastAsia="zh-CN"/>
        </w:rPr>
        <w:t>有效</w:t>
      </w:r>
      <w:r>
        <w:rPr>
          <w:bCs/>
          <w:color w:val="000000"/>
          <w:szCs w:val="32"/>
        </w:rPr>
        <w:t>增强。</w:t>
      </w:r>
    </w:p>
    <w:p>
      <w:pPr>
        <w:pStyle w:val="116"/>
        <w:spacing w:line="560" w:lineRule="exact"/>
        <w:ind w:firstLineChars="200" w:firstLine="640"/>
        <w:rPr>
          <w:rFonts w:ascii="方正楷体_GBK" w:eastAsia="方正楷体_GBK" w:cs="方正楷体_GBK" w:hint="eastAsia"/>
          <w:b/>
          <w:bCs/>
          <w:kern w:val="2"/>
          <w:sz w:val="32"/>
          <w:szCs w:val="20"/>
          <w:shd w:val="clear" w:color="auto" w:fill="auto"/>
          <w:lang w:val="en-US" w:eastAsia="zh-CN" w:bidi="ar-SA"/>
        </w:rPr>
      </w:pPr>
      <w:r>
        <w:rPr>
          <w:rFonts w:ascii="方正楷体_GBK" w:eastAsia="方正楷体_GBK" w:cs="方正楷体_GBK" w:hint="eastAsia"/>
          <w:b/>
          <w:bCs/>
          <w:kern w:val="2"/>
          <w:sz w:val="32"/>
          <w:szCs w:val="20"/>
          <w:shd w:val="clear" w:color="auto" w:fill="auto"/>
          <w:lang w:val="en-US" w:eastAsia="zh-CN" w:bidi="ar-SA"/>
        </w:rPr>
        <w:t>（四）严管理闭环，全面提升信息治理效能。</w:t>
      </w:r>
    </w:p>
    <w:p>
      <w:pPr>
        <w:pStyle w:val="116"/>
        <w:spacing w:line="560" w:lineRule="exact"/>
        <w:ind w:firstLineChars="200" w:firstLine="640"/>
        <w:rPr>
          <w:bCs/>
          <w:color w:val="000000"/>
          <w:szCs w:val="32"/>
        </w:rPr>
      </w:pPr>
      <w:r>
        <w:rPr>
          <w:rFonts w:hint="eastAsia"/>
          <w:bCs/>
          <w:color w:val="000000"/>
          <w:szCs w:val="32"/>
          <w:lang w:val="en-US" w:eastAsia="zh-CN"/>
        </w:rPr>
        <w:t>健全</w:t>
      </w:r>
      <w:r>
        <w:rPr>
          <w:bCs/>
          <w:color w:val="000000"/>
          <w:szCs w:val="32"/>
        </w:rPr>
        <w:t>政府信息</w:t>
      </w:r>
      <w:r>
        <w:rPr>
          <w:rFonts w:hint="eastAsia"/>
          <w:bCs/>
          <w:color w:val="000000"/>
          <w:szCs w:val="32"/>
          <w:lang w:val="en-US" w:eastAsia="zh-CN"/>
        </w:rPr>
        <w:t>全链条</w:t>
      </w:r>
      <w:r>
        <w:rPr>
          <w:bCs/>
          <w:color w:val="000000"/>
          <w:szCs w:val="32"/>
        </w:rPr>
        <w:t>管理，确保信息权威、准确。</w:t>
      </w:r>
      <w:r>
        <w:rPr>
          <w:b/>
          <w:color w:val="000000"/>
          <w:szCs w:val="32"/>
        </w:rPr>
        <w:t>一是前端审核严把关。</w:t>
      </w:r>
      <w:r>
        <w:rPr>
          <w:bCs/>
          <w:color w:val="000000"/>
          <w:szCs w:val="32"/>
        </w:rPr>
        <w:t>严格执行</w:t>
      </w:r>
      <w:r>
        <w:rPr>
          <w:rFonts w:hint="eastAsia"/>
        </w:rPr>
        <w:t>“分级审核、先审后发”</w:t>
      </w:r>
      <w:r>
        <w:rPr>
          <w:bCs/>
          <w:color w:val="000000"/>
          <w:szCs w:val="32"/>
        </w:rPr>
        <w:t>，对照政务公开标准事项目录，从源头上确保公开内容合法合规。</w:t>
      </w:r>
      <w:r>
        <w:rPr>
          <w:b/>
          <w:color w:val="000000"/>
          <w:szCs w:val="32"/>
        </w:rPr>
        <w:t>二是中端巡检动态化。</w:t>
      </w:r>
      <w:r>
        <w:rPr>
          <w:bCs/>
          <w:color w:val="000000"/>
          <w:szCs w:val="32"/>
        </w:rPr>
        <w:t>每季度对已公开信息进行常态化排查，及时更新、撤换失效内容，保障信息有效性。</w:t>
      </w:r>
      <w:r>
        <w:rPr>
          <w:b/>
          <w:color w:val="000000"/>
          <w:szCs w:val="32"/>
        </w:rPr>
        <w:t>三是末端闭环强机制。</w:t>
      </w:r>
      <w:r>
        <w:rPr>
          <w:bCs/>
          <w:color w:val="000000"/>
          <w:szCs w:val="32"/>
        </w:rPr>
        <w:t>对工作中发现的共性问题和薄弱环节，建立</w:t>
      </w:r>
      <w:r>
        <w:rPr>
          <w:rFonts w:hint="eastAsia"/>
          <w:bCs/>
          <w:color w:val="000000"/>
          <w:szCs w:val="32"/>
          <w:lang w:val="en-US" w:eastAsia="zh-CN"/>
        </w:rPr>
        <w:t>完善</w:t>
      </w:r>
      <w:r>
        <w:rPr>
          <w:rFonts w:hint="eastAsia"/>
          <w:bCs/>
          <w:color w:val="000000"/>
          <w:szCs w:val="32"/>
          <w:lang w:eastAsia="zh-CN"/>
        </w:rPr>
        <w:t>“</w:t>
      </w:r>
      <w:r>
        <w:rPr>
          <w:bCs/>
          <w:color w:val="000000"/>
          <w:szCs w:val="32"/>
        </w:rPr>
        <w:t>发现问题</w:t>
      </w:r>
      <w:r>
        <w:rPr>
          <w:rFonts w:ascii="方正仿宋_GBK" w:eastAsia="方正仿宋_GBK" w:cs="方正仿宋_GBK" w:hint="eastAsia"/>
          <w:bCs/>
          <w:color w:val="000000"/>
          <w:szCs w:val="32"/>
          <w:lang w:bidi="ar-SA"/>
        </w:rPr>
        <w:t>-</w:t>
      </w:r>
      <w:r>
        <w:rPr>
          <w:bCs/>
          <w:color w:val="000000"/>
          <w:szCs w:val="32"/>
        </w:rPr>
        <w:t>分析原因</w:t>
      </w:r>
      <w:r>
        <w:rPr>
          <w:rFonts w:ascii="方正仿宋_GBK" w:eastAsia="方正仿宋_GBK" w:cs="方正仿宋_GBK" w:hint="eastAsia"/>
          <w:bCs/>
          <w:color w:val="000000"/>
          <w:szCs w:val="32"/>
          <w:lang w:bidi="ar-SA"/>
        </w:rPr>
        <w:t>-</w:t>
      </w:r>
      <w:r>
        <w:rPr>
          <w:bCs/>
          <w:color w:val="000000"/>
          <w:szCs w:val="32"/>
        </w:rPr>
        <w:t>落实整改</w:t>
      </w:r>
      <w:r>
        <w:rPr>
          <w:rFonts w:ascii="方正仿宋_GBK" w:eastAsia="方正仿宋_GBK" w:cs="方正仿宋_GBK" w:hint="eastAsia"/>
          <w:bCs/>
          <w:color w:val="000000"/>
          <w:szCs w:val="32"/>
          <w:lang w:bidi="ar-SA"/>
        </w:rPr>
        <w:t>-</w:t>
      </w:r>
      <w:r>
        <w:rPr>
          <w:bCs/>
          <w:color w:val="000000"/>
          <w:szCs w:val="32"/>
        </w:rPr>
        <w:t>举一反三</w:t>
      </w:r>
      <w:r>
        <w:rPr>
          <w:rFonts w:hint="eastAsia"/>
          <w:bCs/>
          <w:color w:val="000000"/>
          <w:szCs w:val="32"/>
          <w:lang w:eastAsia="zh-CN"/>
        </w:rPr>
        <w:t>”</w:t>
      </w:r>
      <w:r>
        <w:rPr>
          <w:bCs/>
          <w:color w:val="000000"/>
          <w:szCs w:val="32"/>
        </w:rPr>
        <w:t>的闭环机制，</w:t>
      </w:r>
      <w:r>
        <w:rPr>
          <w:rFonts w:hint="eastAsia"/>
          <w:bCs/>
          <w:color w:val="000000"/>
          <w:szCs w:val="32"/>
          <w:lang w:val="en-US" w:eastAsia="zh-CN"/>
        </w:rPr>
        <w:t>促进</w:t>
      </w:r>
      <w:r>
        <w:rPr>
          <w:bCs/>
          <w:color w:val="000000"/>
          <w:szCs w:val="32"/>
        </w:rPr>
        <w:t>信息治理能力提升。</w:t>
      </w:r>
    </w:p>
    <w:p>
      <w:pPr>
        <w:pStyle w:val="116"/>
        <w:spacing w:line="560" w:lineRule="exact"/>
        <w:ind w:firstLineChars="200" w:firstLine="640"/>
        <w:rPr>
          <w:rFonts w:ascii="方正楷体_GBK" w:eastAsia="方正楷体_GBK" w:cs="方正楷体_GBK" w:hint="eastAsia"/>
          <w:b/>
          <w:bCs/>
          <w:kern w:val="2"/>
          <w:sz w:val="32"/>
          <w:szCs w:val="20"/>
          <w:shd w:val="clear" w:color="auto" w:fill="auto"/>
          <w:lang w:val="en-US" w:eastAsia="zh-CN" w:bidi="ar-SA"/>
        </w:rPr>
      </w:pPr>
      <w:r>
        <w:rPr>
          <w:rFonts w:ascii="方正楷体_GBK" w:eastAsia="方正楷体_GBK" w:cs="方正楷体_GBK" w:hint="eastAsia"/>
          <w:b/>
          <w:bCs/>
          <w:kern w:val="2"/>
          <w:sz w:val="32"/>
          <w:szCs w:val="20"/>
          <w:shd w:val="clear" w:color="auto" w:fill="auto"/>
          <w:lang w:val="en-US" w:eastAsia="zh-CN" w:bidi="ar-SA"/>
        </w:rPr>
        <w:t>（五）强监督实效，健全政务公开保障体系。</w:t>
      </w:r>
    </w:p>
    <w:p>
      <w:pPr>
        <w:pStyle w:val="36"/>
        <w:spacing w:line="560" w:lineRule="exact"/>
        <w:ind w:firstLineChars="200" w:firstLine="640"/>
        <w:rPr>
          <w:bCs/>
          <w:color w:val="000000"/>
          <w:szCs w:val="32"/>
        </w:rPr>
      </w:pPr>
      <w:r>
        <w:rPr>
          <w:rFonts w:hint="eastAsia"/>
          <w:bCs/>
          <w:color w:val="000000"/>
          <w:szCs w:val="32"/>
        </w:rPr>
        <w:t>压紧压实</w:t>
      </w:r>
      <w:r>
        <w:rPr>
          <w:rFonts w:hint="eastAsia"/>
          <w:bCs/>
          <w:color w:val="000000"/>
          <w:szCs w:val="32"/>
          <w:lang w:val="en-US" w:eastAsia="zh-CN"/>
        </w:rPr>
        <w:t>主体</w:t>
      </w:r>
      <w:r>
        <w:rPr>
          <w:rFonts w:hint="eastAsia"/>
          <w:bCs/>
          <w:color w:val="000000"/>
          <w:szCs w:val="32"/>
        </w:rPr>
        <w:t>责任，内外协同推动政务公开质效提升。</w:t>
      </w:r>
      <w:r>
        <w:rPr>
          <w:rFonts w:hint="eastAsia"/>
          <w:b/>
          <w:color w:val="000000"/>
          <w:szCs w:val="32"/>
        </w:rPr>
        <w:t>一是主动接受社会监督。</w:t>
      </w:r>
      <w:r>
        <w:rPr>
          <w:rFonts w:hint="eastAsia"/>
          <w:bCs/>
          <w:color w:val="000000"/>
          <w:szCs w:val="32"/>
        </w:rPr>
        <w:t>通过“关长接待日”、关企座谈会及特约监督员等渠道，主动吸纳社会各界意见建议。</w:t>
      </w:r>
      <w:r>
        <w:rPr>
          <w:rFonts w:hint="eastAsia"/>
          <w:b/>
          <w:color w:val="000000"/>
          <w:szCs w:val="32"/>
        </w:rPr>
        <w:t>二是</w:t>
      </w:r>
      <w:r>
        <w:rPr>
          <w:b/>
          <w:color w:val="000000"/>
          <w:szCs w:val="32"/>
          <w:lang w:val="en-US" w:eastAsia="zh-CN"/>
        </w:rPr>
        <w:t>加强</w:t>
      </w:r>
      <w:r>
        <w:rPr>
          <w:rFonts w:hint="eastAsia"/>
          <w:b/>
          <w:color w:val="000000"/>
          <w:szCs w:val="32"/>
        </w:rPr>
        <w:t>内部</w:t>
      </w:r>
      <w:r>
        <w:rPr>
          <w:rFonts w:hint="eastAsia"/>
          <w:b/>
          <w:color w:val="000000"/>
          <w:szCs w:val="32"/>
          <w:lang w:val="en-US" w:eastAsia="zh-CN"/>
        </w:rPr>
        <w:t>业务</w:t>
      </w:r>
      <w:r>
        <w:rPr>
          <w:rFonts w:hint="eastAsia"/>
          <w:b/>
          <w:color w:val="000000"/>
          <w:szCs w:val="32"/>
        </w:rPr>
        <w:t>培训。</w:t>
      </w:r>
      <w:r>
        <w:rPr>
          <w:rFonts w:hint="eastAsia"/>
          <w:bCs/>
          <w:color w:val="000000"/>
          <w:szCs w:val="32"/>
        </w:rPr>
        <w:t>强化“首问</w:t>
      </w:r>
      <w:r>
        <w:rPr>
          <w:bCs/>
          <w:color w:val="000000"/>
          <w:szCs w:val="32"/>
        </w:rPr>
        <w:t>责任</w:t>
      </w:r>
      <w:r>
        <w:rPr>
          <w:rFonts w:hint="eastAsia"/>
          <w:bCs/>
          <w:color w:val="000000"/>
          <w:szCs w:val="32"/>
        </w:rPr>
        <w:t>制”落实，</w:t>
      </w:r>
      <w:r>
        <w:rPr>
          <w:rFonts w:hint="eastAsia"/>
          <w:bCs/>
          <w:color w:val="000000"/>
          <w:szCs w:val="32"/>
          <w:lang w:val="en-US" w:eastAsia="zh-CN"/>
        </w:rPr>
        <w:t>注重日常</w:t>
      </w:r>
      <w:r>
        <w:rPr>
          <w:bCs/>
          <w:color w:val="000000"/>
          <w:szCs w:val="32"/>
        </w:rPr>
        <w:t>实操</w:t>
      </w:r>
      <w:r>
        <w:rPr>
          <w:rFonts w:hint="eastAsia"/>
          <w:bCs/>
          <w:color w:val="000000"/>
          <w:szCs w:val="32"/>
        </w:rPr>
        <w:t>培训，提升工作人员的政策解答与沟通服务水平。</w:t>
      </w:r>
      <w:r>
        <w:rPr>
          <w:rFonts w:hint="eastAsia"/>
          <w:b/>
          <w:color w:val="000000"/>
          <w:szCs w:val="32"/>
        </w:rPr>
        <w:t>三是高效响应</w:t>
      </w:r>
      <w:r>
        <w:rPr>
          <w:rFonts w:hint="eastAsia"/>
          <w:b/>
          <w:color w:val="000000"/>
          <w:szCs w:val="32"/>
          <w:lang w:val="en-US" w:eastAsia="zh-CN"/>
        </w:rPr>
        <w:t>问题</w:t>
      </w:r>
      <w:r>
        <w:rPr>
          <w:rFonts w:hint="eastAsia"/>
          <w:b/>
          <w:color w:val="000000"/>
          <w:szCs w:val="32"/>
        </w:rPr>
        <w:t>诉求。</w:t>
      </w:r>
      <w:r>
        <w:rPr>
          <w:rFonts w:hint="eastAsia"/>
          <w:bCs/>
          <w:color w:val="000000"/>
          <w:szCs w:val="32"/>
        </w:rPr>
        <w:t>整合优化咨询投诉渠道，</w:t>
      </w:r>
      <w:r>
        <w:rPr>
          <w:rFonts w:hint="eastAsia"/>
          <w:bCs/>
          <w:color w:val="000000"/>
          <w:szCs w:val="32"/>
          <w:lang w:val="en-US" w:eastAsia="zh-CN"/>
        </w:rPr>
        <w:t>确保</w:t>
      </w:r>
      <w:r>
        <w:rPr>
          <w:rFonts w:hint="eastAsia"/>
          <w:bCs/>
          <w:color w:val="000000"/>
          <w:szCs w:val="32"/>
        </w:rPr>
        <w:t>企业</w:t>
      </w:r>
      <w:r>
        <w:rPr>
          <w:bCs/>
          <w:color w:val="000000"/>
          <w:szCs w:val="32"/>
        </w:rPr>
        <w:t>公</w:t>
      </w:r>
      <w:r>
        <w:rPr>
          <w:rFonts w:hint="eastAsia"/>
          <w:bCs/>
          <w:color w:val="000000"/>
          <w:szCs w:val="32"/>
        </w:rPr>
        <w:t>众疑难困惑</w:t>
      </w:r>
      <w:r>
        <w:rPr>
          <w:rFonts w:hint="eastAsia"/>
          <w:bCs/>
          <w:color w:val="000000"/>
          <w:szCs w:val="32"/>
          <w:lang w:val="en-US" w:eastAsia="zh-CN"/>
        </w:rPr>
        <w:t>得到</w:t>
      </w:r>
      <w:r>
        <w:rPr>
          <w:rFonts w:hint="eastAsia"/>
          <w:bCs/>
          <w:color w:val="000000"/>
          <w:szCs w:val="32"/>
        </w:rPr>
        <w:t>及时</w:t>
      </w:r>
      <w:r>
        <w:rPr>
          <w:rFonts w:hint="eastAsia"/>
          <w:bCs/>
          <w:color w:val="000000"/>
          <w:szCs w:val="32"/>
          <w:lang w:val="en-US" w:eastAsia="zh-CN"/>
        </w:rPr>
        <w:t>反映和有效解决</w:t>
      </w:r>
      <w:r>
        <w:rPr>
          <w:rFonts w:hint="eastAsia"/>
          <w:bCs/>
          <w:color w:val="000000"/>
          <w:szCs w:val="32"/>
        </w:rPr>
        <w:t>，</w:t>
      </w:r>
      <w:r>
        <w:rPr>
          <w:rFonts w:hint="eastAsia"/>
          <w:bCs/>
          <w:color w:val="000000"/>
          <w:szCs w:val="32"/>
          <w:lang w:val="en-US" w:eastAsia="zh-CN"/>
        </w:rPr>
        <w:t>2025年</w:t>
      </w:r>
      <w:r>
        <w:rPr>
          <w:bCs/>
          <w:color w:val="000000"/>
          <w:szCs w:val="32"/>
          <w:lang w:val="en-US" w:eastAsia="zh-CN"/>
        </w:rPr>
        <w:t>共</w:t>
      </w:r>
      <w:r>
        <w:rPr>
          <w:rFonts w:hint="eastAsia"/>
          <w:bCs/>
          <w:color w:val="000000"/>
          <w:szCs w:val="32"/>
        </w:rPr>
        <w:t>收到</w:t>
      </w:r>
      <w:r>
        <w:rPr>
          <w:rFonts w:hint="eastAsia"/>
          <w:bCs/>
          <w:color w:val="000000"/>
          <w:szCs w:val="32"/>
          <w:lang w:val="en-US" w:eastAsia="zh-CN"/>
        </w:rPr>
        <w:t>各类</w:t>
      </w:r>
      <w:r>
        <w:rPr>
          <w:rFonts w:hint="eastAsia"/>
          <w:bCs/>
          <w:color w:val="000000"/>
          <w:szCs w:val="32"/>
        </w:rPr>
        <w:t>锦旗、感谢信等</w:t>
      </w:r>
      <w:r>
        <w:rPr>
          <w:bCs/>
          <w:color w:val="000000"/>
          <w:szCs w:val="32"/>
        </w:rPr>
        <w:t>7</w:t>
      </w:r>
      <w:r>
        <w:rPr>
          <w:rFonts w:hint="eastAsia"/>
          <w:bCs/>
          <w:color w:val="000000"/>
          <w:szCs w:val="32"/>
        </w:rPr>
        <w:t>次，以实际工作成效回应社会</w:t>
      </w:r>
      <w:r>
        <w:rPr>
          <w:bCs/>
          <w:color w:val="000000"/>
          <w:szCs w:val="32"/>
        </w:rPr>
        <w:t>关切</w:t>
      </w:r>
      <w:r>
        <w:rPr>
          <w:rFonts w:hint="eastAsia"/>
          <w:bCs/>
          <w:color w:val="000000"/>
          <w:szCs w:val="32"/>
        </w:rPr>
        <w:t>。</w:t>
      </w:r>
    </w:p>
    <w:p>
      <w:pPr>
        <w:pStyle w:val="36"/>
        <w:spacing w:line="560" w:lineRule="exact"/>
        <w:ind w:firstLineChars="200" w:firstLine="640"/>
        <w:rPr>
          <w:rFonts w:ascii="方正黑体_GBK" w:eastAsia="方正黑体_GBK" w:hint="eastAsia"/>
          <w:bCs/>
          <w:kern w:val="0"/>
          <w:szCs w:val="32"/>
          <w:shd w:val="clear" w:color="auto" w:fill="FFFFFF"/>
        </w:rPr>
      </w:pPr>
      <w:r>
        <w:rPr>
          <w:rFonts w:ascii="方正黑体_GBK" w:eastAsia="方正黑体_GBK" w:hint="eastAsia"/>
          <w:bCs/>
          <w:kern w:val="0"/>
          <w:szCs w:val="32"/>
          <w:shd w:val="clear" w:color="auto" w:fill="FFFFFF"/>
        </w:rPr>
        <w:t>二、主动公开政府信息情况</w:t>
      </w:r>
    </w:p>
    <w:tbl>
      <w:tblPr>
        <w:jc w:val="center"/>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3"/>
              <w:widowControl/>
              <w:spacing w:line="560" w:lineRule="exact"/>
              <w:jc w:val="center"/>
              <w:rPr>
                <w:rFonts w:eastAsia="方正仿宋_GBK"/>
                <w:bCs/>
                <w:color w:val="000000"/>
                <w:sz w:val="32"/>
                <w:szCs w:val="32"/>
              </w:rPr>
            </w:pPr>
            <w:r>
              <w:rPr>
                <w:rFonts w:ascii="宋体" w:hint="eastAsia"/>
                <w:bCs/>
                <w:color w:val="00000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rFonts w:ascii="宋体" w:hint="eastAsia"/>
                <w:bCs/>
                <w:color w:val="000000"/>
                <w:sz w:val="24"/>
                <w:szCs w:val="24"/>
              </w:rPr>
            </w:pPr>
            <w:r>
              <w:rPr>
                <w:rFonts w:ascii="宋体" w:hint="eastAsia"/>
                <w:bCs/>
                <w:color w:val="000000"/>
                <w:sz w:val="24"/>
                <w:szCs w:val="24"/>
              </w:rPr>
              <w:t>信息内容</w:t>
            </w:r>
          </w:p>
        </w:tc>
        <w:tc>
          <w:tcPr>
            <w:tcW w:w="2183"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rFonts w:ascii="宋体" w:hint="eastAsia"/>
                <w:bCs/>
                <w:color w:val="000000"/>
                <w:sz w:val="24"/>
                <w:szCs w:val="24"/>
              </w:rPr>
            </w:pPr>
            <w:r>
              <w:rPr>
                <w:rFonts w:ascii="宋体" w:hint="eastAsia"/>
                <w:bCs/>
                <w:color w:val="000000"/>
                <w:sz w:val="24"/>
                <w:szCs w:val="24"/>
              </w:rPr>
              <w:t>本年制发件数</w:t>
            </w:r>
          </w:p>
        </w:tc>
        <w:tc>
          <w:tcPr>
            <w:tcW w:w="193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rFonts w:ascii="宋体" w:hint="eastAsia"/>
                <w:bCs/>
                <w:color w:val="000000"/>
                <w:sz w:val="24"/>
                <w:szCs w:val="24"/>
              </w:rPr>
            </w:pPr>
            <w:r>
              <w:rPr>
                <w:rFonts w:ascii="宋体" w:hint="eastAsia"/>
                <w:bCs/>
                <w:color w:val="000000"/>
                <w:sz w:val="24"/>
                <w:szCs w:val="24"/>
              </w:rPr>
              <w:t>本年废止件数</w:t>
            </w:r>
          </w:p>
        </w:tc>
        <w:tc>
          <w:tcPr>
            <w:tcW w:w="2156" w:type="dxa"/>
            <w:tcBorders>
              <w:top w:val="nil"/>
              <w:left w:val="nil"/>
              <w:bottom w:val="single" w:sz="8" w:space="0" w:color="auto"/>
              <w:right w:val="single" w:sz="8" w:space="0" w:color="auto"/>
              <w:tl2br w:val="nil"/>
              <w:tr2bl w:val="nil"/>
            </w:tcBorders>
            <w:vAlign w:val="center"/>
          </w:tcPr>
          <w:p>
            <w:pPr>
              <w:pStyle w:val="43"/>
              <w:widowControl/>
              <w:spacing w:line="560" w:lineRule="exact"/>
              <w:jc w:val="center"/>
              <w:rPr>
                <w:rFonts w:ascii="宋体" w:hint="eastAsia"/>
                <w:bCs/>
                <w:color w:val="000000"/>
                <w:sz w:val="24"/>
                <w:szCs w:val="24"/>
              </w:rPr>
            </w:pPr>
            <w:r>
              <w:rPr>
                <w:rFonts w:ascii="宋体" w:hint="eastAsia"/>
                <w:bCs/>
                <w:color w:val="00000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adjustRightInd w:val="0"/>
              <w:snapToGrid w:val="0"/>
              <w:spacing w:line="560" w:lineRule="exact"/>
              <w:jc w:val="center"/>
              <w:rPr>
                <w:rFonts w:ascii="宋体" w:hint="eastAsia"/>
                <w:bCs/>
                <w:color w:val="000000"/>
                <w:sz w:val="24"/>
                <w:szCs w:val="24"/>
              </w:rPr>
            </w:pPr>
            <w:r>
              <w:rPr>
                <w:rFonts w:ascii="宋体" w:hint="eastAsia"/>
                <w:bCs/>
                <w:color w:val="000000"/>
                <w:sz w:val="24"/>
                <w:szCs w:val="24"/>
              </w:rPr>
              <w:t>规章</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70"/>
              <w:spacing w:line="560" w:lineRule="exact"/>
              <w:jc w:val="center"/>
              <w:rPr>
                <w:bCs/>
                <w:color w:val="000000"/>
                <w:sz w:val="24"/>
                <w:szCs w:val="24"/>
              </w:rPr>
            </w:pPr>
            <w:r>
              <w:rPr>
                <w:bCs/>
                <w:color w:val="000000"/>
                <w:sz w:val="24"/>
                <w:szCs w:val="24"/>
              </w:rPr>
              <w:t>0</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pPr>
              <w:pStyle w:val="70"/>
              <w:spacing w:line="560" w:lineRule="exact"/>
              <w:jc w:val="center"/>
              <w:rPr>
                <w:bCs/>
                <w:color w:val="000000"/>
                <w:sz w:val="24"/>
                <w:szCs w:val="24"/>
              </w:rPr>
            </w:pPr>
            <w:r>
              <w:rPr>
                <w:bCs/>
                <w:color w:val="000000"/>
                <w:sz w:val="24"/>
                <w:szCs w:val="24"/>
              </w:rPr>
              <w:t>0</w:t>
            </w:r>
          </w:p>
        </w:tc>
        <w:tc>
          <w:tcPr>
            <w:tcW w:w="2156" w:type="dxa"/>
            <w:tcBorders>
              <w:top w:val="nil"/>
              <w:left w:val="nil"/>
              <w:bottom w:val="single" w:sz="8" w:space="0" w:color="auto"/>
              <w:right w:val="single" w:sz="8" w:space="0" w:color="auto"/>
              <w:tl2br w:val="nil"/>
              <w:tr2bl w:val="nil"/>
            </w:tcBorders>
            <w:vAlign w:val="center"/>
          </w:tcPr>
          <w:p>
            <w:pPr>
              <w:pStyle w:val="70"/>
              <w:spacing w:line="560" w:lineRule="exact"/>
              <w:jc w:val="center"/>
              <w:rPr>
                <w:bCs/>
                <w:color w:val="000000"/>
                <w:sz w:val="24"/>
                <w:szCs w:val="24"/>
              </w:rPr>
            </w:pPr>
            <w:r>
              <w:rPr>
                <w:bCs/>
                <w:color w:val="000000"/>
                <w:sz w:val="24"/>
                <w:szCs w:val="24"/>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adjustRightInd w:val="0"/>
              <w:snapToGrid w:val="0"/>
              <w:spacing w:line="560" w:lineRule="exact"/>
              <w:jc w:val="center"/>
              <w:rPr>
                <w:rFonts w:ascii="宋体" w:hint="eastAsia"/>
                <w:bCs/>
                <w:color w:val="000000"/>
                <w:sz w:val="24"/>
                <w:szCs w:val="24"/>
              </w:rPr>
            </w:pPr>
            <w:r>
              <w:rPr>
                <w:rFonts w:ascii="宋体" w:hint="eastAsia"/>
                <w:bCs/>
                <w:color w:val="000000"/>
                <w:sz w:val="24"/>
                <w:szCs w:val="24"/>
              </w:rPr>
              <w:t>行政规范性文件</w:t>
            </w:r>
          </w:p>
        </w:tc>
        <w:tc>
          <w:tcPr>
            <w:tcW w:w="2183" w:type="dxa"/>
            <w:tcBorders>
              <w:top w:val="nil"/>
              <w:left w:val="nil"/>
              <w:bottom w:val="single" w:sz="8" w:space="0" w:color="auto"/>
              <w:right w:val="single" w:sz="8" w:space="0" w:color="auto"/>
              <w:tl2br w:val="nil"/>
              <w:tr2bl w:val="nil"/>
            </w:tcBorders>
            <w:tcMar>
              <w:left w:w="108" w:type="dxa"/>
              <w:right w:w="108" w:type="dxa"/>
            </w:tcMar>
            <w:vAlign w:val="center"/>
          </w:tcPr>
          <w:p>
            <w:pPr>
              <w:pStyle w:val="70"/>
              <w:spacing w:line="560" w:lineRule="exact"/>
              <w:jc w:val="center"/>
              <w:rPr>
                <w:bCs/>
                <w:color w:val="000000"/>
                <w:sz w:val="24"/>
                <w:szCs w:val="24"/>
              </w:rPr>
            </w:pPr>
            <w:r>
              <w:rPr>
                <w:bCs/>
                <w:color w:val="000000"/>
                <w:sz w:val="24"/>
                <w:szCs w:val="24"/>
              </w:rPr>
              <w:t>0</w:t>
            </w:r>
          </w:p>
        </w:tc>
        <w:tc>
          <w:tcPr>
            <w:tcW w:w="1936" w:type="dxa"/>
            <w:tcBorders>
              <w:top w:val="nil"/>
              <w:left w:val="nil"/>
              <w:bottom w:val="single" w:sz="8" w:space="0" w:color="auto"/>
              <w:right w:val="single" w:sz="8" w:space="0" w:color="auto"/>
              <w:tl2br w:val="nil"/>
              <w:tr2bl w:val="nil"/>
            </w:tcBorders>
            <w:tcMar>
              <w:left w:w="108" w:type="dxa"/>
              <w:right w:w="108" w:type="dxa"/>
            </w:tcMar>
            <w:vAlign w:val="center"/>
          </w:tcPr>
          <w:p>
            <w:pPr>
              <w:pStyle w:val="70"/>
              <w:spacing w:line="560" w:lineRule="exact"/>
              <w:jc w:val="center"/>
              <w:rPr>
                <w:bCs/>
                <w:color w:val="000000"/>
                <w:sz w:val="24"/>
                <w:szCs w:val="24"/>
              </w:rPr>
            </w:pPr>
            <w:r>
              <w:rPr>
                <w:bCs/>
                <w:color w:val="000000"/>
                <w:sz w:val="24"/>
                <w:szCs w:val="24"/>
              </w:rPr>
              <w:t>0</w:t>
            </w:r>
          </w:p>
        </w:tc>
        <w:tc>
          <w:tcPr>
            <w:tcW w:w="2156" w:type="dxa"/>
            <w:tcBorders>
              <w:top w:val="nil"/>
              <w:left w:val="nil"/>
              <w:bottom w:val="single" w:sz="8" w:space="0" w:color="auto"/>
              <w:right w:val="single" w:sz="8" w:space="0" w:color="auto"/>
              <w:tl2br w:val="nil"/>
              <w:tr2bl w:val="nil"/>
            </w:tcBorders>
            <w:vAlign w:val="center"/>
          </w:tcPr>
          <w:p>
            <w:pPr>
              <w:pStyle w:val="70"/>
              <w:spacing w:line="560" w:lineRule="exact"/>
              <w:jc w:val="center"/>
              <w:rPr>
                <w:bCs/>
                <w:color w:val="000000"/>
                <w:sz w:val="24"/>
                <w:szCs w:val="24"/>
              </w:rPr>
            </w:pPr>
            <w:r>
              <w:rPr>
                <w:bCs/>
                <w:color w:val="000000"/>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3"/>
              <w:widowControl/>
              <w:spacing w:line="560" w:lineRule="exact"/>
              <w:jc w:val="center"/>
              <w:rPr>
                <w:rFonts w:ascii="宋体" w:hint="eastAsia"/>
                <w:bCs/>
                <w:color w:val="000000"/>
                <w:sz w:val="24"/>
                <w:szCs w:val="24"/>
              </w:rPr>
            </w:pPr>
            <w:r>
              <w:rPr>
                <w:rFonts w:ascii="宋体" w:hint="eastAsia"/>
                <w:bCs/>
                <w:color w:val="00000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adjustRightInd w:val="0"/>
              <w:snapToGrid w:val="0"/>
              <w:spacing w:line="560" w:lineRule="exact"/>
              <w:jc w:val="center"/>
              <w:rPr>
                <w:rFonts w:ascii="宋体" w:hint="eastAsia"/>
                <w:bCs/>
                <w:color w:val="000000"/>
                <w:sz w:val="24"/>
                <w:szCs w:val="24"/>
              </w:rPr>
            </w:pPr>
            <w:r>
              <w:rPr>
                <w:rFonts w:ascii="宋体" w:hint="eastAsia"/>
                <w:bCs/>
                <w:color w:val="00000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52"/>
              <w:widowControl/>
              <w:adjustRightInd w:val="0"/>
              <w:snapToGrid w:val="0"/>
              <w:spacing w:line="560" w:lineRule="exact"/>
              <w:jc w:val="center"/>
              <w:rPr>
                <w:rFonts w:ascii="宋体" w:hint="eastAsia"/>
                <w:bCs/>
                <w:color w:val="000000"/>
                <w:sz w:val="24"/>
                <w:szCs w:val="24"/>
              </w:rPr>
            </w:pPr>
            <w:r>
              <w:rPr>
                <w:rFonts w:ascii="宋体" w:hint="eastAsia"/>
                <w:bCs/>
                <w:color w:val="00000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adjustRightInd w:val="0"/>
              <w:snapToGrid w:val="0"/>
              <w:spacing w:line="560" w:lineRule="exact"/>
              <w:jc w:val="center"/>
              <w:rPr>
                <w:rFonts w:ascii="宋体" w:hint="eastAsia"/>
                <w:bCs/>
                <w:color w:val="000000"/>
                <w:sz w:val="24"/>
                <w:szCs w:val="24"/>
              </w:rPr>
            </w:pPr>
            <w:r>
              <w:rPr>
                <w:rFonts w:ascii="宋体" w:hint="eastAsia"/>
                <w:bCs/>
                <w:color w:val="000000"/>
                <w:sz w:val="24"/>
                <w:szCs w:val="24"/>
              </w:rPr>
              <w:t>行政许可</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pPr>
              <w:pStyle w:val="56"/>
              <w:spacing w:line="560" w:lineRule="exact"/>
              <w:jc w:val="center"/>
              <w:rPr>
                <w:bCs/>
                <w:color w:val="000000"/>
                <w:sz w:val="24"/>
                <w:szCs w:val="24"/>
              </w:rPr>
            </w:pPr>
            <w:r>
              <w:rPr>
                <w:bCs/>
                <w:sz w:val="24"/>
                <w:szCs w:val="24"/>
              </w:rPr>
              <w:t>1</w:t>
            </w:r>
            <w:bookmarkStart w:id="2" w:name="_GoBack"/>
            <w:bookmarkEnd w:id="2"/>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3"/>
              <w:widowControl/>
              <w:spacing w:line="560" w:lineRule="exact"/>
              <w:jc w:val="center"/>
              <w:rPr>
                <w:rFonts w:ascii="宋体" w:hint="eastAsia"/>
                <w:bCs/>
                <w:color w:val="000000"/>
                <w:sz w:val="24"/>
                <w:szCs w:val="24"/>
              </w:rPr>
            </w:pPr>
            <w:r>
              <w:rPr>
                <w:rFonts w:ascii="宋体" w:hint="eastAsia"/>
                <w:bCs/>
                <w:color w:val="00000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adjustRightInd w:val="0"/>
              <w:snapToGrid w:val="0"/>
              <w:spacing w:line="560" w:lineRule="exact"/>
              <w:jc w:val="center"/>
              <w:rPr>
                <w:rFonts w:ascii="宋体" w:hint="eastAsia"/>
                <w:bCs/>
                <w:color w:val="000000"/>
                <w:sz w:val="24"/>
                <w:szCs w:val="24"/>
              </w:rPr>
            </w:pPr>
            <w:r>
              <w:rPr>
                <w:rFonts w:ascii="宋体" w:hint="eastAsia"/>
                <w:bCs/>
                <w:color w:val="00000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65"/>
              <w:widowControl/>
              <w:adjustRightInd w:val="0"/>
              <w:snapToGrid w:val="0"/>
              <w:spacing w:line="560" w:lineRule="exact"/>
              <w:jc w:val="center"/>
              <w:rPr>
                <w:rFonts w:ascii="宋体" w:hint="eastAsia"/>
                <w:bCs/>
                <w:color w:val="000000"/>
                <w:sz w:val="24"/>
                <w:szCs w:val="24"/>
              </w:rPr>
            </w:pPr>
            <w:r>
              <w:rPr>
                <w:rFonts w:ascii="宋体" w:hint="eastAsia"/>
                <w:bCs/>
                <w:color w:val="00000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adjustRightInd w:val="0"/>
              <w:snapToGrid w:val="0"/>
              <w:spacing w:line="560" w:lineRule="exact"/>
              <w:jc w:val="center"/>
              <w:rPr>
                <w:rFonts w:ascii="宋体" w:hint="eastAsia"/>
                <w:bCs/>
                <w:color w:val="000000"/>
                <w:sz w:val="24"/>
                <w:szCs w:val="24"/>
              </w:rPr>
            </w:pPr>
            <w:r>
              <w:rPr>
                <w:rFonts w:ascii="宋体" w:hint="eastAsia"/>
                <w:bCs/>
                <w:color w:val="000000"/>
                <w:sz w:val="24"/>
                <w:szCs w:val="24"/>
              </w:rPr>
              <w:t>行政处罚</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pPr>
              <w:pStyle w:val="94"/>
              <w:spacing w:line="560" w:lineRule="exact"/>
              <w:jc w:val="center"/>
              <w:rPr>
                <w:bCs/>
                <w:sz w:val="24"/>
                <w:szCs w:val="24"/>
              </w:rPr>
            </w:pPr>
            <w:r>
              <w:rPr>
                <w:bCs/>
                <w:sz w:val="24"/>
                <w:szCs w:val="24"/>
              </w:rPr>
              <w:t>288</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adjustRightInd w:val="0"/>
              <w:snapToGrid w:val="0"/>
              <w:spacing w:line="560" w:lineRule="exact"/>
              <w:jc w:val="center"/>
              <w:rPr>
                <w:rFonts w:ascii="宋体" w:hint="eastAsia"/>
                <w:bCs/>
                <w:color w:val="000000"/>
                <w:sz w:val="24"/>
                <w:szCs w:val="24"/>
              </w:rPr>
            </w:pPr>
            <w:r>
              <w:rPr>
                <w:rFonts w:ascii="宋体" w:hint="eastAsia"/>
                <w:bCs/>
                <w:color w:val="000000"/>
                <w:sz w:val="24"/>
                <w:szCs w:val="24"/>
              </w:rPr>
              <w:t>行政强制</w:t>
            </w:r>
          </w:p>
        </w:tc>
        <w:tc>
          <w:tcPr>
            <w:tcW w:w="6275" w:type="dxa"/>
            <w:gridSpan w:val="3"/>
            <w:tcBorders>
              <w:top w:val="nil"/>
              <w:left w:val="nil"/>
              <w:bottom w:val="single" w:sz="8" w:space="0" w:color="auto"/>
              <w:right w:val="single" w:sz="8" w:space="0" w:color="auto"/>
              <w:tl2br w:val="nil"/>
              <w:tr2bl w:val="nil"/>
            </w:tcBorders>
            <w:tcMar>
              <w:left w:w="108" w:type="dxa"/>
              <w:right w:w="108" w:type="dxa"/>
            </w:tcMar>
            <w:vAlign w:val="center"/>
          </w:tcPr>
          <w:p>
            <w:pPr>
              <w:pStyle w:val="30"/>
              <w:spacing w:line="560" w:lineRule="exact"/>
              <w:jc w:val="center"/>
              <w:rPr>
                <w:bCs/>
                <w:sz w:val="24"/>
                <w:szCs w:val="24"/>
              </w:rPr>
            </w:pPr>
            <w:r>
              <w:rPr>
                <w:bCs/>
                <w:sz w:val="24"/>
                <w:szCs w:val="24"/>
              </w:rPr>
              <w:t>36</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3"/>
              <w:widowControl/>
              <w:spacing w:line="560" w:lineRule="exact"/>
              <w:jc w:val="center"/>
              <w:rPr>
                <w:rFonts w:ascii="宋体" w:hint="eastAsia"/>
                <w:bCs/>
                <w:color w:val="000000"/>
                <w:sz w:val="24"/>
                <w:szCs w:val="24"/>
              </w:rPr>
            </w:pPr>
            <w:r>
              <w:rPr>
                <w:rFonts w:ascii="宋体" w:hint="eastAsia"/>
                <w:bCs/>
                <w:color w:val="00000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adjustRightInd w:val="0"/>
              <w:snapToGrid w:val="0"/>
              <w:spacing w:line="560" w:lineRule="exact"/>
              <w:jc w:val="center"/>
              <w:rPr>
                <w:rFonts w:ascii="宋体" w:hint="eastAsia"/>
                <w:bCs/>
                <w:color w:val="000000"/>
                <w:sz w:val="24"/>
                <w:szCs w:val="24"/>
              </w:rPr>
            </w:pPr>
            <w:r>
              <w:rPr>
                <w:rFonts w:ascii="宋体" w:hint="eastAsia"/>
                <w:bCs/>
                <w:color w:val="000000"/>
                <w:sz w:val="24"/>
                <w:szCs w:val="24"/>
              </w:rPr>
              <w:t>信息内容</w:t>
            </w:r>
          </w:p>
        </w:tc>
        <w:tc>
          <w:tcPr>
            <w:tcW w:w="6275" w:type="dxa"/>
            <w:gridSpan w:val="3"/>
            <w:tcBorders>
              <w:top w:val="nil"/>
              <w:left w:val="nil"/>
              <w:bottom w:val="single" w:sz="8" w:space="0" w:color="auto"/>
              <w:right w:val="single" w:sz="8" w:space="0" w:color="000000"/>
              <w:tl2br w:val="nil"/>
              <w:tr2bl w:val="nil"/>
            </w:tcBorders>
            <w:tcMar>
              <w:left w:w="108" w:type="dxa"/>
              <w:right w:w="108" w:type="dxa"/>
            </w:tcMar>
            <w:vAlign w:val="center"/>
          </w:tcPr>
          <w:p>
            <w:pPr>
              <w:pStyle w:val="80"/>
              <w:widowControl/>
              <w:adjustRightInd w:val="0"/>
              <w:snapToGrid w:val="0"/>
              <w:spacing w:line="560" w:lineRule="exact"/>
              <w:jc w:val="center"/>
              <w:rPr>
                <w:rFonts w:ascii="宋体" w:hint="eastAsia"/>
                <w:bCs/>
                <w:color w:val="000000"/>
                <w:sz w:val="24"/>
                <w:szCs w:val="24"/>
              </w:rPr>
            </w:pPr>
            <w:r>
              <w:rPr>
                <w:rFonts w:ascii="宋体" w:hint="eastAsia"/>
                <w:bCs/>
                <w:color w:val="00000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adjustRightInd w:val="0"/>
              <w:snapToGrid w:val="0"/>
              <w:spacing w:line="560" w:lineRule="exact"/>
              <w:jc w:val="center"/>
              <w:rPr>
                <w:rFonts w:ascii="宋体" w:hint="eastAsia"/>
                <w:sz w:val="24"/>
                <w:szCs w:val="24"/>
              </w:rPr>
            </w:pPr>
            <w:r>
              <w:rPr>
                <w:rFonts w:ascii="宋体" w:hint="eastAsia"/>
                <w:bCs/>
                <w:color w:val="000000"/>
                <w:sz w:val="24"/>
                <w:szCs w:val="24"/>
              </w:rPr>
              <w:t>行</w:t>
            </w:r>
            <w:r>
              <w:rPr>
                <w:rFonts w:ascii="宋体" w:hint="eastAsia"/>
                <w:kern w:val="0"/>
                <w:sz w:val="24"/>
                <w:szCs w:val="24"/>
              </w:rPr>
              <w:t>政事业性收费</w:t>
            </w:r>
          </w:p>
        </w:tc>
        <w:tc>
          <w:tcPr>
            <w:tcW w:w="6275" w:type="dxa"/>
            <w:gridSpan w:val="3"/>
            <w:tcBorders>
              <w:top w:val="nil"/>
              <w:left w:val="nil"/>
              <w:bottom w:val="single" w:sz="8" w:space="0" w:color="auto"/>
              <w:right w:val="single" w:sz="8" w:space="0" w:color="000000"/>
              <w:tl2br w:val="nil"/>
              <w:tr2bl w:val="nil"/>
            </w:tcBorders>
            <w:tcMar>
              <w:left w:w="108" w:type="dxa"/>
              <w:right w:w="108" w:type="dxa"/>
            </w:tcMar>
            <w:vAlign w:val="center"/>
          </w:tcPr>
          <w:p>
            <w:pPr>
              <w:pStyle w:val="43"/>
              <w:spacing w:line="560" w:lineRule="exact"/>
              <w:jc w:val="center"/>
              <w:rPr>
                <w:sz w:val="24"/>
                <w:szCs w:val="24"/>
              </w:rPr>
            </w:pPr>
            <w:r>
              <w:rPr>
                <w:sz w:val="24"/>
                <w:szCs w:val="24"/>
              </w:rPr>
              <w:t>0</w:t>
            </w:r>
          </w:p>
        </w:tc>
      </w:tr>
    </w:tbl>
    <w:p>
      <w:pPr>
        <w:pStyle w:val="100"/>
        <w:widowControl/>
        <w:adjustRightInd w:val="0"/>
        <w:snapToGrid w:val="0"/>
        <w:spacing w:before="0" w:beforeAutospacing="0" w:after="0" w:afterAutospacing="0" w:line="560" w:lineRule="exact"/>
        <w:ind w:firstLineChars="200" w:firstLine="640"/>
        <w:jc w:val="both"/>
        <w:rPr>
          <w:rFonts w:eastAsia="方正仿宋_GBK" w:cs="方正黑体_GBK"/>
          <w:kern w:val="2"/>
          <w:sz w:val="32"/>
          <w:szCs w:val="32"/>
        </w:rPr>
      </w:pPr>
      <w:r>
        <w:rPr>
          <w:rFonts w:eastAsia="方正仿宋_GBK" w:cs="方正黑体_GBK" w:hint="eastAsia"/>
          <w:kern w:val="2"/>
          <w:sz w:val="32"/>
          <w:szCs w:val="32"/>
        </w:rPr>
        <w:t>*备注：本表格行政许可的处理决定数量，包括本机关在本年度内作出的准予许可决定、不予许可决定、变更许可决定、延期（延续）许可决定、撤销许可决定、撤回许可决定等。</w:t>
      </w:r>
    </w:p>
    <w:p>
      <w:pPr>
        <w:pStyle w:val="36"/>
        <w:spacing w:line="560" w:lineRule="exact"/>
        <w:ind w:firstLineChars="200" w:firstLine="640"/>
        <w:rPr>
          <w:rFonts w:ascii="方正黑体_GBK" w:eastAsia="方正黑体_GBK" w:hint="eastAsia"/>
          <w:bCs/>
          <w:kern w:val="0"/>
          <w:szCs w:val="32"/>
          <w:shd w:val="clear" w:color="auto" w:fill="FFFFFF"/>
        </w:rPr>
      </w:pPr>
      <w:r>
        <w:rPr>
          <w:rFonts w:ascii="方正黑体_GBK" w:eastAsia="方正黑体_GBK" w:hint="eastAsia"/>
          <w:bCs/>
          <w:kern w:val="0"/>
          <w:szCs w:val="32"/>
          <w:shd w:val="clear" w:color="auto" w:fill="FFFFFF"/>
        </w:rPr>
        <w:t>三、收到和处理政府信息公开申请情况</w:t>
      </w:r>
    </w:p>
    <w:tbl>
      <w:tblPr>
        <w:jc w:val="center"/>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pPr>
            <w:r>
              <w:rPr>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pPr>
            <w:r>
              <w:rPr>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pPr>
            <w:r>
              <w:rPr>
                <w:kern w:val="0"/>
                <w:sz w:val="20"/>
                <w:szCs w:val="20"/>
              </w:rPr>
              <w:t>自然人</w:t>
            </w:r>
          </w:p>
        </w:tc>
        <w:tc>
          <w:tcPr>
            <w:tcW w:w="3452"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pPr>
            <w:r>
              <w:rPr>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pPr>
            <w:r>
              <w:rPr>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pPr>
            <w:r>
              <w:rPr>
                <w:kern w:val="0"/>
                <w:sz w:val="20"/>
                <w:szCs w:val="20"/>
              </w:rPr>
              <w:t>商业企业</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pPr>
            <w:r>
              <w:rPr>
                <w:kern w:val="0"/>
                <w:sz w:val="20"/>
                <w:szCs w:val="20"/>
              </w:rPr>
              <w:t>科研机构</w:t>
            </w:r>
          </w:p>
        </w:tc>
        <w:tc>
          <w:tcPr>
            <w:tcW w:w="76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pPr>
            <w:r>
              <w:rPr>
                <w:kern w:val="0"/>
                <w:sz w:val="20"/>
                <w:szCs w:val="20"/>
              </w:rPr>
              <w:t>社会公益组织</w:t>
            </w:r>
          </w:p>
        </w:tc>
        <w:tc>
          <w:tcPr>
            <w:tcW w:w="76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pPr>
            <w:r>
              <w:rPr>
                <w:kern w:val="0"/>
                <w:sz w:val="20"/>
                <w:szCs w:val="20"/>
              </w:rPr>
              <w:t>法律服务机构</w:t>
            </w:r>
          </w:p>
        </w:tc>
        <w:tc>
          <w:tcPr>
            <w:tcW w:w="497"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pPr>
            <w:r>
              <w:rPr>
                <w:kern w:val="0"/>
                <w:sz w:val="20"/>
                <w:szCs w:val="20"/>
              </w:rPr>
              <w:t>其他</w:t>
            </w:r>
          </w:p>
        </w:tc>
        <w:tc>
          <w:tcPr>
            <w:tcW w:w="682"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tcPr>
          <w:p>
            <w:pPr>
              <w:pStyle w:val="43"/>
              <w:widowControl/>
              <w:spacing w:line="560" w:lineRule="exact"/>
              <w:jc w:val="left"/>
              <w:rPr>
                <w:rFonts w:ascii="宋体" w:hint="eastAsia"/>
                <w:sz w:val="24"/>
                <w:szCs w:val="24"/>
              </w:rPr>
            </w:pPr>
            <w:r>
              <w:rPr>
                <w:rFonts w:ascii="宋体" w:hint="eastAsia"/>
                <w:kern w:val="0"/>
                <w:sz w:val="24"/>
                <w:szCs w:val="24"/>
              </w:rPr>
              <w:t>一、本年新收政府信息公开申请数量</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5</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5</w:t>
            </w:r>
          </w:p>
        </w:tc>
      </w:tr>
      <w:t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tcPr>
          <w:p>
            <w:pPr>
              <w:pStyle w:val="43"/>
              <w:widowControl/>
              <w:spacing w:line="560" w:lineRule="exact"/>
              <w:jc w:val="left"/>
              <w:rPr>
                <w:rFonts w:ascii="宋体" w:hint="eastAsia"/>
                <w:sz w:val="24"/>
                <w:szCs w:val="24"/>
              </w:rPr>
            </w:pPr>
            <w:r>
              <w:rPr>
                <w:rFonts w:ascii="宋体" w:hint="eastAsia"/>
                <w:kern w:val="0"/>
                <w:sz w:val="24"/>
                <w:szCs w:val="24"/>
              </w:rPr>
              <w:t>二、上年结转政府信息公开申请数量</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三、本年度办理结果</w:t>
            </w: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left"/>
              <w:rPr>
                <w:sz w:val="24"/>
                <w:szCs w:val="24"/>
              </w:rPr>
            </w:pPr>
            <w:r>
              <w:rPr>
                <w:rFonts w:eastAsia="楷体"/>
                <w:kern w:val="0"/>
                <w:sz w:val="24"/>
                <w:szCs w:val="24"/>
              </w:rPr>
              <w:t>（一）予以公开</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1</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left"/>
              <w:rPr>
                <w:sz w:val="24"/>
                <w:szCs w:val="24"/>
              </w:rPr>
            </w:pPr>
            <w:r>
              <w:rPr>
                <w:rFonts w:eastAsia="楷体"/>
                <w:kern w:val="0"/>
                <w:sz w:val="24"/>
                <w:szCs w:val="24"/>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3</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3</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（三）不予公开</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1.属于国家秘密</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2.其他法律行政法规禁止公开</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3.危及“三安全一稳定”</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4.保护第三方合法权益</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5.属于三类内部事务信息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6.属于四类过程性信息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7.属于行政执法案卷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8.属于行政查询事项</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（四）无法提供</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1.本机关不掌握相关政府信息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1</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2.没有现成信息需要另行制作</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3.补正后申请内容仍不明确</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（五）不予处理</w:t>
            </w: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1.信访举报投诉类申请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2.重复申请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3.要求提供公开出版物</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4.无正当理由大量反复申请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5.要求行政机关确认或重新出具已获取信息</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（六）其他处理</w:t>
            </w:r>
          </w:p>
        </w:tc>
        <w:tc>
          <w:tcPr>
            <w:tcW w:w="2670" w:type="dxa"/>
            <w:tcBorders>
              <w:top w:val="nil"/>
              <w:left w:val="single" w:sz="8" w:space="0" w:color="auto"/>
              <w:bottom w:val="single" w:sz="8" w:space="0" w:color="auto"/>
              <w:right w:val="single" w:sz="8" w:space="0" w:color="auto"/>
              <w:tl2br w:val="nil"/>
              <w:tr2bl w:val="nil"/>
            </w:tcBorders>
            <w:tcMar>
              <w:left w:w="108" w:type="dxa"/>
              <w:right w:w="108" w:type="dxa"/>
            </w:tcMar>
          </w:tcPr>
          <w:p>
            <w:pPr>
              <w:pStyle w:val="43"/>
              <w:widowControl/>
              <w:spacing w:line="560" w:lineRule="exact"/>
              <w:rPr>
                <w:rFonts w:eastAsia="楷体"/>
                <w:kern w:val="0"/>
                <w:sz w:val="24"/>
                <w:szCs w:val="24"/>
              </w:rPr>
            </w:pPr>
            <w:r>
              <w:rPr>
                <w:rFonts w:eastAsia="楷体"/>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90"/>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single" w:sz="8" w:space="0" w:color="auto"/>
              <w:bottom w:val="single" w:sz="8" w:space="0" w:color="auto"/>
              <w:right w:val="single" w:sz="8" w:space="0" w:color="auto"/>
              <w:tl2br w:val="nil"/>
              <w:tr2bl w:val="nil"/>
            </w:tcBorders>
          </w:tcPr>
          <w:p>
            <w:pPr>
              <w:pStyle w:val="43"/>
              <w:widowControl/>
              <w:spacing w:line="560" w:lineRule="exact"/>
              <w:rPr>
                <w:rFonts w:eastAsia="楷体"/>
                <w:kern w:val="0"/>
                <w:sz w:val="24"/>
                <w:szCs w:val="24"/>
              </w:rPr>
            </w:pPr>
            <w:r>
              <w:rPr>
                <w:rFonts w:eastAsia="楷体"/>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single" w:sz="8" w:space="0" w:color="auto"/>
              <w:bottom w:val="single" w:sz="8" w:space="0" w:color="auto"/>
              <w:right w:val="single" w:sz="8" w:space="0" w:color="auto"/>
              <w:tl2br w:val="nil"/>
              <w:tr2bl w:val="nil"/>
            </w:tcBorders>
          </w:tcPr>
          <w:p>
            <w:pPr>
              <w:pStyle w:val="43"/>
              <w:widowControl/>
              <w:spacing w:line="560" w:lineRule="exact"/>
              <w:rPr>
                <w:rFonts w:eastAsia="楷体"/>
                <w:kern w:val="0"/>
                <w:sz w:val="24"/>
                <w:szCs w:val="24"/>
              </w:rPr>
            </w:pPr>
            <w:r>
              <w:rPr>
                <w:rFonts w:eastAsia="楷体"/>
                <w:kern w:val="0"/>
                <w:sz w:val="24"/>
                <w:szCs w:val="24"/>
              </w:rPr>
              <w:t>3.咨询事项，指引咨询渠道</w:t>
            </w:r>
          </w:p>
        </w:tc>
        <w:tc>
          <w:tcPr>
            <w:tcW w:w="635"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vAlign w:val="center"/>
          </w:tcPr>
          <w:p/>
        </w:tc>
        <w:tc>
          <w:tcPr>
            <w:tcW w:w="936" w:type="dxa"/>
            <w:vMerge/>
            <w:tcBorders>
              <w:top w:val="nil"/>
              <w:left w:val="nil"/>
              <w:bottom w:val="single" w:sz="8" w:space="0" w:color="auto"/>
              <w:right w:val="single" w:sz="8" w:space="0" w:color="auto"/>
              <w:tl2br w:val="nil"/>
              <w:tr2bl w:val="nil"/>
            </w:tcBorders>
            <w:vAlign w:val="center"/>
          </w:tcPr>
          <w:p/>
        </w:tc>
        <w:tc>
          <w:tcPr>
            <w:tcW w:w="2670" w:type="dxa"/>
            <w:tcBorders>
              <w:top w:val="nil"/>
              <w:left w:val="single" w:sz="8" w:space="0" w:color="auto"/>
              <w:bottom w:val="single" w:sz="8" w:space="0" w:color="auto"/>
              <w:right w:val="single" w:sz="8" w:space="0" w:color="auto"/>
              <w:tl2br w:val="nil"/>
              <w:tr2bl w:val="nil"/>
            </w:tcBorders>
          </w:tcPr>
          <w:p>
            <w:pPr>
              <w:pStyle w:val="43"/>
              <w:widowControl/>
              <w:spacing w:line="560" w:lineRule="exact"/>
              <w:rPr>
                <w:rFonts w:eastAsia="楷体"/>
                <w:kern w:val="0"/>
                <w:sz w:val="24"/>
                <w:szCs w:val="24"/>
              </w:rPr>
            </w:pPr>
            <w:r>
              <w:rPr>
                <w:rFonts w:eastAsia="楷体"/>
                <w:kern w:val="0"/>
                <w:sz w:val="24"/>
                <w:szCs w:val="24"/>
              </w:rPr>
              <w:t>4.申请人撤销申请</w:t>
            </w:r>
          </w:p>
        </w:tc>
        <w:tc>
          <w:tcPr>
            <w:tcW w:w="635"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vAlign w:val="center"/>
          </w:tcPr>
          <w:p>
            <w:pPr>
              <w:pStyle w:val="9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rPr>
                <w:sz w:val="24"/>
                <w:szCs w:val="24"/>
              </w:rPr>
            </w:pPr>
            <w:r>
              <w:rPr>
                <w:rFonts w:eastAsia="楷体"/>
                <w:kern w:val="0"/>
                <w:sz w:val="24"/>
                <w:szCs w:val="24"/>
              </w:rPr>
              <w:t>（七）总计</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5</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82"/>
              <w:spacing w:line="560" w:lineRule="exact"/>
              <w:jc w:val="center"/>
              <w:rPr>
                <w:rFonts w:eastAsia="方正仿宋_GBK"/>
                <w:sz w:val="24"/>
                <w:szCs w:val="24"/>
              </w:rPr>
            </w:pPr>
            <w:r>
              <w:rPr>
                <w:rFonts w:eastAsia="方正仿宋_GBK"/>
                <w:sz w:val="24"/>
                <w:szCs w:val="24"/>
              </w:rPr>
              <w:t>5</w:t>
            </w:r>
          </w:p>
        </w:tc>
      </w:tr>
      <w:tr>
        <w:tc>
          <w:tcPr>
            <w:tcW w:w="4302" w:type="dxa"/>
            <w:gridSpan w:val="3"/>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left"/>
            </w:pPr>
            <w:r>
              <w:rPr>
                <w:kern w:val="0"/>
                <w:sz w:val="24"/>
                <w:szCs w:val="24"/>
              </w:rPr>
              <w:t>四、结转下年度继续办理</w:t>
            </w:r>
          </w:p>
        </w:tc>
        <w:tc>
          <w:tcPr>
            <w:tcW w:w="635"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tcMar>
              <w:left w:w="108" w:type="dxa"/>
              <w:right w:w="108" w:type="dxa"/>
            </w:tcMar>
            <w:vAlign w:val="center"/>
          </w:tcPr>
          <w:p>
            <w:pPr>
              <w:pStyle w:val="68"/>
              <w:spacing w:line="560" w:lineRule="exact"/>
              <w:jc w:val="center"/>
              <w:rPr>
                <w:rFonts w:eastAsia="方正仿宋_GBK"/>
                <w:sz w:val="24"/>
                <w:szCs w:val="24"/>
              </w:rPr>
            </w:pPr>
            <w:r>
              <w:rPr>
                <w:rFonts w:eastAsia="方正仿宋_GBK"/>
                <w:sz w:val="24"/>
                <w:szCs w:val="24"/>
              </w:rPr>
              <w:t>0</w:t>
            </w:r>
          </w:p>
        </w:tc>
      </w:tr>
    </w:tbl>
    <w:p>
      <w:pPr>
        <w:pStyle w:val="36"/>
        <w:spacing w:line="560" w:lineRule="exact"/>
        <w:ind w:firstLineChars="200" w:firstLine="640"/>
        <w:rPr>
          <w:rFonts w:ascii="方正黑体_GBK" w:eastAsia="方正黑体_GBK" w:hint="eastAsia"/>
          <w:bCs/>
          <w:kern w:val="0"/>
          <w:szCs w:val="32"/>
          <w:shd w:val="clear" w:color="auto" w:fill="FFFFFF"/>
        </w:rPr>
      </w:pPr>
      <w:r>
        <w:rPr>
          <w:rFonts w:ascii="方正黑体_GBK" w:eastAsia="方正黑体_GBK" w:hint="eastAsia"/>
          <w:bCs/>
          <w:kern w:val="0"/>
          <w:szCs w:val="32"/>
          <w:shd w:val="clear" w:color="auto" w:fill="FFFFFF"/>
        </w:rPr>
        <w:t>四、政府信息公开行政复议、行政诉讼情况</w:t>
      </w:r>
    </w:p>
    <w:tbl>
      <w:tblPr>
        <w:jc w:val="center"/>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行政复议</w:t>
            </w:r>
          </w:p>
        </w:tc>
        <w:tc>
          <w:tcPr>
            <w:tcW w:w="5997" w:type="dxa"/>
            <w:gridSpan w:val="10"/>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结果维持</w:t>
            </w:r>
          </w:p>
        </w:tc>
        <w:tc>
          <w:tcPr>
            <w:tcW w:w="604" w:type="dxa"/>
            <w:vMerge w:val="restart"/>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结果纠正</w:t>
            </w:r>
          </w:p>
        </w:tc>
        <w:tc>
          <w:tcPr>
            <w:tcW w:w="604"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其他结果</w:t>
            </w:r>
          </w:p>
        </w:tc>
        <w:tc>
          <w:tcPr>
            <w:tcW w:w="604"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尚未审结</w:t>
            </w:r>
          </w:p>
        </w:tc>
        <w:tc>
          <w:tcPr>
            <w:tcW w:w="658" w:type="dxa"/>
            <w:vMerge w:val="restart"/>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总计</w:t>
            </w:r>
          </w:p>
        </w:tc>
        <w:tc>
          <w:tcPr>
            <w:tcW w:w="2970"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复议后起诉</w:t>
            </w:r>
          </w:p>
        </w:tc>
      </w:tr>
      <w:tr>
        <w:tc>
          <w:tcPr>
            <w:tcW w:w="604" w:type="dxa"/>
            <w:vMerge/>
            <w:tcBorders>
              <w:top w:val="nil"/>
              <w:left w:val="single" w:sz="8" w:space="0" w:color="auto"/>
              <w:bottom w:val="single" w:sz="8" w:space="0" w:color="auto"/>
              <w:right w:val="single" w:sz="8" w:space="0" w:color="auto"/>
              <w:tl2br w:val="nil"/>
              <w:tr2bl w:val="nil"/>
            </w:tcBorders>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结果维持</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其他结果</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尚未审结</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总计</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结果维持</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其他结果</w:t>
            </w:r>
          </w:p>
        </w:tc>
        <w:tc>
          <w:tcPr>
            <w:tcW w:w="60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尚未审结</w:t>
            </w:r>
          </w:p>
        </w:tc>
        <w:tc>
          <w:tcPr>
            <w:tcW w:w="606" w:type="dxa"/>
            <w:tcBorders>
              <w:top w:val="single" w:sz="8" w:space="0" w:color="auto"/>
              <w:left w:val="nil"/>
              <w:bottom w:val="single" w:sz="8" w:space="0" w:color="auto"/>
              <w:right w:val="single" w:sz="8" w:space="0" w:color="auto"/>
              <w:tl2br w:val="nil"/>
              <w:tr2bl w:val="nil"/>
            </w:tcBorders>
            <w:tcMar>
              <w:left w:w="108" w:type="dxa"/>
              <w:right w:w="108" w:type="dxa"/>
            </w:tcMar>
            <w:vAlign w:val="center"/>
          </w:tcPr>
          <w:p>
            <w:pPr>
              <w:pStyle w:val="43"/>
              <w:widowControl/>
              <w:spacing w:line="560" w:lineRule="exact"/>
              <w:jc w:val="center"/>
              <w:rPr>
                <w:sz w:val="24"/>
                <w:szCs w:val="24"/>
              </w:rPr>
            </w:pPr>
            <w:r>
              <w:rPr>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tcMar>
              <w:left w:w="108" w:type="dxa"/>
              <w:right w:w="108" w:type="dxa"/>
            </w:tcMar>
            <w:vAlign w:val="center"/>
          </w:tcPr>
          <w:p>
            <w:pPr>
              <w:pStyle w:val="34"/>
              <w:widowControl/>
              <w:spacing w:line="560" w:lineRule="exact"/>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pacing w:line="560" w:lineRule="exact"/>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pacing w:line="560" w:lineRule="exact"/>
              <w:jc w:val="center"/>
              <w:rPr>
                <w:sz w:val="28"/>
                <w:szCs w:val="28"/>
              </w:rPr>
            </w:pPr>
            <w:r>
              <w:rPr>
                <w:sz w:val="28"/>
                <w:szCs w:val="28"/>
              </w:rPr>
              <w:t>0</w:t>
            </w:r>
          </w:p>
        </w:tc>
        <w:tc>
          <w:tcPr>
            <w:tcW w:w="604"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pacing w:line="560" w:lineRule="exact"/>
              <w:jc w:val="center"/>
              <w:rPr>
                <w:sz w:val="28"/>
                <w:szCs w:val="28"/>
              </w:rPr>
            </w:pPr>
            <w:r>
              <w:rPr>
                <w:sz w:val="28"/>
                <w:szCs w:val="28"/>
              </w:rPr>
              <w:t>0</w:t>
            </w:r>
          </w:p>
        </w:tc>
        <w:tc>
          <w:tcPr>
            <w:tcW w:w="658"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pacing w:line="560" w:lineRule="exact"/>
              <w:jc w:val="center"/>
              <w:rPr>
                <w:sz w:val="28"/>
                <w:szCs w:val="28"/>
              </w:rPr>
            </w:pPr>
            <w:r>
              <w:rPr>
                <w:sz w:val="28"/>
                <w:szCs w:val="28"/>
              </w:rPr>
              <w:t>0</w:t>
            </w:r>
          </w:p>
        </w:tc>
        <w:tc>
          <w:tcPr>
            <w:tcW w:w="550"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pacing w:line="560" w:lineRule="exact"/>
              <w:jc w:val="center"/>
              <w:rPr>
                <w:sz w:val="28"/>
                <w:szCs w:val="28"/>
              </w:rPr>
            </w:pPr>
            <w:r>
              <w:rPr>
                <w:sz w:val="28"/>
                <w:szCs w:val="28"/>
              </w:rPr>
              <w:t>0</w:t>
            </w:r>
          </w:p>
        </w:tc>
        <w:tc>
          <w:tcPr>
            <w:tcW w:w="605"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pacing w:line="560" w:lineRule="exact"/>
              <w:jc w:val="center"/>
              <w:rPr>
                <w:sz w:val="28"/>
                <w:szCs w:val="28"/>
              </w:rPr>
            </w:pPr>
            <w:r>
              <w:rPr>
                <w:sz w:val="28"/>
                <w:szCs w:val="28"/>
              </w:rPr>
              <w:t>0</w:t>
            </w:r>
          </w:p>
        </w:tc>
        <w:tc>
          <w:tcPr>
            <w:tcW w:w="606"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pacing w:line="560" w:lineRule="exact"/>
              <w:jc w:val="center"/>
              <w:rPr>
                <w:kern w:val="0"/>
                <w:sz w:val="28"/>
                <w:szCs w:val="28"/>
              </w:rPr>
            </w:pPr>
            <w:r>
              <w:rPr>
                <w:kern w:val="0"/>
                <w:sz w:val="28"/>
                <w:szCs w:val="28"/>
              </w:rPr>
              <w:t>0</w:t>
            </w:r>
          </w:p>
        </w:tc>
        <w:tc>
          <w:tcPr>
            <w:tcW w:w="606" w:type="dxa"/>
            <w:tcBorders>
              <w:top w:val="nil"/>
              <w:left w:val="nil"/>
              <w:bottom w:val="single" w:sz="8" w:space="0" w:color="auto"/>
              <w:right w:val="single" w:sz="8" w:space="0" w:color="auto"/>
              <w:tl2br w:val="nil"/>
              <w:tr2bl w:val="nil"/>
            </w:tcBorders>
            <w:tcMar>
              <w:left w:w="108" w:type="dxa"/>
              <w:right w:w="108" w:type="dxa"/>
            </w:tcMar>
            <w:vAlign w:val="center"/>
          </w:tcPr>
          <w:p>
            <w:pPr>
              <w:pStyle w:val="34"/>
              <w:widowControl/>
              <w:spacing w:line="560" w:lineRule="exact"/>
              <w:jc w:val="center"/>
              <w:rPr>
                <w:kern w:val="0"/>
                <w:sz w:val="28"/>
                <w:szCs w:val="28"/>
              </w:rPr>
            </w:pPr>
            <w:r>
              <w:rPr>
                <w:kern w:val="0"/>
                <w:sz w:val="28"/>
                <w:szCs w:val="28"/>
              </w:rPr>
              <w:t>0</w:t>
            </w:r>
          </w:p>
        </w:tc>
      </w:tr>
    </w:tbl>
    <w:p>
      <w:pPr>
        <w:pStyle w:val="36"/>
        <w:spacing w:line="560" w:lineRule="exact"/>
        <w:ind w:firstLineChars="200" w:firstLine="640"/>
        <w:rPr>
          <w:rFonts w:ascii="方正黑体_GBK" w:eastAsia="方正黑体_GBK" w:hint="eastAsia"/>
          <w:bCs/>
          <w:kern w:val="0"/>
          <w:szCs w:val="32"/>
          <w:shd w:val="clear" w:color="auto" w:fill="FFFFFF"/>
        </w:rPr>
      </w:pPr>
      <w:r>
        <w:rPr>
          <w:rFonts w:ascii="方正黑体_GBK" w:eastAsia="方正黑体_GBK" w:hint="eastAsia"/>
          <w:bCs/>
          <w:kern w:val="0"/>
          <w:szCs w:val="32"/>
          <w:shd w:val="clear" w:color="auto" w:fill="FFFFFF"/>
        </w:rPr>
        <w:t>五、存在的主要问题及改进情况</w:t>
      </w:r>
    </w:p>
    <w:p>
      <w:pPr>
        <w:pStyle w:val="117"/>
        <w:adjustRightInd w:val="0"/>
        <w:snapToGrid w:val="0"/>
        <w:ind w:firstLineChars="200" w:firstLine="640"/>
        <w:rPr>
          <w:rFonts w:eastAsia="方正楷体_GBK"/>
          <w:bCs/>
          <w:spacing w:val="0"/>
        </w:rPr>
      </w:pPr>
      <w:bookmarkEnd w:id="1"/>
      <w:r>
        <w:rPr>
          <w:rFonts w:eastAsia="方正楷体_GBK"/>
          <w:bCs/>
          <w:spacing w:val="0"/>
        </w:rPr>
        <w:t>（一）2024年年报中所提问题整改情况。</w:t>
      </w:r>
    </w:p>
    <w:p>
      <w:pPr>
        <w:pStyle w:val="117"/>
        <w:adjustRightInd w:val="0"/>
        <w:snapToGrid w:val="0"/>
        <w:ind w:firstLineChars="200" w:firstLine="640"/>
        <w:rPr>
          <w:bCs/>
          <w:color w:val="000000"/>
          <w:spacing w:val="0"/>
          <w:szCs w:val="32"/>
        </w:rPr>
      </w:pPr>
      <w:r>
        <w:rPr>
          <w:bCs/>
          <w:color w:val="000000"/>
          <w:spacing w:val="0"/>
          <w:szCs w:val="32"/>
        </w:rPr>
        <w:t>番禺海关2024年年报中提出以下问题：政府信息主动公开工作规范性有待提高，需进一步强化岗位人员业务培训，加大内控建设力度，不断提高政府信息主动公开工作水平。</w:t>
      </w:r>
    </w:p>
    <w:p>
      <w:pPr>
        <w:pStyle w:val="117"/>
        <w:adjustRightInd w:val="0"/>
        <w:snapToGrid w:val="0"/>
        <w:ind w:firstLineChars="200" w:firstLine="640"/>
        <w:rPr>
          <w:bCs/>
          <w:color w:val="000000"/>
          <w:spacing w:val="0"/>
          <w:szCs w:val="32"/>
        </w:rPr>
      </w:pPr>
      <w:r>
        <w:rPr>
          <w:bCs/>
          <w:color w:val="000000"/>
          <w:spacing w:val="0"/>
          <w:szCs w:val="32"/>
        </w:rPr>
        <w:t>上述问题在2025年已采取措施完成整改：</w:t>
      </w:r>
      <w:r>
        <w:rPr>
          <w:b/>
          <w:bCs/>
          <w:color w:val="000000"/>
          <w:spacing w:val="0"/>
          <w:szCs w:val="32"/>
        </w:rPr>
        <w:t>一是</w:t>
      </w:r>
      <w:r>
        <w:rPr>
          <w:rFonts w:hint="eastAsia"/>
          <w:b/>
          <w:bCs/>
        </w:rPr>
        <w:t>压实管理责任</w:t>
      </w:r>
      <w:r>
        <w:rPr>
          <w:b/>
          <w:bCs/>
        </w:rPr>
        <w:t>，严抓工作规范。</w:t>
      </w:r>
      <w:r>
        <w:t>严格执行</w:t>
      </w:r>
      <w:r>
        <w:rPr>
          <w:rFonts w:hint="eastAsia"/>
        </w:rPr>
        <w:t>“分级审核、先审后发”</w:t>
      </w:r>
      <w:r>
        <w:t>，</w:t>
      </w:r>
      <w:r>
        <w:rPr>
          <w:rFonts w:hint="eastAsia"/>
        </w:rPr>
        <w:t>明确职责分工</w:t>
      </w:r>
      <w:r>
        <w:t>，定期复核抽查</w:t>
      </w:r>
      <w:r>
        <w:rPr>
          <w:rFonts w:hint="eastAsia"/>
        </w:rPr>
        <w:t>，</w:t>
      </w:r>
      <w:r>
        <w:t>不断</w:t>
      </w:r>
      <w:r>
        <w:rPr>
          <w:rFonts w:hint="eastAsia"/>
        </w:rPr>
        <w:t>提升工作规范性；</w:t>
      </w:r>
      <w:r>
        <w:rPr>
          <w:b/>
          <w:bCs/>
        </w:rPr>
        <w:t>二是</w:t>
      </w:r>
      <w:r>
        <w:rPr>
          <w:rFonts w:hint="eastAsia"/>
          <w:b/>
          <w:bCs/>
        </w:rPr>
        <w:t>强化队伍建设，夯实业务基础</w:t>
      </w:r>
      <w:r>
        <w:rPr>
          <w:b/>
          <w:bCs/>
        </w:rPr>
        <w:t>。</w:t>
      </w:r>
      <w:r>
        <w:t>加强</w:t>
      </w:r>
      <w:r>
        <w:rPr>
          <w:rFonts w:hint="eastAsia"/>
        </w:rPr>
        <w:t>《中华人民共和国政府信息公开条例》等</w:t>
      </w:r>
      <w:r>
        <w:t>法律</w:t>
      </w:r>
      <w:r>
        <w:rPr>
          <w:rFonts w:hint="eastAsia"/>
        </w:rPr>
        <w:t>法规</w:t>
      </w:r>
      <w:r>
        <w:t>的学习研讨</w:t>
      </w:r>
      <w:r>
        <w:rPr>
          <w:rFonts w:hint="eastAsia"/>
        </w:rPr>
        <w:t>，对新</w:t>
      </w:r>
      <w:r>
        <w:t>上</w:t>
      </w:r>
      <w:r>
        <w:rPr>
          <w:rFonts w:hint="eastAsia"/>
        </w:rPr>
        <w:t>岗人员开展“一对一”</w:t>
      </w:r>
      <w:r>
        <w:t>业务</w:t>
      </w:r>
      <w:r>
        <w:rPr>
          <w:rFonts w:hint="eastAsia"/>
        </w:rPr>
        <w:t>培训，</w:t>
      </w:r>
      <w:r>
        <w:t>提升</w:t>
      </w:r>
      <w:r>
        <w:rPr>
          <w:rFonts w:hint="eastAsia"/>
        </w:rPr>
        <w:t>岗位人员的法治</w:t>
      </w:r>
      <w:r>
        <w:t>思维</w:t>
      </w:r>
      <w:r>
        <w:rPr>
          <w:rFonts w:hint="eastAsia"/>
        </w:rPr>
        <w:t>与实操能力，队伍专业化水平得到</w:t>
      </w:r>
      <w:r>
        <w:t>进一步</w:t>
      </w:r>
      <w:r>
        <w:rPr>
          <w:rFonts w:hint="eastAsia"/>
        </w:rPr>
        <w:t>巩固。</w:t>
      </w:r>
    </w:p>
    <w:p>
      <w:pPr>
        <w:pStyle w:val="118"/>
        <w:spacing w:line="560" w:lineRule="exact"/>
        <w:ind w:firstLineChars="200" w:firstLine="640"/>
        <w:rPr>
          <w:rFonts w:ascii="方正黑体_GBK" w:eastAsia="方正黑体_GBK" w:hint="eastAsia"/>
          <w:bCs/>
          <w:kern w:val="0"/>
          <w:szCs w:val="32"/>
          <w:shd w:val="clear" w:color="auto" w:fill="FFFFFF"/>
        </w:rPr>
      </w:pPr>
      <w:r>
        <w:rPr>
          <w:rFonts w:eastAsia="方正楷体_GBK"/>
          <w:bCs/>
          <w:spacing w:val="0"/>
        </w:rPr>
        <w:t>（二）目前存在问题。</w:t>
      </w:r>
    </w:p>
    <w:p>
      <w:pPr>
        <w:pStyle w:val="35"/>
        <w:adjustRightInd w:val="0"/>
        <w:snapToGrid w:val="0"/>
        <w:ind w:firstLineChars="200" w:firstLine="624"/>
        <w:rPr>
          <w:bCs/>
          <w:color w:val="000000"/>
          <w:spacing w:val="0"/>
          <w:szCs w:val="32"/>
        </w:rPr>
      </w:pPr>
      <w:r>
        <w:t>岗位</w:t>
      </w:r>
      <w:r>
        <w:rPr>
          <w:rFonts w:hint="eastAsia"/>
        </w:rPr>
        <w:t>人员</w:t>
      </w:r>
      <w:r>
        <w:t>对依申请公开工作</w:t>
      </w:r>
      <w:r>
        <w:rPr>
          <w:rFonts w:hint="eastAsia"/>
        </w:rPr>
        <w:t>经验不足</w:t>
      </w:r>
      <w:r>
        <w:t>，相关</w:t>
      </w:r>
      <w:r>
        <w:rPr>
          <w:rFonts w:hint="eastAsia"/>
        </w:rPr>
        <w:t>工作交接机制</w:t>
      </w:r>
      <w:r>
        <w:t>需</w:t>
      </w:r>
      <w:r>
        <w:rPr>
          <w:rFonts w:hint="eastAsia"/>
        </w:rPr>
        <w:t>进一步细化</w:t>
      </w:r>
      <w:r>
        <w:t>完善。</w:t>
      </w:r>
    </w:p>
    <w:p>
      <w:pPr>
        <w:pStyle w:val="36"/>
        <w:spacing w:line="560" w:lineRule="exact"/>
        <w:ind w:firstLineChars="200" w:firstLine="640"/>
        <w:rPr>
          <w:rFonts w:ascii="方正黑体_GBK" w:eastAsia="方正黑体_GBK" w:hint="eastAsia"/>
          <w:bCs/>
          <w:kern w:val="0"/>
          <w:szCs w:val="32"/>
          <w:shd w:val="clear" w:color="auto" w:fill="FFFFFF"/>
        </w:rPr>
      </w:pPr>
      <w:r>
        <w:rPr>
          <w:rFonts w:ascii="方正黑体_GBK" w:eastAsia="方正黑体_GBK" w:hint="eastAsia"/>
          <w:bCs/>
          <w:kern w:val="0"/>
          <w:szCs w:val="32"/>
          <w:shd w:val="clear" w:color="auto" w:fill="FFFFFF"/>
        </w:rPr>
        <w:t>六、其他需要报告的事项</w:t>
      </w:r>
    </w:p>
    <w:p>
      <w:pPr>
        <w:pStyle w:val="119"/>
        <w:adjustRightInd w:val="0"/>
        <w:snapToGrid w:val="0"/>
        <w:ind w:firstLineChars="200" w:firstLine="640"/>
        <w:rPr>
          <w:bCs/>
          <w:color w:val="000000"/>
          <w:spacing w:val="0"/>
          <w:szCs w:val="32"/>
        </w:rPr>
      </w:pPr>
      <w:r>
        <w:rPr>
          <w:bCs/>
          <w:color w:val="000000"/>
          <w:spacing w:val="0"/>
          <w:szCs w:val="32"/>
        </w:rPr>
        <w:t>番禺海关严格按照《国务院办公厅关于印发〈政府信息公开信息处理费管理办法〉的通知》，规范政府信息公开信息处理费收取工作，2025年未收取政府信息公开信息处理费。</w:t>
      </w:r>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40001" w:csb1="00000000"/>
  </w:font>
  <w:font w:name="方正黑体_GBK">
    <w:altName w:val="汉仪中黑KW"/>
    <w:panose1 w:val="00000000000000000000"/>
    <w:charset w:val="00"/>
    <w:family w:val="script"/>
    <w:pitch w:val="variable"/>
    <w:sig w:usb0="00000000" w:usb1="00000000" w:usb2="00000010" w:usb3="00000000" w:csb0="00040000" w:csb1="00000000"/>
  </w:font>
  <w:font w:name="方正仿宋_GBK">
    <w:altName w:val="Arial Unicode MS"/>
    <w:panose1 w:val="02000000000000000000"/>
    <w:charset w:val="86"/>
    <w:family w:val="script"/>
    <w:pitch w:val="variable"/>
    <w:sig w:usb0="00000000" w:usb1="38CF7CFA" w:usb2="00082016" w:usb3="00000000" w:csb0="00040001" w:csb1="00000000"/>
  </w:font>
  <w:font w:name="Arial">
    <w:altName w:val="DejaVu Sans"/>
    <w:panose1 w:val="020B0604020202020204"/>
    <w:charset w:val="00"/>
    <w:family w:val="auto"/>
    <w:pitch w:val="variable"/>
    <w:sig w:usb0="00007A87" w:usb1="80000000" w:usb2="00000008" w:usb3="00000000" w:csb0="400001FF" w:csb1="FFFF0000"/>
  </w:font>
  <w:font w:name="方正楷体_GBK">
    <w:altName w:val="汉仪楷体简"/>
    <w:panose1 w:val="00000000000000000000"/>
    <w:charset w:val="00"/>
    <w:family w:val="script"/>
    <w:pitch w:val="variable"/>
    <w:sig w:usb0="00000000" w:usb1="0000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楷体">
    <w:altName w:val="方正楷体_GBK"/>
    <w:panose1 w:val="02010609060101010101"/>
    <w:charset w:val="86"/>
    <w:family w:val="modern"/>
    <w:pitch w:val="variable"/>
    <w:sig w:usb0="800002BF" w:usb1="38CF7CFA" w:usb2="00000016" w:usb3="00000000" w:csb0="00040001" w:csb1="00000000"/>
  </w:font>
  <w:font w:name="Times New Roman">
    <w:altName w:val="DejaVu Sans"/>
    <w:panose1 w:val="02020603050405020304"/>
    <w:charset w:val="00"/>
    <w:family w:val="roman"/>
    <w:pitch w:val="variable"/>
    <w:sig w:usb0="E0002EFF" w:usb1="C000785B" w:usb2="00000009" w:usb3="00000000" w:csb0="000001FF" w:csb1="00000000"/>
  </w:font>
  <w:font w:name="黑体">
    <w:altName w:val="华文细黑"/>
    <w:panose1 w:val="02010609060101010101"/>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framePr w:w="0" w:hRule="auto" w:wrap="around" w:vAnchor="text" w:hAnchor="margin" w:xAlign="outside" w:y="1" w:anchorLock="0"/>
      <w:tabs>
        <w:tab w:val="center" w:pos="4153"/>
        <w:tab w:val="right" w:pos="8306"/>
      </w:tabs>
    </w:pPr>
    <w:r>
      <w:rPr>
        <w:rStyle w:val="26"/>
      </w:rPr>
      <w:fldChar w:fldCharType="begin"/>
    </w:r>
    <w:r>
      <w:rPr>
        <w:rStyle w:val="26"/>
      </w:rPr>
      <w:instrText>Page</w:instrText>
    </w:r>
    <w:r>
      <w:fldChar w:fldCharType="separate"/>
    </w:r>
    <w:r>
      <w:rPr>
        <w:rStyle w:val="26"/>
        <w:lang w:val="en-US" w:eastAsia="zh-CN"/>
      </w:rPr>
      <w:t>- 3 -</w:t>
    </w:r>
    <w:r>
      <w:fldChar w:fldCharType="end"/>
    </w:r>
  </w:p>
  <w:p>
    <w:pPr>
      <w:pStyle w:val="20"/>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framePr w:w="0" w:hRule="auto" w:wrap="around" w:vAnchor="text" w:hAnchor="margin" w:xAlign="outside" w:y="1" w:anchorLock="0"/>
      <w:tabs>
        <w:tab w:val="center" w:pos="4153"/>
        <w:tab w:val="right" w:pos="8306"/>
      </w:tabs>
    </w:pPr>
    <w:r>
      <w:rPr>
        <w:rStyle w:val="26"/>
      </w:rPr>
      <w:fldChar w:fldCharType="begin"/>
    </w:r>
    <w:r>
      <w:rPr>
        <w:rStyle w:val="26"/>
      </w:rPr>
      <w:instrText>Page</w:instrText>
    </w:r>
    <w:r>
      <w:fldChar w:fldCharType="separate"/>
    </w:r>
    <w:r>
      <w:rPr>
        <w:rStyle w:val="26"/>
        <w:lang w:val="en-US" w:eastAsia="zh-CN"/>
      </w:rPr>
      <w:t>- 2 -</w:t>
    </w:r>
    <w:r>
      <w:fldChar w:fldCharType="end"/>
    </w:r>
  </w:p>
  <w:p>
    <w:pPr>
      <w:pStyle w:val="20"/>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8</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20"/>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90"/>
  <w:doNotDisplayPageBoundaries/>
  <w:bordersDoNotSurroundHeader/>
  <w:bordersDoNotSurroundFooter/>
  <w:trackRevisions/>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docVars>
    <w:docVar w:name="commondata" w:val="eyJoZGlkIjoiOGU5ZDVlNTA0ZGNjNTg3NjBhZTQ0ODVkMDhjNjNhZT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List Number 2"/>
    <w:basedOn w:val="0"/>
    <w:pPr>
      <w:tabs>
        <w:tab w:val="left" w:pos="780"/>
      </w:tabs>
      <w:ind w:left="780" w:hanging="360"/>
    </w:pPr>
  </w:style>
  <w:style w:type="paragraph" w:styleId="16">
    <w:name w:val="index 8"/>
    <w:basedOn w:val="0"/>
    <w:next w:val="0"/>
    <w:pPr>
      <w:ind w:left="2940"/>
    </w:pPr>
  </w:style>
  <w:style w:type="paragraph" w:styleId="17">
    <w:name w:val="index 5"/>
    <w:basedOn w:val="0"/>
    <w:next w:val="0"/>
    <w:pPr>
      <w:ind w:left="1680"/>
    </w:pPr>
  </w:style>
  <w:style w:type="paragraph" w:styleId="18">
    <w:name w:val="index 6"/>
    <w:basedOn w:val="0"/>
    <w:next w:val="0"/>
    <w:pPr>
      <w:ind w:left="21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sz w:val="18"/>
      <w:szCs w:val="18"/>
    </w:rPr>
  </w:style>
  <w:style w:type="paragraph" w:styleId="21">
    <w:name w:val="header"/>
    <w:basedOn w:val="0"/>
    <w:pPr>
      <w:pBdr>
        <w:bottom w:val="single" w:sz="6" w:space="1" w:color="auto"/>
      </w:pBdr>
      <w:tabs>
        <w:tab w:val="center" w:pos="4153"/>
        <w:tab w:val="right" w:pos="8306"/>
      </w:tabs>
      <w:snapToGrid w:val="0"/>
      <w:jc w:val="center"/>
    </w:pPr>
    <w:rPr>
      <w:sz w:val="18"/>
      <w:szCs w:val="18"/>
      <w:bdr w:val="none" w:sz="0" w:space="0" w:color="auto"/>
    </w:rPr>
  </w:style>
  <w:style w:type="paragraph" w:styleId="22">
    <w:name w:val="toc 1"/>
    <w:basedOn w:val="0"/>
    <w:next w:val="0"/>
  </w:style>
  <w:style w:type="paragraph" w:styleId="23">
    <w:name w:val="index 7"/>
    <w:basedOn w:val="0"/>
    <w:next w:val="0"/>
    <w:pPr>
      <w:ind w:left="2520"/>
    </w:pPr>
  </w:style>
  <w:style w:type="paragraph" w:styleId="24">
    <w:name w:val="toc 2"/>
    <w:basedOn w:val="0"/>
    <w:next w:val="0"/>
    <w:pPr>
      <w:ind w:left="420"/>
    </w:pPr>
  </w:style>
  <w:style w:type="paragraph" w:styleId="25">
    <w:name w:val="Normal (Web)"/>
    <w:next w:val="20"/>
    <w:pPr>
      <w:widowControl w:val="0"/>
    </w:pPr>
    <w:rPr>
      <w:rFonts w:ascii="Times New Roman" w:eastAsia="宋体" w:cs="Times New Roman" w:hAnsi="Times New Roman"/>
      <w:sz w:val="24"/>
      <w:szCs w:val="30"/>
      <w:lang w:val="en-US" w:eastAsia="zh-CN" w:bidi="ar-SA"/>
    </w:rPr>
  </w:style>
  <w:style w:type="character" w:styleId="26">
    <w:name w:val="page number"/>
    <w:basedOn w:val="10"/>
  </w:style>
  <w:style w:type="character" w:styleId="27">
    <w:name w:val="FollowedHyperlink"/>
    <w:basedOn w:val="10"/>
    <w:rPr>
      <w:color w:val="800080"/>
      <w:u w:val="single"/>
    </w:rPr>
  </w:style>
  <w:style w:type="character" w:styleId="28">
    <w:name w:val="Hyperlink"/>
    <w:basedOn w:val="10"/>
    <w:rPr>
      <w:color w:val="0000FF"/>
      <w:u w:val="single"/>
    </w:rPr>
  </w:style>
  <w:style w:type="paragraph" w:customStyle="1" w:styleId="29">
    <w:name w:val="样式 1 三号"/>
    <w:next w:val="22"/>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0">
    <w:name w:val="样式 17 小三 New"/>
    <w:pPr>
      <w:widowControl w:val="0"/>
      <w:jc w:val="both"/>
    </w:pPr>
    <w:rPr>
      <w:rFonts w:ascii="Times New Roman" w:eastAsia="宋体" w:cs="Times New Roman" w:hAnsi="Times New Roman"/>
      <w:kern w:val="2"/>
      <w:sz w:val="30"/>
      <w:szCs w:val="30"/>
      <w:lang w:val="en-US" w:eastAsia="zh-CN" w:bidi="ar-SA"/>
    </w:rPr>
  </w:style>
  <w:style w:type="paragraph" w:customStyle="1" w:styleId="31">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32">
    <w:name w:val="样式 13 三号 New"/>
    <w:next w:val="23"/>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3">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34">
    <w:name w:val="样式 小三 New New New New New New"/>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35">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6">
    <w:name w:val="正文5"/>
    <w:pPr>
      <w:widowControl w:val="0"/>
      <w:jc w:val="both"/>
    </w:pPr>
    <w:rPr>
      <w:rFonts w:ascii="Times New Roman" w:eastAsia="方正仿宋_GBK" w:cs="Times New Roman" w:hAnsi="Times New Roman"/>
      <w:kern w:val="2"/>
      <w:sz w:val="32"/>
      <w:szCs w:val="20"/>
      <w:lang w:val="en-US" w:eastAsia="zh-CN" w:bidi="ar-SA"/>
    </w:rPr>
  </w:style>
  <w:style w:type="paragraph" w:customStyle="1" w:styleId="37">
    <w:name w:val="正文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39">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0">
    <w:name w:val="正文 New New New New New New New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41">
    <w:name w:val="样式 20 小四"/>
    <w:next w:val="17"/>
    <w:pPr>
      <w:widowControl w:val="0"/>
    </w:pPr>
    <w:rPr>
      <w:rFonts w:ascii="Times New Roman" w:eastAsia="宋体" w:cs="Times New Roman" w:hAnsi="Times New Roman"/>
      <w:sz w:val="24"/>
      <w:szCs w:val="30"/>
      <w:lang w:val="en-US" w:eastAsia="zh-CN" w:bidi="ar-SA"/>
    </w:rPr>
  </w:style>
  <w:style w:type="paragraph" w:customStyle="1" w:styleId="42">
    <w:name w:val="样式 三号 Char Char Char Char Char Char Char Char Char Char"/>
    <w:pPr>
      <w:widowControl w:val="0"/>
      <w:jc w:val="both"/>
    </w:pPr>
    <w:rPr>
      <w:rFonts w:ascii="Times New Roman" w:eastAsia="方正仿宋_GBK" w:cs="Times New Roman" w:hAnsi="Times New Roman"/>
      <w:kern w:val="2"/>
      <w:sz w:val="32"/>
      <w:szCs w:val="20"/>
      <w:lang w:val="en-US" w:eastAsia="zh-CN" w:bidi="ar-SA"/>
    </w:rPr>
  </w:style>
  <w:style w:type="paragraph" w:customStyle="1" w:styleId="43">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正文 New New New New New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46">
    <w:name w:val="正文 New New New New New New New New New New New"/>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7">
    <w:name w:val="页脚 New"/>
    <w:basedOn w:val="46"/>
    <w:pPr>
      <w:snapToGrid w:val="0"/>
      <w:spacing w:line="240" w:lineRule="auto"/>
      <w:jc w:val="center"/>
    </w:pPr>
    <w:rPr>
      <w:kern w:val="0"/>
      <w:sz w:val="28"/>
    </w:rPr>
  </w:style>
  <w:style w:type="paragraph" w:customStyle="1" w:styleId="48">
    <w:name w:val="样式 2 三号"/>
    <w:next w:val="35"/>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50">
    <w:name w:val="样式 3 小四"/>
    <w:pPr>
      <w:widowControl w:val="0"/>
    </w:pPr>
    <w:rPr>
      <w:rFonts w:ascii="宋体" w:eastAsia="宋体" w:cs="Times New Roman"/>
      <w:kern w:val="2"/>
      <w:sz w:val="24"/>
      <w:szCs w:val="20"/>
      <w:lang w:val="en-US" w:eastAsia="zh-CN" w:bidi="ar-SA"/>
    </w:rPr>
  </w:style>
  <w:style w:type="paragraph" w:customStyle="1" w:styleId="51">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三号 Char Char Char Char Char Char Char Char"/>
    <w:pPr>
      <w:widowControl w:val="0"/>
      <w:jc w:val="both"/>
    </w:pPr>
    <w:rPr>
      <w:rFonts w:ascii="Times New Roman" w:eastAsia="方正仿宋_GBK" w:cs="Times New Roman" w:hAnsi="Times New Roman"/>
      <w:kern w:val="2"/>
      <w:sz w:val="32"/>
      <w:szCs w:val="20"/>
      <w:lang w:val="en-US" w:eastAsia="zh-CN" w:bidi="ar-SA"/>
    </w:rPr>
  </w:style>
  <w:style w:type="paragraph" w:customStyle="1" w:styleId="55">
    <w:name w:val="正文 New New New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56">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正文 New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58">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59">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61">
    <w:name w:val="样式 三号 Char Char Char Char Char Char"/>
    <w:pPr>
      <w:widowControl w:val="0"/>
      <w:jc w:val="both"/>
    </w:pPr>
    <w:rPr>
      <w:rFonts w:ascii="Times New Roman" w:eastAsia="方正仿宋_GBK" w:cs="Times New Roman" w:hAnsi="Times New Roman"/>
      <w:kern w:val="2"/>
      <w:sz w:val="32"/>
      <w:szCs w:val="20"/>
      <w:lang w:val="en-US" w:eastAsia="zh-CN" w:bidi="ar-SA"/>
    </w:rPr>
  </w:style>
  <w:style w:type="paragraph" w:customStyle="1" w:styleId="62">
    <w:name w:val="样式 50 三号"/>
    <w:next w:val="18"/>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63">
    <w:name w:val="正文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64">
    <w:name w:val="正文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6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7 三号 New"/>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67">
    <w:name w:val="样式 12 三号"/>
    <w:next w:val="16"/>
    <w:pPr>
      <w:widowControl w:val="0"/>
      <w:jc w:val="both"/>
    </w:pPr>
    <w:rPr>
      <w:rFonts w:ascii="Times New Roman" w:eastAsia="方正仿宋_GBK" w:cs="Times New Roman" w:hAnsi="Times New Roman"/>
      <w:kern w:val="2"/>
      <w:sz w:val="32"/>
      <w:szCs w:val="20"/>
      <w:lang w:val="en-US" w:eastAsia="zh-CN" w:bidi="ar-SA"/>
    </w:rPr>
  </w:style>
  <w:style w:type="paragraph" w:customStyle="1" w:styleId="68">
    <w:name w:val="样式 小三 New New New New New"/>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三号 Char Char Char Char Char Char Char Char Char Char Char Char"/>
    <w:pPr>
      <w:widowControl w:val="0"/>
      <w:jc w:val="both"/>
    </w:pPr>
    <w:rPr>
      <w:rFonts w:ascii="Times New Roman" w:eastAsia="方正仿宋_GBK" w:cs="Times New Roman" w:hAnsi="Times New Roman"/>
      <w:kern w:val="2"/>
      <w:sz w:val="32"/>
      <w:szCs w:val="20"/>
      <w:lang w:val="en-US" w:eastAsia="zh-CN" w:bidi="ar-SA"/>
    </w:rPr>
  </w:style>
  <w:style w:type="paragraph" w:customStyle="1" w:styleId="70">
    <w:name w:val="样式 小三 New"/>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2">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73">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74">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75">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76">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77">
    <w:name w:val="样式 6 小四"/>
    <w:next w:val="69"/>
    <w:pPr>
      <w:widowControl w:val="0"/>
    </w:pPr>
    <w:rPr>
      <w:rFonts w:ascii="Times New Roman" w:eastAsia="宋体" w:cs="Times New Roman" w:hAnsi="Times New Roman"/>
      <w:sz w:val="24"/>
      <w:szCs w:val="30"/>
      <w:lang w:val="en-US" w:eastAsia="zh-CN" w:bidi="ar-SA"/>
    </w:rPr>
  </w:style>
  <w:style w:type="paragraph" w:customStyle="1" w:styleId="78">
    <w:name w:val="样式 8 三号 New"/>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79">
    <w:name w:val="正文 New New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80">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81">
    <w:name w:val="正文 New New New New New New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82">
    <w:name w:val="样式 小三 New New New"/>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83">
    <w:name w:val="样式 13 三号"/>
    <w:next w:val="23"/>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84">
    <w:name w:val="样式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85">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86">
    <w:name w:val="样式 三号 Char Char Char Char"/>
    <w:pPr>
      <w:widowControl w:val="0"/>
      <w:jc w:val="both"/>
    </w:pPr>
    <w:rPr>
      <w:rFonts w:ascii="Times New Roman" w:eastAsia="方正仿宋_GBK" w:cs="Times New Roman" w:hAnsi="Times New Roman"/>
      <w:kern w:val="2"/>
      <w:sz w:val="32"/>
      <w:szCs w:val="20"/>
      <w:lang w:val="en-US" w:eastAsia="zh-CN" w:bidi="ar-SA"/>
    </w:rPr>
  </w:style>
  <w:style w:type="paragraph" w:customStyle="1" w:styleId="87">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89">
    <w:name w:val="样式 2 小四"/>
    <w:pPr>
      <w:widowControl w:val="0"/>
    </w:pPr>
    <w:rPr>
      <w:rFonts w:ascii="Times New Roman" w:eastAsia="宋体" w:cs="Times New Roman" w:hAnsi="Times New Roman"/>
      <w:sz w:val="24"/>
      <w:szCs w:val="30"/>
      <w:lang w:val="en-US" w:eastAsia="zh-CN" w:bidi="ar-SA"/>
    </w:rPr>
  </w:style>
  <w:style w:type="paragraph" w:customStyle="1" w:styleId="90">
    <w:name w:val="样式 小三 New New New New"/>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2">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三号 Char Char"/>
    <w:pPr>
      <w:widowControl w:val="0"/>
      <w:jc w:val="both"/>
    </w:pPr>
    <w:rPr>
      <w:rFonts w:ascii="Times New Roman" w:eastAsia="方正仿宋_GBK" w:cs="Times New Roman" w:hAnsi="Times New Roman"/>
      <w:kern w:val="2"/>
      <w:sz w:val="32"/>
      <w:szCs w:val="20"/>
      <w:lang w:val="en-US" w:eastAsia="zh-CN" w:bidi="ar-SA"/>
    </w:rPr>
  </w:style>
  <w:style w:type="paragraph" w:customStyle="1" w:styleId="94">
    <w:name w:val="样式 小三 New New"/>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正文 New New New New New New New"/>
    <w:pPr>
      <w:widowControl w:val="0"/>
      <w:jc w:val="both"/>
    </w:pPr>
    <w:rPr>
      <w:rFonts w:ascii="Times New Roman" w:eastAsia="方正仿宋_GBK" w:cs="Times New Roman" w:hAnsi="Times New Roman"/>
      <w:kern w:val="2"/>
      <w:sz w:val="32"/>
      <w:szCs w:val="22"/>
      <w:lang w:val="en-US" w:eastAsia="zh-CN" w:bidi="ar-SA"/>
    </w:rPr>
  </w:style>
  <w:style w:type="paragraph" w:customStyle="1" w:styleId="96">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1 小四"/>
    <w:next w:val="42"/>
    <w:pPr>
      <w:widowControl w:val="0"/>
    </w:pPr>
    <w:rPr>
      <w:rFonts w:ascii="宋体" w:eastAsia="宋体" w:cs="Times New Roman"/>
      <w:kern w:val="2"/>
      <w:sz w:val="24"/>
      <w:szCs w:val="20"/>
      <w:lang w:val="en-US" w:eastAsia="zh-CN" w:bidi="ar-SA"/>
    </w:rPr>
  </w:style>
  <w:style w:type="paragraph" w:customStyle="1" w:styleId="98">
    <w:name w:val="样式 小四"/>
    <w:pPr>
      <w:widowControl w:val="0"/>
    </w:pPr>
    <w:rPr>
      <w:rFonts w:ascii="宋体" w:eastAsia="宋体" w:cs="Times New Roman"/>
      <w:kern w:val="2"/>
      <w:sz w:val="24"/>
      <w:szCs w:val="20"/>
      <w:lang w:val="en-US" w:eastAsia="zh-CN" w:bidi="ar-SA"/>
    </w:rPr>
  </w:style>
  <w:style w:type="paragraph" w:customStyle="1" w:styleId="99">
    <w:name w:val="样式 11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100">
    <w:name w:val="样式 4 小四"/>
    <w:next w:val="76"/>
    <w:pPr>
      <w:widowControl w:val="0"/>
      <w:spacing w:before="100" w:beforeAutospacing="1" w:after="100" w:afterAutospacing="1"/>
    </w:pPr>
    <w:rPr>
      <w:rFonts w:ascii="Times New Roman" w:eastAsia="宋体" w:cs="Times New Roman" w:hAnsi="Times New Roman"/>
      <w:sz w:val="24"/>
      <w:szCs w:val="24"/>
      <w:lang w:val="en-US" w:eastAsia="zh-CN" w:bidi="ar-SA"/>
    </w:rPr>
  </w:style>
  <w:style w:type="paragraph" w:customStyle="1" w:styleId="101">
    <w:name w:val="样式 1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02">
    <w:name w:val="样式 1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3">
    <w:name w:val="样式 1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104">
    <w:name w:val="样式 1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05">
    <w:name w:val="样式 1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06">
    <w:name w:val="样式 19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07">
    <w:name w:val="样式 20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08">
    <w:name w:val="样式 2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09">
    <w:name w:val="样式 2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0">
    <w:name w:val="样式 2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1">
    <w:name w:val="样式 2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2">
    <w:name w:val="样式 2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3">
    <w:name w:val="样式 2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4">
    <w:name w:val="样式 2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5">
    <w:name w:val="样式 2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116">
    <w:name w:val="样式 29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7">
    <w:name w:val="样式 3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118">
    <w:name w:val="样式 3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19">
    <w:name w:val="样式 32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120">
    <w:name w:val="样式 21 小三"/>
    <w:pPr>
      <w:widowControl w:val="0"/>
      <w:jc w:val="both"/>
    </w:pPr>
    <w:rPr>
      <w:rFonts w:ascii="Times New Roman" w:eastAsia="宋体" w:cs="Times New Roman" w:hAnsi="Times New Roman"/>
      <w:kern w:val="2"/>
      <w:sz w:val="30"/>
      <w:szCs w:val="30"/>
      <w:lang w:val="en-US" w:eastAsia="zh-CN" w:bidi="ar-SA"/>
    </w:rPr>
  </w:style>
  <w:style w:type="paragraph" w:styleId="121">
    <w:name w:val="annotation text"/>
    <w:basedOn w:val="0"/>
    <w:pPr>
      <w:jc w:val="left"/>
    </w:pPr>
  </w:style>
  <w:style w:type="paragraph" w:styleId="122">
    <w:name w:val="annotation subject"/>
    <w:basedOn w:val="121"/>
    <w:next w:val="121"/>
    <w:rPr>
      <w:b/>
    </w:rPr>
  </w:style>
  <w:style w:type="paragraph" w:customStyle="1" w:styleId="123">
    <w:name w:val="样式 3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24">
    <w:name w:val="样式 22 小三"/>
    <w:pPr>
      <w:widowControl w:val="0"/>
      <w:jc w:val="both"/>
    </w:pPr>
    <w:rPr>
      <w:rFonts w:ascii="Times New Roman" w:eastAsia="宋体" w:cs="Times New Roman" w:hAnsi="Times New Roman"/>
      <w:kern w:val="2"/>
      <w:sz w:val="30"/>
      <w:szCs w:val="3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8359</TotalTime>
  <Application>Yozo_Office</Application>
  <Pages>8</Pages>
  <Words>3036</Words>
  <Characters>3136</Characters>
  <Lines>454</Lines>
  <Paragraphs>313</Paragraphs>
  <CharactersWithSpaces>3136</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title>番禺海关2023年政府信息公开工作年度报告</dc:title>
  <dc:creator>吕大良</dc:creator>
  <cp:lastModifiedBy>Microsoft</cp:lastModifiedBy>
  <cp:revision>26</cp:revision>
  <cp:lastPrinted>2025-01-05T08:45:00Z</cp:lastPrinted>
  <dcterms:created xsi:type="dcterms:W3CDTF">2025-01-07T02:32:00Z</dcterms:created>
  <dcterms:modified xsi:type="dcterms:W3CDTF">2026-01-29T07:02:15Z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2052-6.12.0.8899</vt:lpwstr>
  </property>
  <property fmtid="{D5CDD505-2E9C-101B-9397-08002B2CF9AE}" pid="3" name="ICV">
    <vt:lpwstr>F7F73132ABCCD07073F17967318540C0_42</vt:lpwstr>
  </property>
</Properties>
</file>