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82"/>
        <w:jc w:val="center"/>
        <w:rPr>
          <w:rFonts w:ascii="方正黑体_GBK" w:eastAsia="方正黑体_GBK" w:cs="方正小标宋_GBK"/>
          <w:color w:val="000000"/>
          <w:szCs w:val="32"/>
        </w:rPr>
      </w:pPr>
      <w:bookmarkStart w:id="0" w:name="_Hlk25540369"/>
      <w:bookmarkStart w:id="1" w:name="cogw__正文__file"/>
      <w:r>
        <w:rPr>
          <w:rFonts w:ascii="方正小标宋_GBK" w:eastAsia="方正小标宋_GBK" w:cs="方正小标宋_GBK" w:hint="eastAsia"/>
          <w:color w:val="000000"/>
          <w:sz w:val="44"/>
          <w:szCs w:val="44"/>
        </w:rPr>
        <w:t>南沙海关2025年政府信息公开工作年度报告</w:t>
      </w:r>
      <w:bookmarkEnd w:id="0"/>
    </w:p>
    <w:p>
      <w:pPr>
        <w:pStyle w:val="25"/>
        <w:widowControl/>
        <w:shd w:val="clear" w:color="auto" w:fill="FFFFFF"/>
        <w:adjustRightInd w:val="0"/>
        <w:snapToGrid w:val="0"/>
        <w:spacing w:beforeAutospacing="0" w:afterAutospacing="0" w:line="560" w:lineRule="exact"/>
        <w:jc w:val="both"/>
        <w:rPr>
          <w:rFonts w:ascii="楷体_GB2312" w:eastAsia="楷体_GB2312" w:cs="楷体_GB2312"/>
          <w:bCs/>
          <w:color w:val="000000"/>
          <w:sz w:val="32"/>
          <w:szCs w:val="32"/>
          <w:shd w:val="clear" w:color="auto" w:fill="FFFFFF"/>
        </w:rPr>
      </w:pPr>
    </w:p>
    <w:p>
      <w:pPr>
        <w:pStyle w:val="26"/>
        <w:ind w:firstLineChars="200" w:firstLine="624"/>
        <w:rPr>
          <w:color w:val="000000"/>
        </w:rPr>
      </w:pPr>
      <w:r>
        <w:rPr>
          <w:rFonts w:hint="eastAsia"/>
          <w:color w:val="000000"/>
          <w:shd w:val="clear" w:color="auto" w:fill="FFFFFF"/>
        </w:rPr>
        <w:t>根据《中华人民共和国政府信息公开条例》</w:t>
      </w:r>
      <w:r>
        <w:rPr>
          <w:color w:val="000000"/>
          <w:spacing w:val="-8"/>
        </w:rPr>
        <w:t>《国务院办公厅政府信息与政务公开办公室关于政府信息公开工作年度报告有关事项的通知》《国务院办公厅政府信息与政务公开办公室关于印发〈中华人民共和国政府信息公开工作年度报告格式〉的通知》</w:t>
      </w:r>
      <w:r>
        <w:rPr>
          <w:rFonts w:hint="eastAsia"/>
          <w:color w:val="000000"/>
          <w:shd w:val="clear" w:color="auto" w:fill="FFFFFF"/>
        </w:rPr>
        <w:t>等规定，梳理</w:t>
      </w:r>
      <w:r>
        <w:rPr>
          <w:color w:val="000000"/>
          <w:shd w:val="clear" w:color="auto" w:fill="FFFFFF"/>
        </w:rPr>
        <w:t>编制</w:t>
      </w:r>
      <w:r>
        <w:rPr>
          <w:rFonts w:hint="eastAsia"/>
          <w:color w:val="000000"/>
          <w:shd w:val="clear" w:color="auto" w:fill="FFFFFF"/>
        </w:rPr>
        <w:t>南沙海关2025年政府信息公开工作</w:t>
      </w:r>
      <w:r>
        <w:rPr>
          <w:color w:val="000000"/>
          <w:shd w:val="clear" w:color="auto" w:fill="FFFFFF"/>
        </w:rPr>
        <w:t>年报</w:t>
      </w:r>
      <w:r>
        <w:rPr>
          <w:rFonts w:hint="eastAsia"/>
          <w:color w:val="000000"/>
          <w:shd w:val="clear" w:color="auto" w:fill="FFFFFF"/>
        </w:rPr>
        <w:t>。</w:t>
      </w:r>
      <w:r>
        <w:rPr>
          <w:color w:val="000000"/>
          <w:shd w:val="clear" w:color="auto" w:fill="FFFFFF"/>
        </w:rPr>
        <w:t>报告</w:t>
      </w:r>
      <w:r>
        <w:rPr>
          <w:rFonts w:hint="eastAsia"/>
          <w:color w:val="000000"/>
          <w:shd w:val="clear" w:color="auto" w:fill="FFFFFF"/>
        </w:rPr>
        <w:t>中所列数据的统计期限，自2025年1月1日起至2025年12月31日止。如对本</w:t>
      </w:r>
      <w:r>
        <w:rPr>
          <w:color w:val="000000"/>
          <w:shd w:val="clear" w:color="auto" w:fill="FFFFFF"/>
        </w:rPr>
        <w:t>报告</w:t>
      </w:r>
      <w:r>
        <w:rPr>
          <w:rFonts w:hint="eastAsia"/>
          <w:color w:val="000000"/>
          <w:shd w:val="clear" w:color="auto" w:fill="FFFFFF"/>
        </w:rPr>
        <w:t>有疑问或有</w:t>
      </w:r>
      <w:r>
        <w:rPr>
          <w:color w:val="000000"/>
          <w:shd w:val="clear" w:color="auto" w:fill="FFFFFF"/>
        </w:rPr>
        <w:t>任何</w:t>
      </w:r>
      <w:r>
        <w:rPr>
          <w:rFonts w:hint="eastAsia"/>
          <w:color w:val="000000"/>
          <w:shd w:val="clear" w:color="auto" w:fill="FFFFFF"/>
        </w:rPr>
        <w:t>意见、建议，请联系南沙海关办公室。地址：广东省广州市南沙区南沙街进港大道618号，邮编：511458；电话：020-81135505；电子邮箱：nshg@customs.gov.cn。</w:t>
      </w:r>
    </w:p>
    <w:p>
      <w:pPr>
        <w:pStyle w:val="25"/>
        <w:widowControl/>
        <w:shd w:val="clear" w:color="auto" w:fill="FFFFFF"/>
        <w:adjustRightInd w:val="0"/>
        <w:snapToGrid w:val="0"/>
        <w:spacing w:beforeAutospacing="0" w:afterAutospacing="0" w:line="560" w:lineRule="exact"/>
        <w:ind w:firstLineChars="200" w:firstLine="640"/>
        <w:jc w:val="both"/>
        <w:rPr>
          <w:rFonts w:ascii="方正黑体_GBK" w:eastAsia="方正黑体_GBK" w:cs="楷体_GB2312"/>
          <w:bCs/>
          <w:color w:val="000000"/>
          <w:sz w:val="32"/>
          <w:szCs w:val="32"/>
        </w:rPr>
      </w:pPr>
      <w:r>
        <w:rPr>
          <w:rFonts w:ascii="方正黑体_GBK" w:eastAsia="方正黑体_GBK" w:cs="楷体_GB2312" w:hint="eastAsia"/>
          <w:bCs/>
          <w:color w:val="000000"/>
          <w:sz w:val="32"/>
          <w:szCs w:val="32"/>
          <w:shd w:val="clear" w:color="auto" w:fill="FFFFFF"/>
        </w:rPr>
        <w:t>一、总体情况</w:t>
      </w:r>
    </w:p>
    <w:p>
      <w:pPr>
        <w:pStyle w:val="71"/>
        <w:adjustRightInd w:val="0"/>
        <w:snapToGrid w:val="0"/>
        <w:spacing w:line="560" w:lineRule="exact"/>
        <w:ind w:firstLineChars="200" w:firstLine="640"/>
        <w:jc w:val="both"/>
        <w:rPr>
          <w:rFonts w:ascii="Times New Roman" w:eastAsia="方正仿宋_GBK" w:hAnsi="Times New Roman"/>
          <w:color w:val="000000"/>
          <w:sz w:val="32"/>
          <w:szCs w:val="32"/>
        </w:rPr>
      </w:pPr>
      <w:r>
        <w:rPr>
          <w:rFonts w:ascii="Times New Roman" w:eastAsia="方正仿宋_GBK" w:hAnsi="Times New Roman"/>
          <w:color w:val="000000"/>
          <w:sz w:val="32"/>
          <w:szCs w:val="32"/>
        </w:rPr>
        <w:t>2025</w:t>
      </w:r>
      <w:r>
        <w:rPr>
          <w:rFonts w:ascii="Times New Roman" w:eastAsia="方正仿宋_GBK" w:hAnsi="Times New Roman" w:hint="eastAsia"/>
          <w:color w:val="000000"/>
          <w:sz w:val="32"/>
          <w:szCs w:val="32"/>
        </w:rPr>
        <w:t>年，南沙海关坚持以习近平新时代中国特色社会主义思想为指导，</w:t>
      </w:r>
      <w:r>
        <w:rPr>
          <w:rFonts w:ascii="Times New Roman" w:eastAsia="方正仿宋_GBK" w:cs="Arial" w:hAnsi="Times New Roman" w:hint="eastAsia"/>
          <w:color w:val="000000"/>
          <w:sz w:val="32"/>
          <w:szCs w:val="32"/>
        </w:rPr>
        <w:t>贯彻落实《中华人民共和国政府信息公开条例》</w:t>
      </w:r>
      <w:r>
        <w:rPr>
          <w:rFonts w:ascii="Times New Roman" w:eastAsia="方正仿宋_GBK" w:cs="Arial" w:hAnsi="Times New Roman"/>
          <w:color w:val="000000"/>
          <w:sz w:val="32"/>
          <w:szCs w:val="32"/>
        </w:rPr>
        <w:t>有关要求</w:t>
      </w:r>
      <w:r>
        <w:rPr>
          <w:rFonts w:ascii="Times New Roman" w:eastAsia="方正仿宋_GBK" w:cs="Arial" w:hAnsi="Times New Roman" w:hint="eastAsia"/>
          <w:color w:val="000000"/>
          <w:sz w:val="32"/>
          <w:szCs w:val="32"/>
        </w:rPr>
        <w:t>，</w:t>
      </w:r>
      <w:r>
        <w:rPr>
          <w:rFonts w:ascii="Times New Roman" w:eastAsia="方正仿宋_GBK" w:cs="Arial" w:hAnsi="Times New Roman"/>
          <w:color w:val="000000"/>
          <w:sz w:val="32"/>
          <w:szCs w:val="32"/>
        </w:rPr>
        <w:t>坚持公正、合法、便民原则，以规范促公开、促服务、促发展，聚焦企业群众需求，不断提升政务公开工作制度化、标准化、规范化水平</w:t>
      </w:r>
      <w:r>
        <w:rPr>
          <w:rFonts w:ascii="Times New Roman" w:eastAsia="方正仿宋_GBK" w:hAnsi="Times New Roman" w:hint="eastAsia"/>
          <w:color w:val="000000"/>
          <w:sz w:val="32"/>
          <w:szCs w:val="32"/>
        </w:rPr>
        <w:t>。</w:t>
      </w:r>
    </w:p>
    <w:p>
      <w:pPr>
        <w:pStyle w:val="148"/>
        <w:adjustRightInd w:val="0"/>
        <w:snapToGrid w:val="0"/>
        <w:spacing w:line="560" w:lineRule="exact"/>
        <w:ind w:firstLineChars="200" w:firstLine="640"/>
        <w:jc w:val="both"/>
        <w:rPr>
          <w:rFonts w:ascii="Times New Roman" w:eastAsia="方正楷体_GBK" w:hAnsi="Times New Roman"/>
          <w:b/>
          <w:bCs/>
          <w:color w:val="000000"/>
          <w:sz w:val="32"/>
          <w:szCs w:val="32"/>
        </w:rPr>
      </w:pPr>
      <w:r>
        <w:rPr>
          <w:rFonts w:ascii="Times New Roman" w:eastAsia="方正楷体_GBK" w:hAnsi="Times New Roman"/>
          <w:b/>
          <w:bCs/>
          <w:color w:val="000000"/>
          <w:sz w:val="32"/>
          <w:szCs w:val="32"/>
        </w:rPr>
        <w:t>（一）</w:t>
      </w:r>
      <w:r>
        <w:rPr>
          <w:rFonts w:ascii="Times New Roman" w:eastAsia="方正楷体_GBK" w:hAnsi="Times New Roman" w:hint="eastAsia"/>
          <w:b/>
          <w:bCs/>
          <w:color w:val="000000"/>
          <w:sz w:val="32"/>
          <w:szCs w:val="32"/>
        </w:rPr>
        <w:t>主动公开</w:t>
      </w:r>
      <w:r>
        <w:rPr>
          <w:rFonts w:ascii="Times New Roman" w:eastAsia="方正楷体_GBK" w:hAnsi="Times New Roman"/>
          <w:b/>
          <w:bCs/>
          <w:color w:val="000000"/>
          <w:sz w:val="32"/>
          <w:szCs w:val="32"/>
        </w:rPr>
        <w:t>情况。</w:t>
      </w:r>
    </w:p>
    <w:p>
      <w:pPr>
        <w:pStyle w:val="148"/>
        <w:adjustRightInd w:val="0"/>
        <w:snapToGrid w:val="0"/>
        <w:spacing w:line="560" w:lineRule="exact"/>
        <w:ind w:firstLineChars="200" w:firstLine="624"/>
        <w:jc w:val="both"/>
        <w:rPr>
          <w:rFonts w:ascii="Times New Roman" w:eastAsia="方正仿宋_GBK" w:hAnsi="Times New Roman"/>
          <w:color w:val="000000"/>
          <w:spacing w:val="-4"/>
          <w:sz w:val="32"/>
        </w:rPr>
      </w:pPr>
      <w:r>
        <w:rPr>
          <w:rFonts w:ascii="Times New Roman" w:eastAsia="方正仿宋_GBK" w:hAnsi="Times New Roman"/>
          <w:color w:val="000000"/>
          <w:spacing w:val="-4"/>
          <w:sz w:val="32"/>
        </w:rPr>
        <w:t>以广州海关门户网站为主要阵地，围绕企业群众关注的机构信息、行政许可及行政处罚、</w:t>
      </w:r>
      <w:r>
        <w:rPr>
          <w:rFonts w:ascii="Times New Roman" w:eastAsia="方正仿宋_GBK" w:hAnsi="Times New Roman" w:hint="eastAsia"/>
          <w:color w:val="000000"/>
          <w:spacing w:val="-4"/>
          <w:sz w:val="32"/>
        </w:rPr>
        <w:t>“</w:t>
      </w:r>
      <w:r>
        <w:rPr>
          <w:rFonts w:ascii="Times New Roman" w:eastAsia="方正仿宋_GBK" w:hAnsi="Times New Roman"/>
          <w:color w:val="000000"/>
          <w:spacing w:val="-4"/>
          <w:sz w:val="32"/>
        </w:rPr>
        <w:t>双随机、一公开</w:t>
      </w:r>
      <w:r>
        <w:rPr>
          <w:rFonts w:ascii="Times New Roman" w:eastAsia="方正仿宋_GBK" w:hAnsi="Times New Roman" w:hint="eastAsia"/>
          <w:color w:val="000000"/>
          <w:spacing w:val="-4"/>
          <w:sz w:val="32"/>
        </w:rPr>
        <w:t>”</w:t>
      </w:r>
      <w:r>
        <w:rPr>
          <w:rFonts w:ascii="Times New Roman" w:eastAsia="方正仿宋_GBK" w:hAnsi="Times New Roman"/>
          <w:color w:val="000000"/>
          <w:spacing w:val="-4"/>
          <w:sz w:val="32"/>
        </w:rPr>
        <w:t>、财务预决算信息、涉案财务拍卖处置、采购意向及公告、中标公示以及关长接待日等重点领域，高效、规范、及时地发布法定主动公开内容。</w:t>
      </w:r>
    </w:p>
    <w:p>
      <w:pPr>
        <w:pStyle w:val="148"/>
        <w:adjustRightInd w:val="0"/>
        <w:snapToGrid w:val="0"/>
        <w:spacing w:line="560" w:lineRule="exact"/>
        <w:ind w:firstLineChars="200" w:firstLine="640"/>
        <w:jc w:val="both"/>
        <w:rPr>
          <w:rFonts w:ascii="Times New Roman" w:eastAsia="方正楷体_GBK" w:hAnsi="Times New Roman"/>
          <w:b/>
          <w:bCs/>
          <w:color w:val="000000"/>
          <w:sz w:val="32"/>
          <w:szCs w:val="32"/>
        </w:rPr>
      </w:pPr>
      <w:r>
        <w:rPr>
          <w:rFonts w:ascii="Times New Roman" w:eastAsia="方正楷体_GBK" w:hAnsi="Times New Roman"/>
          <w:b/>
          <w:bCs/>
          <w:color w:val="000000"/>
          <w:sz w:val="32"/>
          <w:szCs w:val="32"/>
        </w:rPr>
        <w:t>（二）依申请</w:t>
      </w:r>
      <w:r>
        <w:rPr>
          <w:rFonts w:ascii="Times New Roman" w:eastAsia="方正楷体_GBK" w:hAnsi="Times New Roman" w:hint="eastAsia"/>
          <w:b/>
          <w:bCs/>
          <w:color w:val="000000"/>
          <w:sz w:val="32"/>
          <w:szCs w:val="32"/>
        </w:rPr>
        <w:t>公开</w:t>
      </w:r>
      <w:r>
        <w:rPr>
          <w:rFonts w:ascii="Times New Roman" w:eastAsia="方正楷体_GBK" w:hAnsi="Times New Roman"/>
          <w:b/>
          <w:bCs/>
          <w:color w:val="000000"/>
          <w:sz w:val="32"/>
          <w:szCs w:val="32"/>
        </w:rPr>
        <w:t>情况。</w:t>
      </w:r>
    </w:p>
    <w:p>
      <w:pPr>
        <w:pStyle w:val="149"/>
        <w:adjustRightInd w:val="0"/>
        <w:snapToGrid w:val="0"/>
        <w:ind w:firstLineChars="200" w:firstLine="624"/>
        <w:rPr>
          <w:rFonts w:hint="eastAsia"/>
          <w:color w:val="000000"/>
        </w:rPr>
      </w:pPr>
      <w:r>
        <w:rPr>
          <w:color w:val="000000"/>
        </w:rPr>
        <w:t>持续畅通政府信息公开申请渠道，推进依申请公开办理程序规范化，进一步提升接收、确认、办理、答复、归档等全流程的标准化水平。坚持</w:t>
      </w:r>
      <w:r>
        <w:rPr>
          <w:rFonts w:hint="eastAsia"/>
          <w:color w:val="000000"/>
        </w:rPr>
        <w:t>“</w:t>
      </w:r>
      <w:r>
        <w:rPr>
          <w:color w:val="000000"/>
        </w:rPr>
        <w:t>利企便民</w:t>
      </w:r>
      <w:r>
        <w:rPr>
          <w:rFonts w:hint="eastAsia"/>
          <w:color w:val="000000"/>
        </w:rPr>
        <w:t>”</w:t>
      </w:r>
      <w:r>
        <w:rPr>
          <w:color w:val="000000"/>
        </w:rPr>
        <w:t>理念，强化与申请人沟通交流，及时回应申请人诉求。2025年共收到政府信息公开申请28件</w:t>
      </w:r>
      <w:r>
        <w:rPr>
          <w:rFonts w:hint="eastAsia"/>
          <w:color w:val="000000"/>
        </w:rPr>
        <w:t>，</w:t>
      </w:r>
      <w:r>
        <w:rPr>
          <w:color w:val="000000"/>
        </w:rPr>
        <w:t>上年结转1件，全年共办理29件。因政府信息公开引发行政复议1件，后申请人主动撤销；未发生因政府信息公开引发的行政诉讼。</w:t>
      </w:r>
    </w:p>
    <w:p>
      <w:pPr>
        <w:pStyle w:val="148"/>
        <w:adjustRightInd w:val="0"/>
        <w:snapToGrid w:val="0"/>
        <w:spacing w:line="560" w:lineRule="exact"/>
        <w:ind w:firstLineChars="200" w:firstLine="640"/>
        <w:jc w:val="both"/>
        <w:rPr>
          <w:rFonts w:ascii="Times New Roman" w:eastAsia="方正楷体_GBK" w:hAnsi="Times New Roman"/>
          <w:b/>
          <w:bCs/>
          <w:color w:val="000000"/>
          <w:sz w:val="32"/>
          <w:szCs w:val="32"/>
        </w:rPr>
      </w:pPr>
      <w:r>
        <w:rPr>
          <w:rFonts w:ascii="Times New Roman" w:eastAsia="方正楷体_GBK" w:hAnsi="Times New Roman"/>
          <w:b/>
          <w:bCs/>
          <w:color w:val="000000"/>
          <w:sz w:val="32"/>
          <w:szCs w:val="32"/>
        </w:rPr>
        <w:t>（三）政府信息管理及监督保障情况。</w:t>
      </w:r>
    </w:p>
    <w:p>
      <w:pPr>
        <w:pStyle w:val="148"/>
        <w:adjustRightInd w:val="0"/>
        <w:snapToGrid w:val="0"/>
        <w:spacing w:line="560" w:lineRule="exact"/>
        <w:ind w:firstLineChars="200" w:firstLine="624"/>
        <w:jc w:val="both"/>
        <w:rPr>
          <w:rFonts w:ascii="Times New Roman" w:eastAsia="方正仿宋_GBK" w:hAnsi="Times New Roman"/>
          <w:bCs/>
          <w:color w:val="000000"/>
          <w:spacing w:val="-4"/>
          <w:sz w:val="32"/>
        </w:rPr>
      </w:pPr>
      <w:r>
        <w:rPr>
          <w:rFonts w:ascii="Times New Roman" w:eastAsia="方正仿宋_GBK" w:hAnsi="Times New Roman"/>
          <w:color w:val="000000"/>
          <w:spacing w:val="-4"/>
          <w:sz w:val="32"/>
        </w:rPr>
        <w:t>严格落实《</w:t>
      </w:r>
      <w:r>
        <w:rPr>
          <w:rFonts w:ascii="Times New Roman" w:eastAsia="方正仿宋_GBK" w:cs="Arial" w:hAnsi="Times New Roman" w:hint="eastAsia"/>
          <w:color w:val="000000"/>
          <w:sz w:val="32"/>
          <w:szCs w:val="32"/>
        </w:rPr>
        <w:t>中华人民共和国政府信息公开</w:t>
      </w:r>
      <w:r>
        <w:rPr>
          <w:rFonts w:ascii="Times New Roman" w:eastAsia="方正仿宋_GBK" w:hAnsi="Times New Roman"/>
          <w:color w:val="000000"/>
          <w:spacing w:val="-4"/>
          <w:sz w:val="32"/>
        </w:rPr>
        <w:t>条例》法定主动公开要求，按照</w:t>
      </w:r>
      <w:r>
        <w:rPr>
          <w:rFonts w:ascii="Times New Roman" w:eastAsia="方正仿宋_GBK" w:hAnsi="Times New Roman" w:hint="eastAsia"/>
          <w:color w:val="000000"/>
          <w:spacing w:val="-4"/>
          <w:sz w:val="32"/>
        </w:rPr>
        <w:t>“</w:t>
      </w:r>
      <w:r>
        <w:rPr>
          <w:rFonts w:ascii="Times New Roman" w:eastAsia="方正仿宋_GBK" w:hAnsi="Times New Roman"/>
          <w:color w:val="000000"/>
          <w:spacing w:val="-4"/>
          <w:sz w:val="32"/>
        </w:rPr>
        <w:t>谁制作、谁公开</w:t>
      </w:r>
      <w:r>
        <w:rPr>
          <w:rFonts w:ascii="Times New Roman" w:eastAsia="方正仿宋_GBK" w:hAnsi="Times New Roman" w:hint="eastAsia"/>
          <w:color w:val="000000"/>
          <w:spacing w:val="-4"/>
          <w:sz w:val="32"/>
        </w:rPr>
        <w:t>”“</w:t>
      </w:r>
      <w:r>
        <w:rPr>
          <w:rFonts w:ascii="Times New Roman" w:eastAsia="方正仿宋_GBK" w:hAnsi="Times New Roman"/>
          <w:color w:val="000000"/>
          <w:spacing w:val="-4"/>
          <w:sz w:val="32"/>
        </w:rPr>
        <w:t>先审查、后公开</w:t>
      </w:r>
      <w:r>
        <w:rPr>
          <w:rFonts w:ascii="Times New Roman" w:eastAsia="方正仿宋_GBK" w:hAnsi="Times New Roman" w:hint="eastAsia"/>
          <w:color w:val="000000"/>
          <w:spacing w:val="-4"/>
          <w:sz w:val="32"/>
        </w:rPr>
        <w:t>”</w:t>
      </w:r>
      <w:r>
        <w:rPr>
          <w:rFonts w:ascii="Times New Roman" w:eastAsia="方正仿宋_GBK" w:hAnsi="Times New Roman"/>
          <w:bCs/>
          <w:color w:val="000000"/>
          <w:spacing w:val="-4"/>
          <w:sz w:val="32"/>
        </w:rPr>
        <w:t>原则，执行政府</w:t>
      </w:r>
      <w:r>
        <w:rPr>
          <w:rFonts w:ascii="Times New Roman" w:eastAsia="方正仿宋_GBK" w:hAnsi="Times New Roman" w:hint="eastAsia"/>
          <w:bCs/>
          <w:color w:val="000000"/>
          <w:spacing w:val="-4"/>
          <w:sz w:val="32"/>
        </w:rPr>
        <w:t>信息公开</w:t>
      </w:r>
      <w:r>
        <w:rPr>
          <w:rFonts w:ascii="Times New Roman" w:eastAsia="方正仿宋_GBK" w:hAnsi="Times New Roman"/>
          <w:bCs/>
          <w:color w:val="000000"/>
          <w:spacing w:val="-4"/>
          <w:sz w:val="32"/>
        </w:rPr>
        <w:t>发布</w:t>
      </w:r>
      <w:r>
        <w:rPr>
          <w:rFonts w:ascii="Times New Roman" w:eastAsia="方正仿宋_GBK" w:hAnsi="Times New Roman" w:hint="eastAsia"/>
          <w:bCs/>
          <w:color w:val="000000"/>
          <w:spacing w:val="-4"/>
          <w:sz w:val="32"/>
        </w:rPr>
        <w:t>审查</w:t>
      </w:r>
      <w:r>
        <w:rPr>
          <w:rFonts w:ascii="Times New Roman" w:eastAsia="方正仿宋_GBK" w:hAnsi="Times New Roman"/>
          <w:bCs/>
          <w:color w:val="000000"/>
          <w:spacing w:val="-4"/>
          <w:sz w:val="32"/>
        </w:rPr>
        <w:t>制度，确保行政许可、行政处罚等信息在法定期限内及时、准确公开，保障企业群众知情权。定期对已发布信息进行监督检查，对公示信息内容错误、表述不规范等情况及时督促整改，着力提升政府信息公开工作质效</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lang w:val="en-US"/>
        </w:rPr>
        <w:t>紧盯关区业务咨询答复质量，严格落实</w:t>
      </w:r>
      <w:r>
        <w:rPr>
          <w:rFonts w:ascii="Times New Roman" w:eastAsia="方正仿宋_GBK" w:hAnsi="Times New Roman" w:hint="eastAsia"/>
          <w:bCs/>
          <w:color w:val="000000"/>
          <w:spacing w:val="-4"/>
          <w:sz w:val="32"/>
          <w:lang w:val="en-US"/>
        </w:rPr>
        <w:t>“</w:t>
      </w:r>
      <w:r>
        <w:rPr>
          <w:rFonts w:ascii="Times New Roman" w:eastAsia="方正仿宋_GBK" w:hAnsi="Times New Roman"/>
          <w:bCs/>
          <w:color w:val="000000"/>
          <w:spacing w:val="-4"/>
          <w:sz w:val="32"/>
          <w:lang w:val="en-US"/>
        </w:rPr>
        <w:t>首问责任制</w:t>
      </w:r>
      <w:r>
        <w:rPr>
          <w:rFonts w:ascii="Times New Roman" w:eastAsia="方正仿宋_GBK" w:hAnsi="Times New Roman" w:hint="eastAsia"/>
          <w:bCs/>
          <w:color w:val="000000"/>
          <w:spacing w:val="-4"/>
          <w:sz w:val="32"/>
          <w:lang w:val="en-US"/>
        </w:rPr>
        <w:t>”</w:t>
      </w:r>
      <w:r>
        <w:rPr>
          <w:rFonts w:ascii="Times New Roman" w:eastAsia="方正仿宋_GBK" w:hAnsi="Times New Roman"/>
          <w:bCs/>
          <w:color w:val="000000"/>
          <w:spacing w:val="-4"/>
          <w:sz w:val="32"/>
          <w:lang w:val="en-US"/>
        </w:rPr>
        <w:t>，创新咨询电话集约化管理模式，</w:t>
      </w:r>
      <w:r>
        <w:rPr>
          <w:rFonts w:ascii="Times New Roman" w:eastAsia="方正仿宋_GBK" w:hAnsi="Times New Roman" w:hint="eastAsia"/>
          <w:bCs/>
          <w:color w:val="000000"/>
          <w:spacing w:val="-4"/>
          <w:sz w:val="32"/>
          <w:lang w:val="en-US"/>
        </w:rPr>
        <w:t>持续提升</w:t>
      </w:r>
      <w:r>
        <w:rPr>
          <w:rFonts w:ascii="Times New Roman" w:eastAsia="方正仿宋_GBK" w:hAnsi="Times New Roman"/>
          <w:bCs/>
          <w:color w:val="000000"/>
          <w:spacing w:val="-4"/>
          <w:sz w:val="32"/>
          <w:lang w:val="en-US"/>
        </w:rPr>
        <w:t>咨询受理答复</w:t>
      </w:r>
      <w:r>
        <w:rPr>
          <w:rFonts w:ascii="Times New Roman" w:eastAsia="方正仿宋_GBK" w:hAnsi="Times New Roman" w:hint="eastAsia"/>
          <w:bCs/>
          <w:color w:val="000000"/>
          <w:spacing w:val="-4"/>
          <w:sz w:val="32"/>
          <w:lang w:val="en-US"/>
        </w:rPr>
        <w:t>规范化水平</w:t>
      </w:r>
      <w:r>
        <w:rPr>
          <w:rFonts w:ascii="Times New Roman" w:eastAsia="方正仿宋_GBK" w:hAnsi="Times New Roman" w:hint="eastAsia"/>
          <w:bCs/>
          <w:color w:val="000000"/>
          <w:spacing w:val="-4"/>
          <w:sz w:val="32"/>
        </w:rPr>
        <w:t>。</w:t>
      </w:r>
    </w:p>
    <w:p>
      <w:pPr>
        <w:pStyle w:val="148"/>
        <w:adjustRightInd w:val="0"/>
        <w:snapToGrid w:val="0"/>
        <w:spacing w:line="560" w:lineRule="exact"/>
        <w:ind w:firstLineChars="200" w:firstLine="640"/>
        <w:jc w:val="both"/>
        <w:rPr>
          <w:rFonts w:ascii="Times New Roman" w:eastAsia="方正楷体_GBK" w:hAnsi="Times New Roman"/>
          <w:b/>
          <w:bCs/>
          <w:color w:val="000000"/>
          <w:sz w:val="32"/>
          <w:szCs w:val="32"/>
        </w:rPr>
      </w:pPr>
      <w:r>
        <w:rPr>
          <w:rFonts w:ascii="Times New Roman" w:eastAsia="方正楷体_GBK" w:hAnsi="Times New Roman"/>
          <w:b/>
          <w:bCs/>
          <w:color w:val="000000"/>
          <w:sz w:val="32"/>
          <w:szCs w:val="32"/>
        </w:rPr>
        <w:t>（四）政务公开平台建设情况。</w:t>
      </w:r>
    </w:p>
    <w:p>
      <w:pPr>
        <w:pStyle w:val="148"/>
        <w:adjustRightInd w:val="0"/>
        <w:snapToGrid w:val="0"/>
        <w:spacing w:line="560" w:lineRule="exact"/>
        <w:ind w:firstLineChars="200" w:firstLine="624"/>
        <w:rPr>
          <w:rFonts w:ascii="Times New Roman" w:eastAsia="方正仿宋_GBK" w:hAnsi="Times New Roman"/>
          <w:bCs/>
          <w:color w:val="000000"/>
          <w:spacing w:val="-4"/>
          <w:sz w:val="32"/>
        </w:rPr>
      </w:pPr>
      <w:r>
        <w:rPr>
          <w:rFonts w:ascii="Times New Roman" w:eastAsia="方正仿宋_GBK" w:hAnsi="Times New Roman" w:hint="eastAsia"/>
          <w:bCs/>
          <w:color w:val="000000"/>
          <w:spacing w:val="-4"/>
          <w:sz w:val="32"/>
        </w:rPr>
        <w:t>一是</w:t>
      </w:r>
      <w:r>
        <w:rPr>
          <w:rFonts w:ascii="Times New Roman" w:eastAsia="方正仿宋_GBK" w:hAnsi="Times New Roman"/>
          <w:bCs/>
          <w:color w:val="000000"/>
          <w:spacing w:val="-4"/>
          <w:sz w:val="32"/>
          <w:lang w:val="en-US"/>
        </w:rPr>
        <w:t>持续</w:t>
      </w:r>
      <w:r>
        <w:rPr>
          <w:rFonts w:ascii="Times New Roman" w:eastAsia="方正仿宋_GBK" w:hAnsi="Times New Roman"/>
          <w:bCs/>
          <w:color w:val="000000"/>
          <w:spacing w:val="-4"/>
          <w:sz w:val="32"/>
        </w:rPr>
        <w:t>畅通关企沟通渠道，依托南沙海关政务公开、预约通关、</w:t>
      </w:r>
      <w:r>
        <w:rPr>
          <w:rFonts w:ascii="Times New Roman" w:eastAsia="方正仿宋_GBK" w:hAnsi="Times New Roman" w:hint="eastAsia"/>
          <w:bCs/>
          <w:color w:val="000000"/>
          <w:spacing w:val="-4"/>
          <w:sz w:val="32"/>
        </w:rPr>
        <w:t>通关需求收集</w:t>
      </w:r>
      <w:r>
        <w:rPr>
          <w:rFonts w:ascii="Times New Roman" w:eastAsia="方正仿宋_GBK" w:hAnsi="Times New Roman"/>
          <w:bCs/>
          <w:color w:val="000000"/>
          <w:spacing w:val="-4"/>
          <w:sz w:val="32"/>
        </w:rPr>
        <w:t>等</w:t>
      </w:r>
      <w:r>
        <w:rPr>
          <w:rFonts w:ascii="Times New Roman" w:eastAsia="方正仿宋_GBK" w:hAnsi="Times New Roman" w:hint="eastAsia"/>
          <w:bCs/>
          <w:color w:val="000000"/>
          <w:spacing w:val="-4"/>
          <w:sz w:val="32"/>
        </w:rPr>
        <w:t>邮箱</w:t>
      </w:r>
      <w:r>
        <w:rPr>
          <w:rFonts w:ascii="Times New Roman" w:eastAsia="方正仿宋_GBK" w:hAnsi="Times New Roman"/>
          <w:bCs/>
          <w:color w:val="000000"/>
          <w:spacing w:val="-4"/>
          <w:sz w:val="32"/>
        </w:rPr>
        <w:t>以及南沙海关政务公开电话、基层政务公开专区等渠道，线上线下收集企业群众通关诉求和建议，及时予以回应，优化企业群众办事体验；二是进一步深化</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rPr>
        <w:t>关企沟通</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rPr>
        <w:t>机制，</w:t>
      </w:r>
      <w:r>
        <w:rPr>
          <w:rFonts w:ascii="Times New Roman" w:eastAsia="方正仿宋_GBK" w:hAnsi="Times New Roman" w:hint="eastAsia"/>
          <w:bCs/>
          <w:color w:val="000000"/>
          <w:spacing w:val="-4"/>
          <w:sz w:val="32"/>
        </w:rPr>
        <w:t>通过“关长联系企业”、“关长接待日”、“南枫解意”工作室等平台，送政策上门</w:t>
      </w:r>
      <w:r>
        <w:rPr>
          <w:rFonts w:ascii="Times New Roman" w:eastAsia="方正仿宋_GBK" w:hAnsi="Times New Roman"/>
          <w:bCs/>
          <w:color w:val="000000"/>
          <w:spacing w:val="-4"/>
          <w:sz w:val="32"/>
        </w:rPr>
        <w:t>、</w:t>
      </w:r>
      <w:r>
        <w:rPr>
          <w:rFonts w:ascii="Times New Roman" w:eastAsia="方正仿宋_GBK" w:hAnsi="Times New Roman" w:hint="eastAsia"/>
          <w:bCs/>
          <w:color w:val="000000"/>
          <w:spacing w:val="-4"/>
          <w:sz w:val="32"/>
        </w:rPr>
        <w:t>问题清零，切实解决外贸发展和企业进出口的困难和问题，全面优化海关监管服务。</w:t>
      </w:r>
      <w:r>
        <w:rPr>
          <w:rFonts w:ascii="Times New Roman" w:eastAsia="方正仿宋_GBK" w:hAnsi="Times New Roman"/>
          <w:bCs/>
          <w:color w:val="000000"/>
          <w:spacing w:val="-4"/>
          <w:sz w:val="32"/>
        </w:rPr>
        <w:t>2025年累计开展关长联系企业活动130余次，收到企业</w:t>
      </w:r>
      <w:r>
        <w:rPr>
          <w:rFonts w:ascii="Times New Roman" w:eastAsia="方正仿宋_GBK" w:hAnsi="Times New Roman" w:hint="eastAsia"/>
          <w:bCs/>
          <w:color w:val="000000"/>
          <w:spacing w:val="-4"/>
          <w:sz w:val="32"/>
        </w:rPr>
        <w:t>“关长接待日”</w:t>
      </w:r>
      <w:r>
        <w:rPr>
          <w:rFonts w:ascii="Times New Roman" w:eastAsia="方正仿宋_GBK" w:hAnsi="Times New Roman"/>
          <w:bCs/>
          <w:color w:val="000000"/>
          <w:spacing w:val="-4"/>
          <w:sz w:val="32"/>
        </w:rPr>
        <w:t>预约10余次；</w:t>
      </w:r>
      <w:r>
        <w:rPr>
          <w:rFonts w:ascii="Times New Roman" w:eastAsia="方正仿宋_GBK" w:hAnsi="Times New Roman"/>
          <w:bCs/>
          <w:color w:val="000000"/>
          <w:spacing w:val="-4"/>
          <w:sz w:val="32"/>
          <w:lang w:val="en-US"/>
        </w:rPr>
        <w:t>三是</w:t>
      </w:r>
      <w:r>
        <w:rPr>
          <w:rFonts w:ascii="Times New Roman" w:eastAsia="方正仿宋_GBK" w:hAnsi="Times New Roman" w:hint="eastAsia"/>
          <w:bCs/>
          <w:color w:val="000000"/>
          <w:spacing w:val="-4"/>
          <w:sz w:val="32"/>
        </w:rPr>
        <w:t>针对性开展“海关进企业</w:t>
      </w:r>
      <w:r>
        <w:rPr>
          <w:rFonts w:ascii="Times New Roman" w:eastAsia="方正仿宋_GBK" w:hAnsi="Times New Roman" w:hint="eastAsia"/>
          <w:bCs/>
          <w:color w:val="000000"/>
          <w:spacing w:val="-4"/>
          <w:sz w:val="32"/>
          <w:lang w:val="en-US"/>
        </w:rPr>
        <w:t>、</w:t>
      </w:r>
      <w:r>
        <w:rPr>
          <w:rFonts w:ascii="Times New Roman" w:eastAsia="方正仿宋_GBK" w:hAnsi="Times New Roman" w:hint="eastAsia"/>
          <w:bCs/>
          <w:color w:val="000000"/>
          <w:spacing w:val="-4"/>
          <w:sz w:val="32"/>
        </w:rPr>
        <w:t>海关进社区</w:t>
      </w:r>
      <w:r>
        <w:rPr>
          <w:rFonts w:ascii="Times New Roman" w:eastAsia="方正仿宋_GBK" w:hAnsi="Times New Roman" w:hint="eastAsia"/>
          <w:bCs/>
          <w:color w:val="000000"/>
          <w:spacing w:val="-4"/>
          <w:sz w:val="32"/>
          <w:lang w:val="en-US"/>
        </w:rPr>
        <w:t>、</w:t>
      </w:r>
      <w:r>
        <w:rPr>
          <w:rFonts w:ascii="Times New Roman" w:eastAsia="方正仿宋_GBK" w:hAnsi="Times New Roman" w:hint="eastAsia"/>
          <w:bCs/>
          <w:color w:val="000000"/>
          <w:spacing w:val="-4"/>
          <w:sz w:val="32"/>
        </w:rPr>
        <w:t>海关进校园”</w:t>
      </w:r>
      <w:r>
        <w:rPr>
          <w:rFonts w:ascii="Times New Roman" w:eastAsia="方正仿宋_GBK" w:hAnsi="Times New Roman" w:hint="eastAsia"/>
          <w:bCs/>
          <w:color w:val="000000"/>
          <w:spacing w:val="-4"/>
          <w:sz w:val="32"/>
          <w:lang w:val="en-US"/>
        </w:rPr>
        <w:t>——“三进”</w:t>
      </w:r>
      <w:r>
        <w:rPr>
          <w:rFonts w:ascii="Times New Roman" w:eastAsia="方正仿宋_GBK" w:hAnsi="Times New Roman" w:hint="eastAsia"/>
          <w:bCs/>
          <w:color w:val="000000"/>
          <w:spacing w:val="-4"/>
          <w:sz w:val="32"/>
        </w:rPr>
        <w:t>品牌活动</w:t>
      </w:r>
      <w:r>
        <w:rPr>
          <w:rFonts w:ascii="Times New Roman" w:eastAsia="方正仿宋_GBK" w:hAnsi="Times New Roman"/>
          <w:bCs/>
          <w:color w:val="000000"/>
          <w:spacing w:val="-4"/>
          <w:sz w:val="32"/>
        </w:rPr>
        <w:t>80</w:t>
      </w:r>
      <w:r>
        <w:rPr>
          <w:rFonts w:ascii="Times New Roman" w:eastAsia="方正仿宋_GBK" w:hAnsi="Times New Roman" w:hint="eastAsia"/>
          <w:bCs/>
          <w:color w:val="000000"/>
          <w:spacing w:val="-4"/>
          <w:sz w:val="32"/>
        </w:rPr>
        <w:t>余次，为辖区企业</w:t>
      </w:r>
      <w:r>
        <w:rPr>
          <w:rFonts w:ascii="Times New Roman" w:eastAsia="方正仿宋_GBK" w:hAnsi="Times New Roman"/>
          <w:bCs/>
          <w:color w:val="000000"/>
          <w:spacing w:val="-4"/>
          <w:sz w:val="32"/>
        </w:rPr>
        <w:t>常态化</w:t>
      </w:r>
      <w:r>
        <w:rPr>
          <w:rFonts w:ascii="Times New Roman" w:eastAsia="方正仿宋_GBK" w:hAnsi="Times New Roman" w:hint="eastAsia"/>
          <w:bCs/>
          <w:color w:val="000000"/>
          <w:spacing w:val="-4"/>
          <w:sz w:val="32"/>
        </w:rPr>
        <w:t>提供</w:t>
      </w:r>
      <w:r>
        <w:rPr>
          <w:rFonts w:ascii="Times New Roman" w:eastAsia="方正仿宋_GBK" w:hAnsi="Times New Roman"/>
          <w:bCs/>
          <w:color w:val="000000"/>
          <w:spacing w:val="-4"/>
          <w:sz w:val="32"/>
        </w:rPr>
        <w:t>AEO培育、规范申报、出口管制、税收征管等政策宣讲服务，在</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rPr>
        <w:t>榴莲季</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rPr>
        <w:t>车厘子季</w:t>
      </w:r>
      <w:r>
        <w:rPr>
          <w:rFonts w:ascii="Times New Roman" w:eastAsia="方正仿宋_GBK" w:hAnsi="Times New Roman" w:hint="eastAsia"/>
          <w:bCs/>
          <w:color w:val="000000"/>
          <w:spacing w:val="-4"/>
          <w:sz w:val="32"/>
        </w:rPr>
        <w:t>”</w:t>
      </w:r>
      <w:r>
        <w:rPr>
          <w:rFonts w:ascii="Times New Roman" w:eastAsia="方正仿宋_GBK" w:hAnsi="Times New Roman"/>
          <w:bCs/>
          <w:color w:val="000000"/>
          <w:spacing w:val="-4"/>
          <w:sz w:val="32"/>
        </w:rPr>
        <w:t>向相关企业提供专项政策宣讲服务</w:t>
      </w:r>
      <w:r>
        <w:rPr>
          <w:rFonts w:ascii="Times New Roman" w:eastAsia="方正仿宋_GBK" w:hAnsi="Times New Roman" w:hint="eastAsia"/>
          <w:bCs/>
          <w:color w:val="000000"/>
          <w:spacing w:val="-4"/>
          <w:sz w:val="32"/>
        </w:rPr>
        <w:t>，全年共收到企业群众赠送锦旗</w:t>
      </w:r>
      <w:r>
        <w:rPr>
          <w:rFonts w:ascii="Times New Roman" w:eastAsia="方正仿宋_GBK" w:hAnsi="Times New Roman"/>
          <w:bCs/>
          <w:color w:val="000000"/>
          <w:spacing w:val="-4"/>
          <w:sz w:val="32"/>
        </w:rPr>
        <w:t>30</w:t>
      </w:r>
      <w:r>
        <w:rPr>
          <w:rFonts w:ascii="Times New Roman" w:eastAsia="方正仿宋_GBK" w:hAnsi="Times New Roman" w:hint="eastAsia"/>
          <w:bCs/>
          <w:color w:val="000000"/>
          <w:spacing w:val="-4"/>
          <w:sz w:val="32"/>
        </w:rPr>
        <w:t>面、感谢信</w:t>
      </w:r>
      <w:r>
        <w:rPr>
          <w:rFonts w:ascii="Times New Roman" w:eastAsia="方正仿宋_GBK" w:hAnsi="Times New Roman"/>
          <w:bCs/>
          <w:color w:val="000000"/>
          <w:spacing w:val="-4"/>
          <w:sz w:val="32"/>
        </w:rPr>
        <w:t>25</w:t>
      </w:r>
      <w:r>
        <w:rPr>
          <w:rFonts w:ascii="Times New Roman" w:eastAsia="方正仿宋_GBK" w:hAnsi="Times New Roman" w:hint="eastAsia"/>
          <w:bCs/>
          <w:color w:val="000000"/>
          <w:spacing w:val="-4"/>
          <w:sz w:val="32"/>
        </w:rPr>
        <w:t>封、牌匾</w:t>
      </w:r>
      <w:r>
        <w:rPr>
          <w:rFonts w:ascii="Times New Roman" w:eastAsia="方正仿宋_GBK" w:hAnsi="Times New Roman"/>
          <w:bCs/>
          <w:color w:val="000000"/>
          <w:spacing w:val="-4"/>
          <w:sz w:val="32"/>
        </w:rPr>
        <w:t>5</w:t>
      </w:r>
      <w:r>
        <w:rPr>
          <w:rFonts w:ascii="Times New Roman" w:eastAsia="方正仿宋_GBK" w:hAnsi="Times New Roman" w:hint="eastAsia"/>
          <w:bCs/>
          <w:color w:val="000000"/>
          <w:spacing w:val="-4"/>
          <w:sz w:val="32"/>
        </w:rPr>
        <w:t>块。</w:t>
      </w:r>
    </w:p>
    <w:p>
      <w:pPr>
        <w:pStyle w:val="33"/>
        <w:adjustRightInd w:val="0"/>
        <w:snapToGrid w:val="0"/>
        <w:spacing w:beforeLines="50" w:before="218" w:afterLines="50" w:after="218"/>
        <w:ind w:left="0"/>
        <w:rPr>
          <w:rFonts w:ascii="方正黑体_GBK" w:eastAsia="方正黑体_GBK" w:cs="楷体_GB2312"/>
          <w:bCs/>
          <w:color w:val="000000"/>
          <w:szCs w:val="32"/>
          <w:shd w:val="clear" w:color="auto" w:fill="FFFFFF"/>
        </w:rPr>
      </w:pPr>
      <w:r>
        <w:rPr>
          <w:rFonts w:ascii="方正黑体_GBK" w:eastAsia="方正黑体_GBK" w:cs="楷体_GB2312" w:hint="eastAsia"/>
          <w:bCs/>
          <w:color w:val="000000"/>
          <w:szCs w:val="32"/>
          <w:shd w:val="clear" w:color="auto" w:fill="FFFFFF"/>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第二十条第（一）项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信息内容</w:t>
            </w:r>
          </w:p>
        </w:tc>
        <w:tc>
          <w:tcPr>
            <w:tcW w:w="2183"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本年</w:t>
            </w:r>
            <w:r>
              <w:rPr>
                <w:color w:val="000000"/>
                <w:kern w:val="0"/>
                <w:sz w:val="24"/>
                <w:szCs w:val="24"/>
              </w:rPr>
              <w:t>制发件数</w:t>
            </w:r>
          </w:p>
        </w:tc>
        <w:tc>
          <w:tcPr>
            <w:tcW w:w="193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本年废止件</w:t>
            </w:r>
            <w:r>
              <w:rPr>
                <w:color w:val="000000"/>
                <w:kern w:val="0"/>
                <w:sz w:val="24"/>
                <w:szCs w:val="24"/>
              </w:rPr>
              <w:t>数</w:t>
            </w:r>
          </w:p>
        </w:tc>
        <w:tc>
          <w:tcPr>
            <w:tcW w:w="2156" w:type="dxa"/>
            <w:tcBorders>
              <w:top w:val="nil"/>
              <w:left w:val="nil"/>
              <w:bottom w:val="single" w:sz="8" w:space="0" w:color="auto"/>
              <w:right w:val="single" w:sz="8" w:space="0" w:color="auto"/>
            </w:tcBorders>
            <w:shd w:val="clear" w:color="auto" w:fill="auto"/>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现行有效件数</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规章</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行政规范性文件</w:t>
            </w:r>
          </w:p>
        </w:tc>
        <w:tc>
          <w:tcPr>
            <w:tcW w:w="2183"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193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2156"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435"/>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第二十条第（五）项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2"/>
              <w:widowControl/>
              <w:adjustRightInd w:val="0"/>
              <w:snapToGrid w:val="0"/>
              <w:spacing w:line="560" w:lineRule="exact"/>
              <w:jc w:val="center"/>
              <w:rPr>
                <w:color w:val="000000"/>
                <w:sz w:val="24"/>
                <w:szCs w:val="24"/>
              </w:rPr>
            </w:pPr>
            <w:r>
              <w:rPr>
                <w:rFonts w:ascii="宋体" w:cs="宋体" w:hint="eastAsia"/>
                <w:color w:val="000000"/>
                <w:kern w:val="0"/>
                <w:sz w:val="24"/>
                <w:szCs w:val="24"/>
              </w:rPr>
              <w:t>本年处理决定数量</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行政许可</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3"/>
              <w:spacing w:line="560" w:lineRule="exact"/>
              <w:jc w:val="center"/>
              <w:rPr>
                <w:rFonts w:eastAsia="方正仿宋_GBK" w:cs="宋体"/>
                <w:color w:val="000000"/>
                <w:sz w:val="24"/>
                <w:szCs w:val="24"/>
              </w:rPr>
            </w:pPr>
            <w:r>
              <w:rPr>
                <w:rFonts w:eastAsia="方正仿宋_GBK" w:cs="宋体"/>
                <w:color w:val="000000"/>
                <w:sz w:val="24"/>
                <w:szCs w:val="24"/>
              </w:rPr>
              <w:t>20</w:t>
            </w:r>
          </w:p>
        </w:tc>
      </w:tr>
      <w:tr>
        <w:trPr>
          <w:trHeight w:val="406"/>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第二十条第（六）项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信息内容</w:t>
            </w:r>
          </w:p>
        </w:tc>
        <w:tc>
          <w:tcPr>
            <w:tcW w:w="6275" w:type="dxa"/>
            <w:gridSpan w:val="3"/>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55"/>
              <w:widowControl/>
              <w:adjustRightInd w:val="0"/>
              <w:snapToGrid w:val="0"/>
              <w:spacing w:line="560" w:lineRule="exact"/>
              <w:jc w:val="center"/>
              <w:rPr>
                <w:color w:val="000000"/>
                <w:sz w:val="24"/>
                <w:szCs w:val="24"/>
              </w:rPr>
            </w:pPr>
            <w:r>
              <w:rPr>
                <w:rFonts w:ascii="宋体" w:cs="宋体" w:hint="eastAsia"/>
                <w:color w:val="000000"/>
                <w:kern w:val="0"/>
                <w:sz w:val="24"/>
                <w:szCs w:val="24"/>
              </w:rPr>
              <w:t>本年处理决定数量</w:t>
            </w:r>
          </w:p>
        </w:tc>
      </w:tr>
      <w:tr>
        <w:trPr>
          <w:trHeight w:val="452"/>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行政处罚</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s="宋体"/>
                <w:color w:val="000000"/>
                <w:sz w:val="24"/>
                <w:szCs w:val="24"/>
              </w:rPr>
            </w:pPr>
            <w:r>
              <w:rPr>
                <w:rFonts w:eastAsia="方正仿宋_GBK" w:cs="宋体"/>
                <w:color w:val="000000"/>
                <w:sz w:val="24"/>
                <w:szCs w:val="24"/>
              </w:rPr>
              <w:t>6874</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行政强制</w:t>
            </w:r>
          </w:p>
        </w:tc>
        <w:tc>
          <w:tcPr>
            <w:tcW w:w="6275" w:type="dxa"/>
            <w:gridSpan w:val="3"/>
            <w:tcBorders>
              <w:top w:val="nil"/>
              <w:left w:val="nil"/>
              <w:bottom w:val="single" w:sz="8" w:space="0" w:color="auto"/>
              <w:right w:val="single" w:sz="8" w:space="0" w:color="auto"/>
            </w:tcBorders>
            <w:shd w:val="clear" w:color="auto" w:fill="auto"/>
            <w:tcMar>
              <w:left w:w="108" w:type="dxa"/>
              <w:right w:w="108" w:type="dxa"/>
            </w:tcMar>
            <w:vAlign w:val="center"/>
          </w:tcPr>
          <w:p>
            <w:pPr>
              <w:pStyle w:val="64"/>
              <w:spacing w:line="560" w:lineRule="exact"/>
              <w:jc w:val="center"/>
              <w:rPr>
                <w:rFonts w:eastAsia="方正仿宋_GBK" w:cs="宋体"/>
                <w:color w:val="000000"/>
                <w:sz w:val="24"/>
                <w:szCs w:val="24"/>
              </w:rPr>
            </w:pPr>
            <w:r>
              <w:rPr>
                <w:rFonts w:eastAsia="方正仿宋_GBK" w:cs="宋体"/>
                <w:color w:val="000000"/>
                <w:sz w:val="24"/>
                <w:szCs w:val="24"/>
              </w:rPr>
              <w:t>482</w:t>
            </w:r>
          </w:p>
        </w:tc>
      </w:tr>
      <w:tr>
        <w:trPr>
          <w:trHeight w:val="474"/>
        </w:trPr>
        <w:tc>
          <w:tcPr>
            <w:tcW w:w="8995" w:type="dxa"/>
            <w:gridSpan w:val="4"/>
            <w:tcBorders>
              <w:top w:val="nil"/>
              <w:left w:val="single" w:sz="8" w:space="0" w:color="auto"/>
              <w:bottom w:val="single" w:sz="8" w:space="0" w:color="auto"/>
              <w:right w:val="single" w:sz="8" w:space="0" w:color="auto"/>
            </w:tcBorders>
            <w:shd w:val="clear" w:color="auto" w:fill="C6D9F1"/>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第二十条第（八）项</w:t>
            </w:r>
          </w:p>
        </w:tc>
      </w:tr>
      <w:tr>
        <w:trPr>
          <w:trHeight w:val="68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sz w:val="24"/>
                <w:szCs w:val="24"/>
              </w:rPr>
            </w:pPr>
            <w:r>
              <w:rPr>
                <w:rFonts w:ascii="宋体" w:cs="宋体" w:hint="eastAsia"/>
                <w:color w:val="000000"/>
                <w:kern w:val="0"/>
                <w:sz w:val="24"/>
                <w:szCs w:val="24"/>
              </w:rPr>
              <w:t>信息内容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59"/>
              <w:widowControl/>
              <w:adjustRightInd w:val="0"/>
              <w:snapToGrid w:val="0"/>
              <w:spacing w:line="560" w:lineRule="exact"/>
              <w:jc w:val="center"/>
              <w:rPr>
                <w:color w:val="000000"/>
                <w:sz w:val="24"/>
                <w:szCs w:val="24"/>
              </w:rPr>
            </w:pPr>
            <w:r>
              <w:rPr>
                <w:rFonts w:ascii="宋体" w:cs="宋体" w:hint="eastAsia"/>
                <w:color w:val="000000"/>
                <w:kern w:val="0"/>
                <w:sz w:val="24"/>
                <w:szCs w:val="24"/>
              </w:rPr>
              <w:t>本年收费金额（单位：万元）</w:t>
            </w:r>
          </w:p>
        </w:tc>
      </w:tr>
      <w:tr>
        <w:trPr>
          <w:trHeight w:val="510"/>
        </w:trPr>
        <w:tc>
          <w:tcPr>
            <w:tcW w:w="2720"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adjustRightInd w:val="0"/>
              <w:snapToGrid w:val="0"/>
              <w:spacing w:line="560" w:lineRule="exact"/>
              <w:jc w:val="center"/>
              <w:rPr>
                <w:color w:val="000000"/>
              </w:rPr>
            </w:pPr>
            <w:r>
              <w:rPr>
                <w:rFonts w:ascii="宋体" w:cs="宋体" w:hint="eastAsia"/>
                <w:color w:val="000000"/>
                <w:kern w:val="0"/>
                <w:sz w:val="24"/>
                <w:szCs w:val="24"/>
              </w:rPr>
              <w:t>行政事业性收费</w:t>
            </w:r>
          </w:p>
        </w:tc>
        <w:tc>
          <w:tcPr>
            <w:tcW w:w="6275" w:type="dxa"/>
            <w:gridSpan w:val="3"/>
            <w:tcBorders>
              <w:top w:val="nil"/>
              <w:left w:val="nil"/>
              <w:bottom w:val="single" w:sz="8" w:space="0" w:color="auto"/>
              <w:right w:val="single" w:sz="8" w:space="0" w:color="000000"/>
            </w:tcBorders>
            <w:shd w:val="clear" w:color="auto" w:fill="auto"/>
            <w:tcMar>
              <w:left w:w="108" w:type="dxa"/>
              <w:right w:w="108" w:type="dxa"/>
            </w:tcMar>
            <w:vAlign w:val="center"/>
          </w:tcPr>
          <w:p>
            <w:pPr>
              <w:pStyle w:val="28"/>
              <w:spacing w:line="560" w:lineRule="exact"/>
              <w:jc w:val="center"/>
              <w:rPr>
                <w:rFonts w:eastAsia="方正仿宋_GBK" w:cs="宋体"/>
                <w:color w:val="000000"/>
                <w:sz w:val="24"/>
                <w:szCs w:val="24"/>
              </w:rPr>
            </w:pPr>
            <w:r>
              <w:rPr>
                <w:rFonts w:eastAsia="方正仿宋_GBK" w:cs="宋体" w:hint="eastAsia"/>
                <w:color w:val="000000"/>
                <w:sz w:val="24"/>
                <w:szCs w:val="24"/>
              </w:rPr>
              <w:t>0</w:t>
            </w:r>
          </w:p>
        </w:tc>
      </w:tr>
    </w:tbl>
    <w:p>
      <w:pPr>
        <w:pStyle w:val="147"/>
        <w:widowControl/>
        <w:adjustRightInd w:val="0"/>
        <w:snapToGrid w:val="0"/>
        <w:spacing w:before="0" w:beforeAutospacing="0" w:after="0" w:afterAutospacing="0" w:line="560" w:lineRule="exact"/>
        <w:ind w:firstLineChars="200" w:firstLine="640"/>
        <w:jc w:val="both"/>
        <w:rPr>
          <w:rFonts w:eastAsia="方正仿宋_GBK" w:cs="方正黑体_GBK"/>
          <w:kern w:val="2"/>
          <w:sz w:val="32"/>
          <w:szCs w:val="32"/>
        </w:rPr>
      </w:pPr>
      <w:r>
        <w:rPr>
          <w:rFonts w:eastAsia="方正仿宋_GBK" w:cs="方正黑体_GBK" w:hint="eastAsia"/>
          <w:kern w:val="2"/>
          <w:sz w:val="32"/>
          <w:szCs w:val="32"/>
        </w:rPr>
        <w:t>*备注：本表格行政许可的处理决定数量，包括本机关在本年度内作出的准予许可决定、不予许可决定、变更许可决定、延期（延续）许可决定、撤销许可决定、撤回许可决定等。</w:t>
      </w:r>
    </w:p>
    <w:p>
      <w:pPr>
        <w:pStyle w:val="25"/>
        <w:widowControl/>
        <w:shd w:val="clear" w:color="auto" w:fill="FFFFFF"/>
        <w:adjustRightInd w:val="0"/>
        <w:snapToGrid w:val="0"/>
        <w:spacing w:beforeAutospacing="0" w:afterLines="50" w:after="218" w:afterAutospacing="0" w:line="560" w:lineRule="exact"/>
        <w:ind w:firstLineChars="200" w:firstLine="640"/>
        <w:jc w:val="both"/>
        <w:rPr>
          <w:rFonts w:ascii="方正黑体_GBK" w:eastAsia="方正黑体_GBK" w:cs="楷体_GB2312"/>
          <w:bCs/>
          <w:color w:val="000000"/>
          <w:sz w:val="32"/>
          <w:szCs w:val="32"/>
          <w:shd w:val="clear" w:color="auto" w:fill="FFFFFF"/>
        </w:rPr>
      </w:pPr>
      <w:r>
        <w:rPr>
          <w:rFonts w:ascii="方正黑体_GBK" w:eastAsia="方正黑体_GBK" w:cs="楷体_GB2312" w:hint="eastAsia"/>
          <w:bCs/>
          <w:color w:val="000000"/>
          <w:sz w:val="32"/>
          <w:szCs w:val="32"/>
          <w:shd w:val="clear" w:color="auto" w:fill="FFFFFF"/>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25"/>
        <w:gridCol w:w="68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25"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自然人</w:t>
            </w:r>
          </w:p>
        </w:tc>
        <w:tc>
          <w:tcPr>
            <w:tcW w:w="3462"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法人或其他组织</w:t>
            </w:r>
          </w:p>
        </w:tc>
        <w:tc>
          <w:tcPr>
            <w:tcW w:w="682"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商业企业</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科研机构</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社会公益组织</w:t>
            </w:r>
          </w:p>
        </w:tc>
        <w:tc>
          <w:tcPr>
            <w:tcW w:w="76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法律服务机构</w:t>
            </w:r>
          </w:p>
        </w:tc>
        <w:tc>
          <w:tcPr>
            <w:tcW w:w="497"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rPr>
            </w:pPr>
            <w:r>
              <w:rPr>
                <w:rFonts w:ascii="宋体" w:cs="宋体" w:hint="eastAsia"/>
                <w:color w:val="000000"/>
                <w:kern w:val="0"/>
                <w:sz w:val="20"/>
                <w:szCs w:val="20"/>
              </w:rPr>
              <w:t>其他</w:t>
            </w:r>
          </w:p>
        </w:tc>
        <w:tc>
          <w:tcPr>
            <w:tcW w:w="682"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jc w:val="left"/>
              <w:rPr>
                <w:color w:val="000000"/>
                <w:sz w:val="24"/>
                <w:szCs w:val="24"/>
              </w:rPr>
            </w:pPr>
            <w:r>
              <w:rPr>
                <w:rFonts w:ascii="宋体" w:cs="宋体" w:hint="eastAsia"/>
                <w:color w:val="000000"/>
                <w:kern w:val="0"/>
                <w:sz w:val="24"/>
                <w:szCs w:val="24"/>
              </w:rPr>
              <w:t>一、本年新收政府信息公开申请数量</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26</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28</w:t>
            </w:r>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jc w:val="left"/>
              <w:rPr>
                <w:color w:val="000000"/>
                <w:sz w:val="24"/>
                <w:szCs w:val="24"/>
              </w:rPr>
            </w:pPr>
            <w:r>
              <w:rPr>
                <w:rFonts w:ascii="宋体" w:cs="宋体" w:hint="eastAsia"/>
                <w:color w:val="000000"/>
                <w:kern w:val="0"/>
                <w:sz w:val="24"/>
                <w:szCs w:val="24"/>
              </w:rPr>
              <w:t>二、上年结转政府信息公开申请数量</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r>
      <w:tr>
        <w:tc>
          <w:tcPr>
            <w:tcW w:w="696"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三、本年度办理结果</w:t>
            </w: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rPr>
                <w:color w:val="000000"/>
                <w:sz w:val="24"/>
                <w:szCs w:val="24"/>
              </w:rPr>
            </w:pPr>
            <w:r>
              <w:rPr>
                <w:rFonts w:ascii="楷体" w:eastAsia="楷体" w:cs="楷体" w:hint="eastAsia"/>
                <w:color w:val="000000"/>
                <w:kern w:val="0"/>
                <w:sz w:val="24"/>
                <w:szCs w:val="24"/>
              </w:rPr>
              <w:t>（一）予以公开</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rPr>
                <w:color w:val="000000"/>
                <w:sz w:val="24"/>
                <w:szCs w:val="24"/>
              </w:rPr>
            </w:pPr>
            <w:r>
              <w:rPr>
                <w:rFonts w:ascii="楷体" w:eastAsia="楷体" w:cs="楷体" w:hint="eastAsia"/>
                <w:color w:val="000000"/>
                <w:kern w:val="0"/>
                <w:sz w:val="24"/>
                <w:szCs w:val="24"/>
              </w:rPr>
              <w:t>（二）部分公开（区分处理的，只计这一情形，不计其他情形）</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11</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12</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（三）不予公开</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1.属于国家秘密</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2.其他法律行政法规禁止公开</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3.危及“三安全一稳定”</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4.保护第三方合法权益</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5.属于三类内部事务信息</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6.属于四类过程性信息</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7.属于行政执法案卷</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8.属于行政查询事项</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（四）无法提供</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1.本机关不掌握相关政府信息</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2.没有现成信息需要另行制作</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3.补正后申请内容仍不明确</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（五）不予处理</w:t>
            </w: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1.信访举报投诉类申请</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2.重复申请</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3.要求提供公开出版物</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810"/>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4.无正当理由大量反复申请</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5.要求行政机关确认或重新出具已获取信息</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（六）其他处理</w:t>
            </w:r>
          </w:p>
        </w:tc>
        <w:tc>
          <w:tcPr>
            <w:tcW w:w="2670" w:type="dxa"/>
            <w:tcBorders>
              <w:top w:val="nil"/>
              <w:left w:val="single" w:sz="8" w:space="0" w:color="auto"/>
              <w:bottom w:val="single" w:sz="8" w:space="0" w:color="auto"/>
              <w:right w:val="single" w:sz="8" w:space="0" w:color="auto"/>
            </w:tcBorders>
            <w:shd w:val="clear" w:color="auto" w:fill="auto"/>
            <w:tcMar>
              <w:left w:w="108" w:type="dxa"/>
              <w:right w:w="108" w:type="dxa"/>
            </w:tcMar>
          </w:tcPr>
          <w:p>
            <w:pPr>
              <w:pStyle w:val="28"/>
              <w:widowControl/>
              <w:spacing w:line="560" w:lineRule="exact"/>
              <w:rPr>
                <w:rFonts w:ascii="楷体" w:eastAsia="楷体" w:cs="楷体"/>
                <w:color w:val="000000"/>
                <w:kern w:val="0"/>
                <w:sz w:val="24"/>
                <w:szCs w:val="24"/>
              </w:rPr>
            </w:pPr>
            <w:r>
              <w:rPr>
                <w:rFonts w:ascii="楷体" w:eastAsia="楷体" w:cs="楷体" w:hint="eastAsia"/>
                <w:color w:val="000000"/>
                <w:kern w:val="0"/>
                <w:sz w:val="24"/>
                <w:szCs w:val="24"/>
              </w:rPr>
              <w:t>1.申请人无正当理由逾期不补正、行政机关不再处理其政府信息公开申请</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1</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lang w:val="en-US"/>
              </w:rPr>
              <w:t>1</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color w:val="000000"/>
                <w:kern w:val="0"/>
                <w:sz w:val="24"/>
                <w:szCs w:val="24"/>
              </w:rPr>
            </w:pPr>
            <w:r>
              <w:rPr>
                <w:rFonts w:ascii="楷体" w:eastAsia="楷体" w:cs="楷体" w:hint="eastAsia"/>
                <w:color w:val="000000"/>
                <w:kern w:val="0"/>
                <w:sz w:val="24"/>
                <w:szCs w:val="24"/>
              </w:rPr>
              <w:t>2.申请人逾期未按收费通知要求缴纳费用、行政机关不再处理其政府信息公开申请</w:t>
            </w:r>
          </w:p>
        </w:tc>
        <w:tc>
          <w:tcPr>
            <w:tcW w:w="62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color w:val="000000"/>
                <w:kern w:val="0"/>
                <w:sz w:val="24"/>
                <w:szCs w:val="24"/>
              </w:rPr>
            </w:pPr>
            <w:r>
              <w:rPr>
                <w:rFonts w:ascii="楷体" w:eastAsia="楷体" w:cs="楷体" w:hint="eastAsia"/>
                <w:color w:val="000000"/>
                <w:kern w:val="0"/>
                <w:sz w:val="24"/>
                <w:szCs w:val="24"/>
              </w:rPr>
              <w:t>3.咨询事项，指引咨询渠道</w:t>
            </w:r>
          </w:p>
        </w:tc>
        <w:tc>
          <w:tcPr>
            <w:tcW w:w="62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r>
      <w:tr>
        <w:trPr>
          <w:trHeight w:val="567"/>
        </w:trPr>
        <w:tc>
          <w:tcPr>
            <w:tcW w:w="696" w:type="dxa"/>
            <w:vMerge/>
            <w:tcBorders>
              <w:top w:val="nil"/>
              <w:left w:val="single" w:sz="8" w:space="0" w:color="auto"/>
              <w:bottom w:val="single" w:sz="8" w:space="0" w:color="auto"/>
              <w:right w:val="single" w:sz="8" w:space="0" w:color="auto"/>
            </w:tcBorders>
            <w:shd w:val="clear" w:color="auto" w:fill="auto"/>
            <w:vAlign w:val="center"/>
          </w:tcPr>
          <w:p/>
        </w:tc>
        <w:tc>
          <w:tcPr>
            <w:tcW w:w="936" w:type="dxa"/>
            <w:vMerge/>
            <w:tcBorders>
              <w:top w:val="nil"/>
              <w:left w:val="nil"/>
              <w:bottom w:val="single" w:sz="8" w:space="0" w:color="auto"/>
              <w:right w:val="single" w:sz="8" w:space="0" w:color="auto"/>
            </w:tcBorders>
            <w:shd w:val="clear" w:color="auto" w:fill="auto"/>
            <w:vAlign w:val="center"/>
          </w:tcPr>
          <w:p/>
        </w:tc>
        <w:tc>
          <w:tcPr>
            <w:tcW w:w="2670" w:type="dxa"/>
            <w:tcBorders>
              <w:top w:val="nil"/>
              <w:left w:val="single" w:sz="8" w:space="0" w:color="auto"/>
              <w:bottom w:val="single" w:sz="8" w:space="0" w:color="auto"/>
              <w:right w:val="single" w:sz="8" w:space="0" w:color="auto"/>
            </w:tcBorders>
            <w:shd w:val="clear" w:color="auto" w:fill="auto"/>
          </w:tcPr>
          <w:p>
            <w:pPr>
              <w:pStyle w:val="28"/>
              <w:widowControl/>
              <w:spacing w:line="560" w:lineRule="exact"/>
              <w:rPr>
                <w:rFonts w:ascii="楷体" w:eastAsia="楷体" w:cs="楷体"/>
                <w:color w:val="000000"/>
                <w:kern w:val="0"/>
                <w:sz w:val="24"/>
                <w:szCs w:val="24"/>
              </w:rPr>
            </w:pPr>
            <w:r>
              <w:rPr>
                <w:rFonts w:ascii="楷体" w:eastAsia="楷体" w:cs="楷体" w:hint="eastAsia"/>
                <w:color w:val="000000"/>
                <w:kern w:val="0"/>
                <w:sz w:val="24"/>
                <w:szCs w:val="24"/>
              </w:rPr>
              <w:t>4.申请人撤销申请</w:t>
            </w:r>
          </w:p>
        </w:tc>
        <w:tc>
          <w:tcPr>
            <w:tcW w:w="62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color w:val="000000"/>
                <w:sz w:val="24"/>
                <w:szCs w:val="24"/>
              </w:rPr>
              <w:t>4</w:t>
            </w:r>
          </w:p>
        </w:tc>
        <w:tc>
          <w:tcPr>
            <w:tcW w:w="68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750"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vAlign w:val="center"/>
          </w:tcPr>
          <w:p>
            <w:pPr>
              <w:pStyle w:val="28"/>
              <w:spacing w:line="560" w:lineRule="exact"/>
              <w:jc w:val="center"/>
              <w:rPr>
                <w:rFonts w:eastAsia="方正仿宋_GBK"/>
                <w:color w:val="000000"/>
                <w:sz w:val="24"/>
                <w:szCs w:val="24"/>
              </w:rPr>
            </w:pPr>
            <w:r>
              <w:rPr>
                <w:rFonts w:eastAsia="方正仿宋_GBK"/>
                <w:color w:val="000000"/>
                <w:sz w:val="24"/>
                <w:szCs w:val="24"/>
              </w:rPr>
              <w:t>4</w:t>
            </w:r>
          </w:p>
        </w:tc>
      </w:tr>
      <w:tr>
        <w:tc>
          <w:tcPr>
            <w:tcW w:w="696"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rPr>
                <w:color w:val="000000"/>
                <w:sz w:val="24"/>
                <w:szCs w:val="24"/>
              </w:rPr>
            </w:pPr>
            <w:r>
              <w:rPr>
                <w:rFonts w:ascii="楷体" w:eastAsia="楷体" w:cs="楷体" w:hint="eastAsia"/>
                <w:color w:val="000000"/>
                <w:kern w:val="0"/>
                <w:sz w:val="24"/>
                <w:szCs w:val="24"/>
              </w:rPr>
              <w:t>（七）总计</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27</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29</w:t>
            </w:r>
            <w:bookmarkStart w:id="2" w:name="_GoBack"/>
            <w:bookmarkEnd w:id="2"/>
          </w:p>
        </w:tc>
      </w:tr>
      <w:tr>
        <w:tc>
          <w:tcPr>
            <w:tcW w:w="4302" w:type="dxa"/>
            <w:gridSpan w:val="3"/>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left"/>
              <w:rPr>
                <w:color w:val="000000"/>
              </w:rPr>
            </w:pPr>
            <w:r>
              <w:rPr>
                <w:rFonts w:ascii="宋体" w:cs="宋体" w:hint="eastAsia"/>
                <w:color w:val="000000"/>
                <w:kern w:val="0"/>
                <w:sz w:val="24"/>
                <w:szCs w:val="24"/>
              </w:rPr>
              <w:t>四、结转下年度继续办理</w:t>
            </w:r>
          </w:p>
        </w:tc>
        <w:tc>
          <w:tcPr>
            <w:tcW w:w="62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c>
          <w:tcPr>
            <w:tcW w:w="68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76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497"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hint="eastAsia"/>
                <w:color w:val="000000"/>
                <w:sz w:val="24"/>
                <w:szCs w:val="24"/>
              </w:rPr>
              <w:t>0</w:t>
            </w:r>
          </w:p>
        </w:tc>
        <w:tc>
          <w:tcPr>
            <w:tcW w:w="682"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spacing w:line="560" w:lineRule="exact"/>
              <w:jc w:val="center"/>
              <w:rPr>
                <w:rFonts w:eastAsia="方正仿宋_GBK"/>
                <w:color w:val="000000"/>
                <w:sz w:val="24"/>
                <w:szCs w:val="24"/>
              </w:rPr>
            </w:pPr>
            <w:r>
              <w:rPr>
                <w:rFonts w:eastAsia="方正仿宋_GBK"/>
                <w:color w:val="000000"/>
                <w:sz w:val="24"/>
                <w:szCs w:val="24"/>
              </w:rPr>
              <w:t>0</w:t>
            </w:r>
          </w:p>
        </w:tc>
      </w:tr>
    </w:tbl>
    <w:p>
      <w:pPr>
        <w:pStyle w:val="25"/>
        <w:widowControl/>
        <w:shd w:val="clear" w:color="auto" w:fill="FFFFFF"/>
        <w:spacing w:beforeLines="50" w:before="218" w:beforeAutospacing="0" w:afterAutospacing="0" w:line="560" w:lineRule="exact"/>
        <w:ind w:firstLineChars="200" w:firstLine="640"/>
        <w:jc w:val="both"/>
        <w:rPr>
          <w:rFonts w:ascii="宋体" w:cs="宋体"/>
          <w:color w:val="000000"/>
          <w:szCs w:val="24"/>
        </w:rPr>
      </w:pPr>
      <w:r>
        <w:rPr>
          <w:rFonts w:ascii="方正黑体_GBK" w:eastAsia="方正黑体_GBK" w:cs="楷体_GB2312" w:hint="eastAsia"/>
          <w:bCs/>
          <w:color w:val="000000"/>
          <w:sz w:val="32"/>
          <w:szCs w:val="32"/>
          <w:shd w:val="clear" w:color="auto" w:fill="FFFFFF"/>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行政复议</w:t>
            </w:r>
          </w:p>
        </w:tc>
        <w:tc>
          <w:tcPr>
            <w:tcW w:w="5997" w:type="dxa"/>
            <w:gridSpan w:val="10"/>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行政诉讼</w:t>
            </w:r>
          </w:p>
        </w:tc>
      </w:tr>
      <w:tr>
        <w:tc>
          <w:tcPr>
            <w:tcW w:w="604" w:type="dxa"/>
            <w:vMerge w:val="restart"/>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结果维持</w:t>
            </w:r>
          </w:p>
        </w:tc>
        <w:tc>
          <w:tcPr>
            <w:tcW w:w="604" w:type="dxa"/>
            <w:vMerge w:val="restart"/>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结果纠正</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其他结果</w:t>
            </w:r>
          </w:p>
        </w:tc>
        <w:tc>
          <w:tcPr>
            <w:tcW w:w="604"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尚未审结</w:t>
            </w:r>
          </w:p>
        </w:tc>
        <w:tc>
          <w:tcPr>
            <w:tcW w:w="658" w:type="dxa"/>
            <w:vMerge w:val="restart"/>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总计</w:t>
            </w:r>
          </w:p>
        </w:tc>
        <w:tc>
          <w:tcPr>
            <w:tcW w:w="2970"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未经复议直接起诉</w:t>
            </w:r>
          </w:p>
        </w:tc>
        <w:tc>
          <w:tcPr>
            <w:tcW w:w="3027" w:type="dxa"/>
            <w:gridSpan w:val="5"/>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复议后起诉</w:t>
            </w:r>
          </w:p>
        </w:tc>
      </w:tr>
      <w:tr>
        <w:tc>
          <w:tcPr>
            <w:tcW w:w="604" w:type="dxa"/>
            <w:vMerge/>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结果维持</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其他结果</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尚未审结</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总计</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结果维持</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结果纠正</w:t>
            </w:r>
          </w:p>
        </w:tc>
        <w:tc>
          <w:tcPr>
            <w:tcW w:w="605"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其他结果</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尚未审结</w:t>
            </w:r>
          </w:p>
        </w:tc>
        <w:tc>
          <w:tcPr>
            <w:tcW w:w="606" w:type="dxa"/>
            <w:tcBorders>
              <w:top w:val="single" w:sz="8" w:space="0" w:color="auto"/>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4"/>
                <w:szCs w:val="24"/>
              </w:rPr>
            </w:pPr>
            <w:r>
              <w:rPr>
                <w:rFonts w:ascii="宋体" w:cs="宋体" w:hint="eastAsia"/>
                <w:color w:val="000000"/>
                <w:kern w:val="0"/>
                <w:sz w:val="24"/>
                <w:szCs w:val="24"/>
              </w:rPr>
              <w:t>总计</w:t>
            </w:r>
          </w:p>
        </w:tc>
      </w:tr>
      <w:tr>
        <w:trPr>
          <w:trHeight w:val="862"/>
        </w:trPr>
        <w:tc>
          <w:tcPr>
            <w:tcW w:w="604" w:type="dxa"/>
            <w:tcBorders>
              <w:top w:val="nil"/>
              <w:left w:val="single" w:sz="8" w:space="0" w:color="auto"/>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color w:val="000000"/>
                <w:sz w:val="28"/>
                <w:szCs w:val="28"/>
              </w:rPr>
              <w:t>0</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color w:val="000000"/>
                <w:sz w:val="28"/>
                <w:szCs w:val="28"/>
              </w:rPr>
              <w:t>1</w:t>
            </w:r>
          </w:p>
        </w:tc>
        <w:tc>
          <w:tcPr>
            <w:tcW w:w="604"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58"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color w:val="000000"/>
                <w:sz w:val="28"/>
                <w:szCs w:val="28"/>
              </w:rPr>
              <w:t>1</w:t>
            </w:r>
          </w:p>
        </w:tc>
        <w:tc>
          <w:tcPr>
            <w:tcW w:w="550"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5"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sz w:val="28"/>
                <w:szCs w:val="28"/>
              </w:rPr>
            </w:pPr>
            <w:r>
              <w:rPr>
                <w:rFonts w:hint="eastAsia"/>
                <w:color w:val="00000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kern w:val="0"/>
                <w:sz w:val="28"/>
                <w:szCs w:val="28"/>
              </w:rPr>
            </w:pPr>
            <w:r>
              <w:rPr>
                <w:rFonts w:hint="eastAsia"/>
                <w:color w:val="000000"/>
                <w:kern w:val="0"/>
                <w:sz w:val="28"/>
                <w:szCs w:val="28"/>
              </w:rPr>
              <w:t>0</w:t>
            </w:r>
          </w:p>
        </w:tc>
        <w:tc>
          <w:tcPr>
            <w:tcW w:w="606" w:type="dxa"/>
            <w:tcBorders>
              <w:top w:val="nil"/>
              <w:left w:val="nil"/>
              <w:bottom w:val="single" w:sz="8" w:space="0" w:color="auto"/>
              <w:right w:val="single" w:sz="8" w:space="0" w:color="auto"/>
            </w:tcBorders>
            <w:shd w:val="clear" w:color="auto" w:fill="auto"/>
            <w:tcMar>
              <w:left w:w="108" w:type="dxa"/>
              <w:right w:w="108" w:type="dxa"/>
            </w:tcMar>
            <w:vAlign w:val="center"/>
          </w:tcPr>
          <w:p>
            <w:pPr>
              <w:pStyle w:val="28"/>
              <w:widowControl/>
              <w:spacing w:line="560" w:lineRule="exact"/>
              <w:jc w:val="center"/>
              <w:rPr>
                <w:color w:val="000000"/>
                <w:kern w:val="0"/>
                <w:sz w:val="28"/>
                <w:szCs w:val="28"/>
              </w:rPr>
            </w:pPr>
            <w:r>
              <w:rPr>
                <w:rFonts w:hint="eastAsia"/>
                <w:color w:val="000000"/>
                <w:kern w:val="0"/>
                <w:sz w:val="28"/>
                <w:szCs w:val="28"/>
              </w:rPr>
              <w:t>0</w:t>
            </w:r>
          </w:p>
        </w:tc>
      </w:tr>
    </w:tbl>
    <w:p>
      <w:pPr>
        <w:pStyle w:val="25"/>
        <w:widowControl/>
        <w:shd w:val="clear" w:color="auto" w:fill="FFFFFF"/>
        <w:spacing w:beforeLines="50" w:before="218" w:beforeAutospacing="0" w:afterAutospacing="0" w:line="560" w:lineRule="exact"/>
        <w:ind w:firstLineChars="200" w:firstLine="640"/>
        <w:jc w:val="both"/>
        <w:rPr>
          <w:rFonts w:ascii="方正黑体_GBK" w:eastAsia="方正黑体_GBK" w:cs="楷体_GB2312"/>
          <w:bCs/>
          <w:color w:val="000000"/>
          <w:sz w:val="32"/>
          <w:szCs w:val="32"/>
          <w:shd w:val="clear" w:color="auto" w:fill="FFFFFF"/>
        </w:rPr>
      </w:pPr>
      <w:bookmarkEnd w:id="1"/>
      <w:r>
        <w:rPr>
          <w:rFonts w:ascii="方正黑体_GBK" w:eastAsia="方正黑体_GBK" w:cs="楷体_GB2312" w:hint="eastAsia"/>
          <w:bCs/>
          <w:color w:val="000000"/>
          <w:sz w:val="32"/>
          <w:szCs w:val="32"/>
          <w:shd w:val="clear" w:color="auto" w:fill="FFFFFF"/>
        </w:rPr>
        <w:t>五、存在的主要问题及改进情况</w:t>
      </w:r>
    </w:p>
    <w:p>
      <w:pPr>
        <w:pStyle w:val="156"/>
        <w:adjustRightInd w:val="0"/>
        <w:snapToGrid w:val="0"/>
        <w:ind w:firstLineChars="200" w:firstLine="624"/>
        <w:rPr>
          <w:rFonts w:ascii="方正楷体_GBK" w:eastAsia="方正楷体_GBK" w:hint="eastAsia"/>
          <w:b/>
          <w:bCs/>
          <w:color w:val="000000"/>
          <w:spacing w:val="-4"/>
          <w:sz w:val="32"/>
          <w:szCs w:val="20"/>
        </w:rPr>
      </w:pPr>
      <w:r>
        <w:rPr>
          <w:rFonts w:ascii="方正楷体_GBK" w:eastAsia="方正楷体_GBK" w:hint="eastAsia"/>
          <w:b/>
          <w:bCs/>
          <w:color w:val="000000"/>
          <w:spacing w:val="-4"/>
          <w:sz w:val="32"/>
          <w:szCs w:val="20"/>
        </w:rPr>
        <w:t>（一）</w:t>
      </w:r>
      <w:r>
        <w:rPr>
          <w:rFonts w:ascii="方正楷体_GBK" w:eastAsia="方正楷体_GBK"/>
          <w:b/>
          <w:bCs/>
          <w:color w:val="000000"/>
          <w:spacing w:val="-4"/>
          <w:sz w:val="32"/>
          <w:szCs w:val="20"/>
        </w:rPr>
        <w:t>2024</w:t>
      </w:r>
      <w:r>
        <w:rPr>
          <w:rFonts w:ascii="方正楷体_GBK" w:eastAsia="方正楷体_GBK" w:hint="eastAsia"/>
          <w:b/>
          <w:bCs/>
          <w:color w:val="000000"/>
          <w:spacing w:val="-4"/>
          <w:sz w:val="32"/>
          <w:szCs w:val="20"/>
        </w:rPr>
        <w:t>年年报中所提问题整改情况。</w:t>
      </w:r>
    </w:p>
    <w:p>
      <w:pPr>
        <w:pStyle w:val="157"/>
        <w:adjustRightInd w:val="0"/>
        <w:snapToGrid w:val="0"/>
        <w:ind w:firstLineChars="200" w:firstLine="624"/>
        <w:rPr>
          <w:color w:val="000000"/>
        </w:rPr>
      </w:pPr>
      <w:r>
        <w:rPr>
          <w:color w:val="000000"/>
          <w:lang w:val="en-US"/>
        </w:rPr>
        <w:t>南沙海关2024年年报中提出以下问题：窗口服务质量高低直接关系企业群众办事体验，</w:t>
      </w:r>
      <w:r>
        <w:rPr>
          <w:color w:val="000000"/>
        </w:rPr>
        <w:t>随着关区业务体量</w:t>
      </w:r>
      <w:r>
        <w:rPr>
          <w:color w:val="000000"/>
          <w:lang w:val="en-US"/>
        </w:rPr>
        <w:t>不断</w:t>
      </w:r>
      <w:r>
        <w:rPr>
          <w:color w:val="000000"/>
        </w:rPr>
        <w:t>增大，各业务现场窗口咨询和电话咨询量相应增多，关区整体咨询服务质效仍存在进一步优化空间。</w:t>
      </w:r>
    </w:p>
    <w:p>
      <w:pPr>
        <w:pStyle w:val="158"/>
        <w:tabs>
          <w:tab w:val="center" w:pos="4153"/>
          <w:tab w:val="right" w:pos="8306"/>
        </w:tabs>
        <w:spacing w:line="560" w:lineRule="exact"/>
        <w:ind w:firstLineChars="200" w:firstLine="624"/>
        <w:jc w:val="both"/>
        <w:rPr>
          <w:bCs/>
          <w:color w:val="000000"/>
          <w:spacing w:val="-4"/>
          <w:sz w:val="32"/>
          <w:szCs w:val="20"/>
        </w:rPr>
      </w:pPr>
      <w:r>
        <w:rPr>
          <w:bCs/>
          <w:color w:val="000000"/>
          <w:spacing w:val="-4"/>
          <w:sz w:val="32"/>
          <w:szCs w:val="20"/>
          <w:lang w:val="en-US"/>
        </w:rPr>
        <w:t>上述问题在2025年均已采取措施完成整改：进一步优化业务咨询电话分类处置流程，强化</w:t>
      </w:r>
      <w:r>
        <w:rPr>
          <w:rFonts w:hint="eastAsia"/>
          <w:bCs/>
          <w:color w:val="000000"/>
          <w:spacing w:val="-4"/>
          <w:sz w:val="32"/>
          <w:szCs w:val="20"/>
          <w:lang w:val="en-US"/>
        </w:rPr>
        <w:t>“</w:t>
      </w:r>
      <w:r>
        <w:rPr>
          <w:bCs/>
          <w:color w:val="000000"/>
          <w:spacing w:val="-4"/>
          <w:sz w:val="32"/>
          <w:szCs w:val="20"/>
          <w:lang w:val="en-US"/>
        </w:rPr>
        <w:t>首问责任制</w:t>
      </w:r>
      <w:r>
        <w:rPr>
          <w:rFonts w:hint="eastAsia"/>
          <w:bCs/>
          <w:color w:val="000000"/>
          <w:spacing w:val="-4"/>
          <w:sz w:val="32"/>
          <w:szCs w:val="20"/>
          <w:lang w:val="en-US"/>
        </w:rPr>
        <w:t>”</w:t>
      </w:r>
      <w:r>
        <w:rPr>
          <w:bCs/>
          <w:color w:val="000000"/>
          <w:spacing w:val="-4"/>
          <w:sz w:val="32"/>
          <w:szCs w:val="20"/>
          <w:lang w:val="en-US"/>
        </w:rPr>
        <w:t>，坚持科学统筹、分级分类、上下联动、归口办理，帮助企业群众准确理解海关相关规定和要求，为咨询人在实际操作中遇到的疑难问题提供专业解答，切实提供更加便捷、准确、高效的咨询服务。</w:t>
      </w:r>
    </w:p>
    <w:p>
      <w:pPr>
        <w:pStyle w:val="159"/>
        <w:adjustRightInd w:val="0"/>
        <w:snapToGrid w:val="0"/>
        <w:ind w:left="640" w:firstLine="0"/>
        <w:rPr>
          <w:color w:val="000000"/>
        </w:rPr>
      </w:pPr>
      <w:r>
        <w:rPr>
          <w:rFonts w:ascii="方正楷体_GBK" w:eastAsia="方正楷体_GBK"/>
          <w:b/>
          <w:bCs/>
          <w:color w:val="000000"/>
        </w:rPr>
        <w:t>（二）</w:t>
      </w:r>
      <w:r>
        <w:rPr>
          <w:rFonts w:ascii="方正楷体_GBK" w:eastAsia="方正楷体_GBK" w:hint="eastAsia"/>
          <w:b/>
          <w:bCs/>
          <w:color w:val="000000"/>
        </w:rPr>
        <w:t>目前存在问题。</w:t>
      </w:r>
    </w:p>
    <w:p>
      <w:pPr>
        <w:pStyle w:val="159"/>
        <w:adjustRightInd w:val="0"/>
        <w:snapToGrid w:val="0"/>
        <w:ind w:firstLineChars="200" w:firstLine="624"/>
        <w:rPr>
          <w:color w:val="000000"/>
        </w:rPr>
      </w:pPr>
      <w:r>
        <w:rPr>
          <w:color w:val="000000"/>
        </w:rPr>
        <w:t>基层</w:t>
      </w:r>
      <w:r>
        <w:rPr>
          <w:color w:val="000000"/>
          <w:lang w:val="en-US"/>
        </w:rPr>
        <w:t>政务公开专区设施设备的管理要求仍需进一步细化，更新维护需更加及时。</w:t>
      </w:r>
    </w:p>
    <w:p>
      <w:pPr>
        <w:pStyle w:val="25"/>
        <w:widowControl/>
        <w:shd w:val="clear" w:color="auto" w:fill="FFFFFF"/>
        <w:spacing w:beforeAutospacing="0" w:afterAutospacing="0" w:line="560" w:lineRule="exact"/>
        <w:ind w:firstLineChars="200" w:firstLine="640"/>
        <w:jc w:val="both"/>
        <w:rPr>
          <w:rFonts w:ascii="方正黑体_GBK" w:eastAsia="方正黑体_GBK" w:cs="楷体_GB2312"/>
          <w:bCs/>
          <w:color w:val="000000"/>
          <w:sz w:val="32"/>
          <w:szCs w:val="32"/>
          <w:shd w:val="clear" w:color="auto" w:fill="FFFFFF"/>
        </w:rPr>
      </w:pPr>
      <w:r>
        <w:rPr>
          <w:rFonts w:ascii="方正黑体_GBK" w:eastAsia="方正黑体_GBK" w:cs="楷体_GB2312" w:hint="eastAsia"/>
          <w:bCs/>
          <w:color w:val="000000"/>
          <w:sz w:val="32"/>
          <w:szCs w:val="32"/>
          <w:shd w:val="clear" w:color="auto" w:fill="FFFFFF"/>
        </w:rPr>
        <w:t>六、其他需要报告的事项</w:t>
      </w:r>
    </w:p>
    <w:p>
      <w:pPr>
        <w:pStyle w:val="160"/>
        <w:tabs>
          <w:tab w:val="center" w:pos="4153"/>
          <w:tab w:val="right" w:pos="8306"/>
        </w:tabs>
        <w:spacing w:line="560" w:lineRule="exact"/>
        <w:ind w:firstLineChars="200" w:firstLine="624"/>
        <w:jc w:val="both"/>
        <w:rPr>
          <w:bCs/>
          <w:color w:val="000000"/>
          <w:spacing w:val="-4"/>
          <w:sz w:val="32"/>
          <w:szCs w:val="20"/>
        </w:rPr>
      </w:pPr>
      <w:r>
        <w:rPr>
          <w:rFonts w:hint="eastAsia"/>
          <w:bCs/>
          <w:color w:val="000000"/>
          <w:spacing w:val="-4"/>
          <w:sz w:val="32"/>
          <w:szCs w:val="20"/>
        </w:rPr>
        <w:t>南沙海关</w:t>
      </w:r>
      <w:r>
        <w:rPr>
          <w:bCs/>
          <w:color w:val="000000"/>
          <w:spacing w:val="-4"/>
          <w:sz w:val="32"/>
          <w:szCs w:val="20"/>
        </w:rPr>
        <w:t>严格按</w:t>
      </w:r>
      <w:r>
        <w:rPr>
          <w:rFonts w:hint="eastAsia"/>
          <w:bCs/>
          <w:color w:val="000000"/>
          <w:spacing w:val="-4"/>
          <w:sz w:val="32"/>
          <w:szCs w:val="20"/>
        </w:rPr>
        <w:t>照《国务院办公厅关于印发〈政府信息公开信息处理费管理办法〉的通知》，</w:t>
      </w:r>
      <w:r>
        <w:rPr>
          <w:bCs/>
          <w:color w:val="000000"/>
          <w:spacing w:val="-4"/>
          <w:sz w:val="32"/>
          <w:szCs w:val="20"/>
        </w:rPr>
        <w:t>规范政府信息公开</w:t>
      </w:r>
      <w:r>
        <w:rPr>
          <w:rFonts w:hint="eastAsia"/>
          <w:bCs/>
          <w:color w:val="000000"/>
          <w:spacing w:val="-4"/>
          <w:sz w:val="32"/>
          <w:szCs w:val="20"/>
        </w:rPr>
        <w:t>信息处理费收</w:t>
      </w:r>
      <w:r>
        <w:rPr>
          <w:bCs/>
          <w:color w:val="000000"/>
          <w:spacing w:val="-4"/>
          <w:sz w:val="32"/>
          <w:szCs w:val="20"/>
        </w:rPr>
        <w:t>取工作，2025</w:t>
      </w:r>
      <w:r>
        <w:rPr>
          <w:rFonts w:hint="eastAsia"/>
          <w:bCs/>
          <w:color w:val="000000"/>
          <w:spacing w:val="-4"/>
          <w:sz w:val="32"/>
          <w:szCs w:val="20"/>
        </w:rPr>
        <w:t>年</w:t>
      </w:r>
      <w:r>
        <w:rPr>
          <w:bCs/>
          <w:color w:val="000000"/>
          <w:spacing w:val="-4"/>
          <w:sz w:val="32"/>
          <w:szCs w:val="20"/>
        </w:rPr>
        <w:t>未收取</w:t>
      </w:r>
      <w:r>
        <w:rPr>
          <w:rFonts w:hint="eastAsia"/>
          <w:bCs/>
          <w:color w:val="000000"/>
          <w:spacing w:val="-4"/>
          <w:sz w:val="32"/>
          <w:szCs w:val="20"/>
        </w:rPr>
        <w:t>政府信息公开</w:t>
      </w:r>
      <w:r>
        <w:rPr>
          <w:bCs/>
          <w:color w:val="000000"/>
          <w:spacing w:val="-4"/>
          <w:sz w:val="32"/>
          <w:szCs w:val="20"/>
        </w:rPr>
        <w:t>信息处理费。</w:t>
      </w:r>
    </w:p>
    <w:p>
      <w:pPr>
        <w:pStyle w:val="77"/>
        <w:tabs>
          <w:tab w:val="center" w:pos="4153"/>
          <w:tab w:val="right" w:pos="8306"/>
        </w:tabs>
        <w:spacing w:line="560" w:lineRule="exact"/>
        <w:ind w:firstLineChars="200" w:firstLine="624"/>
        <w:rPr>
          <w:bCs/>
          <w:color w:val="000000"/>
          <w:spacing w:val="-4"/>
          <w:sz w:val="32"/>
          <w:szCs w:val="20"/>
        </w:rPr>
      </w:pPr>
    </w:p>
    <w:sectPr>
      <w:footerReference w:type="default" r:id="rId2"/>
      <w:footerReference w:type="even" r:id="rId3"/>
      <w:footerReference w:type="first" r:id="rId4"/>
      <w:pgSz w:w="11906" w:h="16838"/>
      <w:pgMar w:top="2098" w:right="1474" w:bottom="1985"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0000000000000000000"/>
    <w:charset w:val="86"/>
    <w:family w:val="script"/>
    <w:pitch w:val="variable"/>
    <w:sig w:usb0="00000001" w:usb1="080E0000" w:usb2="00000010" w:usb3="00000000" w:csb0="00040000" w:csb1="00000000"/>
  </w:font>
  <w:font w:name="方正黑体_GBK">
    <w:altName w:val="微软雅黑"/>
    <w:panose1 w:val="00000000000000000000"/>
    <w:charset w:val="86"/>
    <w:family w:val="script"/>
    <w:pitch w:val="variable"/>
    <w:sig w:usb0="00000001" w:usb1="080E0000" w:usb2="00000010" w:usb3="00000000" w:csb0="00040000" w:csb1="00000000"/>
  </w:font>
  <w:font w:name="楷体_GB2312">
    <w:altName w:val="楷体"/>
    <w:panose1 w:val="00000000000000000000"/>
    <w:charset w:val="00"/>
    <w:family w:val="auto"/>
    <w:pitch w:val="variable"/>
    <w:sig w:usb0="00000000" w:usb1="00000000" w:usb2="00000000" w:usb3="00000000" w:csb0="00000000" w:csb1="00000000"/>
  </w:font>
  <w:font w:name="Times New Roman">
    <w:panose1 w:val="02020603050000020304"/>
    <w:charset w:val="00"/>
    <w:family w:val="roman"/>
    <w:pitch w:val="variable"/>
    <w:sig w:usb0="E0002EFF" w:usb1="C000785B" w:usb2="00000009" w:usb3="00000000" w:csb0="000001FF" w:csb1="00000000"/>
  </w:font>
  <w:font w:name="方正仿宋_GBK">
    <w:altName w:val="微软雅黑"/>
    <w:panose1 w:val="00000000000000000000"/>
    <w:charset w:val="86"/>
    <w:family w:val="script"/>
    <w:pitch w:val="variable"/>
    <w:sig w:usb0="00000001" w:usb1="080E0000" w:usb2="00000010" w:usb3="00000000" w:csb0="00040000" w:csb1="00000000"/>
  </w:font>
  <w:font w:name="Arial">
    <w:panose1 w:val="020B0604020000020204"/>
    <w:charset w:val="00"/>
    <w:family w:val="swiss"/>
    <w:pitch w:val="variable"/>
    <w:sig w:usb0="E0002EFF" w:usb1="C000785B" w:usb2="00000009" w:usb3="00000000" w:csb0="000001FF" w:csb1="00000000"/>
  </w:font>
  <w:font w:name="方正楷体_GBK">
    <w:altName w:val="微软雅黑"/>
    <w:panose1 w:val="00000000000000000000"/>
    <w:charset w:val="86"/>
    <w:family w:val="script"/>
    <w:pitch w:val="variable"/>
    <w:sig w:usb0="00000001" w:usb1="080E0000" w:usb2="00000010" w:usb3="00000000" w:csb0="00040000" w:csb1="00000000"/>
  </w:font>
  <w:font w:name="宋体">
    <w:altName w:val="SimSun"/>
    <w:panose1 w:val="02010600030000010101"/>
    <w:charset w:val="86"/>
    <w:family w:val="auto"/>
    <w:pitch w:val="variable"/>
    <w:sig w:usb0="00000003" w:usb1="288F0000" w:usb2="00000016" w:usb3="00000000" w:csb0="00040001" w:csb1="00000000"/>
  </w:font>
  <w:font w:name="楷体">
    <w:panose1 w:val="02010609060000010101"/>
    <w:charset w:val="86"/>
    <w:family w:val="modern"/>
    <w:pitch w:val="variable"/>
    <w:sig w:usb0="800002BF" w:usb1="38CF7CFA" w:usb2="00000016" w:usb3="00000000" w:csb0="00040001"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7</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0"/>
  <w:doNotDisplayPageBoundaries/>
  <w:bordersDoNotSurroundHeader/>
  <w:bordersDoNotSurroundFooter/>
  <w:trackRevisions/>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next w:val="0"/>
    <w:pPr>
      <w:ind w:left="1680"/>
    </w:pPr>
  </w:style>
  <w:style w:type="paragraph" w:styleId="20">
    <w:name w:val="index 6"/>
    <w:basedOn w:val="0"/>
    <w:next w:val="0"/>
    <w:pPr>
      <w:ind w:left="2100"/>
    </w:pPr>
  </w:style>
  <w:style w:type="paragraph" w:styleId="21">
    <w:name w:val="index 7"/>
    <w:basedOn w:val="0"/>
    <w:next w:val="0"/>
    <w:pPr>
      <w:ind w:left="2520"/>
    </w:pPr>
  </w:style>
  <w:style w:type="paragraph" w:styleId="22">
    <w:name w:val="index 8"/>
    <w:basedOn w:val="0"/>
    <w:next w:val="0"/>
    <w:pPr>
      <w:ind w:left="2940"/>
    </w:pPr>
  </w:style>
  <w:style w:type="paragraph" w:styleId="23">
    <w:name w:val="toc 1"/>
    <w:basedOn w:val="0"/>
    <w:next w:val="0"/>
  </w:style>
  <w:style w:type="paragraph" w:styleId="24">
    <w:name w:val="toc 2"/>
    <w:basedOn w:val="0"/>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pPr>
      <w:widowControl w:val="0"/>
    </w:pPr>
    <w:rPr>
      <w:rFonts w:ascii="宋体" w:eastAsia="宋体" w:cs="Times New Roman"/>
      <w:kern w:val="2"/>
      <w:sz w:val="24"/>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tabs>
        <w:tab w:val="left" w:pos="780"/>
      </w:tabs>
      <w:ind w:left="780" w:hanging="360"/>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annotation text"/>
    <w:pPr>
      <w:widowControl w:val="0"/>
    </w:pPr>
    <w:rPr>
      <w:rFonts w:ascii="Times New Roman" w:eastAsia="方正仿宋_GBK" w:cs="Times New Roman" w:hAnsi="Times New Roman"/>
      <w:kern w:val="2"/>
      <w:sz w:val="32"/>
      <w:szCs w:val="22"/>
      <w:lang w:val="en-US" w:eastAsia="zh-CN" w:bidi="ar-SA"/>
    </w:rPr>
  </w:style>
  <w:style w:type="character" w:styleId="69">
    <w:name w:val="footnote reference"/>
    <w:basedOn w:val="10"/>
    <w:rPr>
      <w:vertAlign w:val="superscript"/>
    </w:rPr>
  </w:style>
  <w:style w:type="paragraph" w:styleId="70">
    <w:name w:val="Balloon Text"/>
    <w:basedOn w:val="0"/>
    <w:rPr>
      <w:sz w:val="18"/>
      <w:szCs w:val="18"/>
    </w:rPr>
  </w:style>
  <w:style w:type="paragraph" w:customStyle="1" w:styleId="71">
    <w:name w:val="样式 4 小四"/>
    <w:pPr>
      <w:widowControl w:val="0"/>
    </w:pPr>
    <w:rPr>
      <w:rFonts w:ascii="宋体" w:eastAsia="宋体" w:cs="Times New Roman"/>
      <w:kern w:val="2"/>
      <w:sz w:val="24"/>
      <w:lang w:val="en-US" w:eastAsia="zh-CN" w:bidi="ar-SA"/>
    </w:rPr>
  </w:style>
  <w:style w:type="paragraph" w:customStyle="1" w:styleId="72">
    <w:name w:val="样式 2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3">
    <w:name w:val="样式 3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74">
    <w:name w:val="footnote text"/>
    <w:basedOn w:val="0"/>
    <w:pPr>
      <w:snapToGrid w:val="0"/>
      <w:jc w:val="left"/>
    </w:pPr>
    <w:rPr>
      <w:sz w:val="18"/>
    </w:rPr>
  </w:style>
  <w:style w:type="paragraph" w:customStyle="1" w:styleId="75">
    <w:name w:val="样式 1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6">
    <w:name w:val="样式 14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77">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styleId="78">
    <w:name w:val="annotation subject"/>
    <w:next w:val="68"/>
    <w:pPr>
      <w:widowControl w:val="0"/>
    </w:pPr>
    <w:rPr>
      <w:rFonts w:ascii="Times New Roman" w:eastAsia="方正仿宋_GBK" w:cs="Times New Roman" w:hAnsi="Times New Roman"/>
      <w:b/>
      <w:kern w:val="2"/>
      <w:sz w:val="32"/>
      <w:szCs w:val="22"/>
      <w:lang w:val="en-US" w:eastAsia="zh-CN" w:bidi="ar-SA"/>
    </w:rPr>
  </w:style>
  <w:style w:type="paragraph" w:customStyle="1" w:styleId="79">
    <w:name w:val="样式 1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0">
    <w:name w:val="样式 1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1">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2">
    <w:name w:val="样式 39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83">
    <w:name w:val="样式 5 小四"/>
    <w:pPr>
      <w:widowControl w:val="0"/>
    </w:pPr>
    <w:rPr>
      <w:rFonts w:ascii="宋体" w:eastAsia="宋体" w:cs="Times New Roman"/>
      <w:kern w:val="2"/>
      <w:sz w:val="24"/>
      <w:lang w:val="en-US" w:eastAsia="zh-CN" w:bidi="ar-SA"/>
    </w:rPr>
  </w:style>
  <w:style w:type="paragraph" w:customStyle="1" w:styleId="84">
    <w:name w:val="样式 2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85">
    <w:name w:val="样式 1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86">
    <w:name w:val="Revision_f979340a-23dc-44aa-b90a-aeef613af535"/>
    <w:rPr>
      <w:rFonts w:ascii="Times New Roman" w:eastAsia="方正仿宋_GBK" w:cs="Times New Roman" w:hAnsi="Times New Roman"/>
      <w:kern w:val="2"/>
      <w:sz w:val="32"/>
      <w:lang w:val="en-US" w:eastAsia="zh-CN" w:bidi="ar-SA"/>
    </w:rPr>
  </w:style>
  <w:style w:type="paragraph" w:customStyle="1" w:styleId="87">
    <w:name w:val="样式 7 小四"/>
    <w:pPr>
      <w:widowControl w:val="0"/>
    </w:pPr>
    <w:rPr>
      <w:rFonts w:ascii="宋体" w:eastAsia="宋体" w:cs="Times New Roman"/>
      <w:kern w:val="2"/>
      <w:sz w:val="24"/>
      <w:lang w:val="en-US" w:eastAsia="zh-CN" w:bidi="ar-SA"/>
    </w:rPr>
  </w:style>
  <w:style w:type="paragraph" w:customStyle="1" w:styleId="88">
    <w:name w:val="样式 8 小四"/>
    <w:pPr>
      <w:widowControl w:val="0"/>
    </w:pPr>
    <w:rPr>
      <w:rFonts w:ascii="宋体" w:eastAsia="宋体" w:cs="Times New Roman"/>
      <w:kern w:val="2"/>
      <w:sz w:val="24"/>
      <w:lang w:val="en-US" w:eastAsia="zh-CN" w:bidi="ar-SA"/>
    </w:rPr>
  </w:style>
  <w:style w:type="paragraph" w:customStyle="1" w:styleId="89">
    <w:name w:val="样式 9 小四"/>
    <w:pPr>
      <w:widowControl w:val="0"/>
    </w:pPr>
    <w:rPr>
      <w:rFonts w:ascii="宋体" w:eastAsia="宋体" w:cs="Times New Roman"/>
      <w:kern w:val="2"/>
      <w:sz w:val="24"/>
      <w:lang w:val="en-US" w:eastAsia="zh-CN" w:bidi="ar-SA"/>
    </w:rPr>
  </w:style>
  <w:style w:type="paragraph" w:customStyle="1" w:styleId="90">
    <w:name w:val="样式 10 小四"/>
    <w:pPr>
      <w:widowControl w:val="0"/>
    </w:pPr>
    <w:rPr>
      <w:rFonts w:ascii="宋体" w:eastAsia="宋体" w:cs="Times New Roman"/>
      <w:kern w:val="2"/>
      <w:sz w:val="24"/>
      <w:lang w:val="en-US" w:eastAsia="zh-CN" w:bidi="ar-SA"/>
    </w:rPr>
  </w:style>
  <w:style w:type="paragraph" w:customStyle="1" w:styleId="91">
    <w:name w:val="样式 11 小四"/>
    <w:pPr>
      <w:widowControl w:val="0"/>
    </w:pPr>
    <w:rPr>
      <w:rFonts w:ascii="宋体" w:eastAsia="宋体" w:cs="Times New Roman"/>
      <w:kern w:val="2"/>
      <w:sz w:val="24"/>
      <w:lang w:val="en-US" w:eastAsia="zh-CN" w:bidi="ar-SA"/>
    </w:rPr>
  </w:style>
  <w:style w:type="paragraph" w:customStyle="1" w:styleId="92">
    <w:name w:val="样式 12 小四"/>
    <w:pPr>
      <w:widowControl w:val="0"/>
    </w:pPr>
    <w:rPr>
      <w:rFonts w:ascii="宋体" w:eastAsia="宋体" w:cs="Times New Roman"/>
      <w:kern w:val="2"/>
      <w:sz w:val="24"/>
      <w:lang w:val="en-US" w:eastAsia="zh-CN" w:bidi="ar-SA"/>
    </w:rPr>
  </w:style>
  <w:style w:type="paragraph" w:customStyle="1" w:styleId="93">
    <w:name w:val="样式 1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4">
    <w:name w:val="样式 1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95">
    <w:name w:val="样式 3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6">
    <w:name w:val="样式 4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7">
    <w:name w:val="样式 5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8">
    <w:name w:val="样式 6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99">
    <w:name w:val="样式 7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100">
    <w:name w:val="样式 2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1">
    <w:name w:val="样式 2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2">
    <w:name w:val="样式 2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3">
    <w:name w:val="样式 23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04">
    <w:name w:val="样式 13 小四"/>
    <w:pPr>
      <w:widowControl w:val="0"/>
    </w:pPr>
    <w:rPr>
      <w:rFonts w:ascii="宋体" w:eastAsia="宋体" w:cs="Times New Roman"/>
      <w:kern w:val="2"/>
      <w:sz w:val="24"/>
      <w:lang w:val="en-US" w:eastAsia="zh-CN" w:bidi="ar-SA"/>
    </w:rPr>
  </w:style>
  <w:style w:type="paragraph" w:customStyle="1" w:styleId="105">
    <w:name w:val="样式 14 小四"/>
    <w:pPr>
      <w:widowControl w:val="0"/>
    </w:pPr>
    <w:rPr>
      <w:rFonts w:ascii="宋体" w:eastAsia="宋体" w:cs="Times New Roman"/>
      <w:kern w:val="2"/>
      <w:sz w:val="24"/>
      <w:lang w:val="en-US" w:eastAsia="zh-CN" w:bidi="ar-SA"/>
    </w:rPr>
  </w:style>
  <w:style w:type="paragraph" w:customStyle="1" w:styleId="106">
    <w:name w:val="样式 15 小四"/>
    <w:pPr>
      <w:widowControl w:val="0"/>
    </w:pPr>
    <w:rPr>
      <w:rFonts w:ascii="宋体" w:eastAsia="宋体" w:cs="Times New Roman"/>
      <w:kern w:val="2"/>
      <w:sz w:val="24"/>
      <w:lang w:val="en-US" w:eastAsia="zh-CN" w:bidi="ar-SA"/>
    </w:rPr>
  </w:style>
  <w:style w:type="paragraph" w:customStyle="1" w:styleId="107">
    <w:name w:val="样式 16 小四"/>
    <w:pPr>
      <w:widowControl w:val="0"/>
    </w:pPr>
    <w:rPr>
      <w:rFonts w:ascii="宋体" w:eastAsia="宋体" w:cs="Times New Roman"/>
      <w:kern w:val="2"/>
      <w:sz w:val="24"/>
      <w:lang w:val="en-US" w:eastAsia="zh-CN" w:bidi="ar-SA"/>
    </w:rPr>
  </w:style>
  <w:style w:type="paragraph" w:customStyle="1" w:styleId="108">
    <w:name w:val="样式 17 小四"/>
    <w:pPr>
      <w:widowControl w:val="0"/>
    </w:pPr>
    <w:rPr>
      <w:rFonts w:ascii="宋体" w:eastAsia="宋体" w:cs="Times New Roman"/>
      <w:kern w:val="2"/>
      <w:sz w:val="24"/>
      <w:lang w:val="en-US" w:eastAsia="zh-CN" w:bidi="ar-SA"/>
    </w:rPr>
  </w:style>
  <w:style w:type="paragraph" w:customStyle="1" w:styleId="109">
    <w:name w:val="样式 2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10">
    <w:name w:val="样式 18 小四"/>
    <w:pPr>
      <w:widowControl w:val="0"/>
    </w:pPr>
    <w:rPr>
      <w:rFonts w:ascii="宋体" w:eastAsia="宋体" w:cs="Times New Roman"/>
      <w:kern w:val="2"/>
      <w:sz w:val="24"/>
      <w:lang w:val="en-US" w:eastAsia="zh-CN" w:bidi="ar-SA"/>
    </w:rPr>
  </w:style>
  <w:style w:type="paragraph" w:customStyle="1" w:styleId="111">
    <w:name w:val="样式 19 小四"/>
    <w:pPr>
      <w:widowControl w:val="0"/>
    </w:pPr>
    <w:rPr>
      <w:rFonts w:ascii="宋体" w:eastAsia="宋体" w:cs="Times New Roman"/>
      <w:kern w:val="2"/>
      <w:sz w:val="24"/>
      <w:lang w:val="en-US" w:eastAsia="zh-CN" w:bidi="ar-SA"/>
    </w:rPr>
  </w:style>
  <w:style w:type="paragraph" w:customStyle="1" w:styleId="112">
    <w:name w:val="样式 21 小四"/>
    <w:pPr>
      <w:widowControl w:val="0"/>
    </w:pPr>
    <w:rPr>
      <w:rFonts w:ascii="宋体" w:eastAsia="宋体" w:cs="Times New Roman"/>
      <w:kern w:val="2"/>
      <w:sz w:val="24"/>
      <w:lang w:val="en-US" w:eastAsia="zh-CN" w:bidi="ar-SA"/>
    </w:rPr>
  </w:style>
  <w:style w:type="paragraph" w:customStyle="1" w:styleId="113">
    <w:name w:val="样式 22 小四"/>
    <w:pPr>
      <w:widowControl w:val="0"/>
    </w:pPr>
    <w:rPr>
      <w:rFonts w:ascii="宋体" w:eastAsia="宋体" w:cs="Times New Roman"/>
      <w:kern w:val="2"/>
      <w:sz w:val="24"/>
      <w:lang w:val="en-US" w:eastAsia="zh-CN" w:bidi="ar-SA"/>
    </w:rPr>
  </w:style>
  <w:style w:type="paragraph" w:customStyle="1" w:styleId="114">
    <w:name w:val="样式 23 小四"/>
    <w:pPr>
      <w:widowControl w:val="0"/>
    </w:pPr>
    <w:rPr>
      <w:rFonts w:ascii="宋体" w:eastAsia="宋体" w:cs="Times New Roman"/>
      <w:kern w:val="2"/>
      <w:sz w:val="24"/>
      <w:lang w:val="en-US" w:eastAsia="zh-CN" w:bidi="ar-SA"/>
    </w:rPr>
  </w:style>
  <w:style w:type="paragraph" w:customStyle="1" w:styleId="115">
    <w:name w:val="样式 24 小四"/>
    <w:pPr>
      <w:widowControl w:val="0"/>
    </w:pPr>
    <w:rPr>
      <w:rFonts w:ascii="宋体" w:eastAsia="宋体" w:cs="Times New Roman"/>
      <w:kern w:val="2"/>
      <w:sz w:val="24"/>
      <w:lang w:val="en-US" w:eastAsia="zh-CN" w:bidi="ar-SA"/>
    </w:rPr>
  </w:style>
  <w:style w:type="paragraph" w:customStyle="1" w:styleId="116">
    <w:name w:val="样式 25 小四"/>
    <w:pPr>
      <w:widowControl w:val="0"/>
    </w:pPr>
    <w:rPr>
      <w:rFonts w:ascii="宋体" w:eastAsia="宋体" w:cs="Times New Roman"/>
      <w:kern w:val="2"/>
      <w:sz w:val="24"/>
      <w:lang w:val="en-US" w:eastAsia="zh-CN" w:bidi="ar-SA"/>
    </w:rPr>
  </w:style>
  <w:style w:type="paragraph" w:customStyle="1" w:styleId="117">
    <w:name w:val="样式 26 小四"/>
    <w:pPr>
      <w:widowControl w:val="0"/>
    </w:pPr>
    <w:rPr>
      <w:rFonts w:ascii="宋体" w:eastAsia="宋体" w:cs="Times New Roman"/>
      <w:kern w:val="2"/>
      <w:sz w:val="24"/>
      <w:lang w:val="en-US" w:eastAsia="zh-CN" w:bidi="ar-SA"/>
    </w:rPr>
  </w:style>
  <w:style w:type="paragraph" w:customStyle="1" w:styleId="118">
    <w:name w:val="样式 27 小四"/>
    <w:pPr>
      <w:widowControl w:val="0"/>
    </w:pPr>
    <w:rPr>
      <w:rFonts w:ascii="宋体" w:eastAsia="宋体" w:cs="Times New Roman"/>
      <w:kern w:val="2"/>
      <w:sz w:val="24"/>
      <w:lang w:val="en-US" w:eastAsia="zh-CN" w:bidi="ar-SA"/>
    </w:rPr>
  </w:style>
  <w:style w:type="paragraph" w:customStyle="1" w:styleId="119">
    <w:name w:val="样式 28 小四"/>
    <w:pPr>
      <w:widowControl w:val="0"/>
    </w:pPr>
    <w:rPr>
      <w:rFonts w:ascii="宋体" w:eastAsia="宋体" w:cs="Times New Roman"/>
      <w:kern w:val="2"/>
      <w:sz w:val="24"/>
      <w:lang w:val="en-US" w:eastAsia="zh-CN" w:bidi="ar-SA"/>
    </w:rPr>
  </w:style>
  <w:style w:type="paragraph" w:customStyle="1" w:styleId="120">
    <w:name w:val="样式 29 小四"/>
    <w:pPr>
      <w:widowControl w:val="0"/>
    </w:pPr>
    <w:rPr>
      <w:rFonts w:ascii="宋体" w:eastAsia="宋体" w:cs="Times New Roman"/>
      <w:kern w:val="2"/>
      <w:sz w:val="24"/>
      <w:lang w:val="en-US" w:eastAsia="zh-CN" w:bidi="ar-SA"/>
    </w:rPr>
  </w:style>
  <w:style w:type="paragraph" w:customStyle="1" w:styleId="121">
    <w:name w:val="样式 30 小四"/>
    <w:pPr>
      <w:widowControl w:val="0"/>
    </w:pPr>
    <w:rPr>
      <w:rFonts w:ascii="宋体" w:eastAsia="宋体" w:cs="Times New Roman"/>
      <w:kern w:val="2"/>
      <w:sz w:val="24"/>
      <w:lang w:val="en-US" w:eastAsia="zh-CN" w:bidi="ar-SA"/>
    </w:rPr>
  </w:style>
  <w:style w:type="paragraph" w:customStyle="1" w:styleId="122">
    <w:name w:val="样式 31 小四"/>
    <w:pPr>
      <w:widowControl w:val="0"/>
    </w:pPr>
    <w:rPr>
      <w:rFonts w:ascii="宋体" w:eastAsia="宋体" w:cs="Times New Roman"/>
      <w:kern w:val="2"/>
      <w:sz w:val="24"/>
      <w:lang w:val="en-US" w:eastAsia="zh-CN" w:bidi="ar-SA"/>
    </w:rPr>
  </w:style>
  <w:style w:type="paragraph" w:customStyle="1" w:styleId="123">
    <w:name w:val="样式 32 小四"/>
    <w:pPr>
      <w:widowControl w:val="0"/>
    </w:pPr>
    <w:rPr>
      <w:rFonts w:ascii="宋体" w:eastAsia="宋体" w:cs="Times New Roman"/>
      <w:kern w:val="2"/>
      <w:sz w:val="24"/>
      <w:lang w:val="en-US" w:eastAsia="zh-CN" w:bidi="ar-SA"/>
    </w:rPr>
  </w:style>
  <w:style w:type="paragraph" w:customStyle="1" w:styleId="124">
    <w:name w:val="样式 33 小四"/>
    <w:pPr>
      <w:widowControl w:val="0"/>
    </w:pPr>
    <w:rPr>
      <w:rFonts w:ascii="宋体" w:eastAsia="宋体" w:cs="Times New Roman"/>
      <w:kern w:val="2"/>
      <w:sz w:val="24"/>
      <w:lang w:val="en-US" w:eastAsia="zh-CN" w:bidi="ar-SA"/>
    </w:rPr>
  </w:style>
  <w:style w:type="paragraph" w:customStyle="1" w:styleId="125">
    <w:name w:val="样式 34 小四"/>
    <w:pPr>
      <w:widowControl w:val="0"/>
    </w:pPr>
    <w:rPr>
      <w:rFonts w:ascii="宋体" w:eastAsia="宋体" w:cs="Times New Roman"/>
      <w:kern w:val="2"/>
      <w:sz w:val="24"/>
      <w:lang w:val="en-US" w:eastAsia="zh-CN" w:bidi="ar-SA"/>
    </w:rPr>
  </w:style>
  <w:style w:type="paragraph" w:customStyle="1" w:styleId="126">
    <w:name w:val="List Paragraph"/>
    <w:basedOn w:val="0"/>
    <w:pPr>
      <w:ind w:firstLineChars="200" w:firstLine="200"/>
    </w:pPr>
  </w:style>
  <w:style w:type="paragraph" w:customStyle="1" w:styleId="127">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2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0">
    <w:name w:val="样式 2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1">
    <w:name w:val="样式 35 小四"/>
    <w:pPr>
      <w:widowControl w:val="0"/>
    </w:pPr>
    <w:rPr>
      <w:rFonts w:ascii="宋体" w:eastAsia="宋体" w:cs="Times New Roman"/>
      <w:kern w:val="2"/>
      <w:sz w:val="24"/>
      <w:lang w:val="en-US" w:eastAsia="zh-CN" w:bidi="ar-SA"/>
    </w:rPr>
  </w:style>
  <w:style w:type="paragraph" w:customStyle="1" w:styleId="132">
    <w:name w:val="样式 2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3">
    <w:name w:val="样式 2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34">
    <w:name w:val="样式 36 小四"/>
    <w:pPr>
      <w:widowControl w:val="0"/>
    </w:pPr>
    <w:rPr>
      <w:rFonts w:ascii="宋体" w:eastAsia="宋体" w:cs="Times New Roman"/>
      <w:kern w:val="2"/>
      <w:sz w:val="24"/>
      <w:lang w:val="en-US" w:eastAsia="zh-CN" w:bidi="ar-SA"/>
    </w:rPr>
  </w:style>
  <w:style w:type="paragraph" w:customStyle="1" w:styleId="135">
    <w:name w:val="样式 37 小四"/>
    <w:pPr>
      <w:widowControl w:val="0"/>
    </w:pPr>
    <w:rPr>
      <w:rFonts w:ascii="宋体" w:eastAsia="宋体" w:cs="Times New Roman"/>
      <w:kern w:val="2"/>
      <w:sz w:val="24"/>
      <w:lang w:val="en-US" w:eastAsia="zh-CN" w:bidi="ar-SA"/>
    </w:rPr>
  </w:style>
  <w:style w:type="paragraph" w:customStyle="1" w:styleId="136">
    <w:name w:val="样式 38 小四"/>
    <w:pPr>
      <w:widowControl w:val="0"/>
    </w:pPr>
    <w:rPr>
      <w:rFonts w:ascii="宋体" w:eastAsia="宋体" w:cs="Times New Roman"/>
      <w:kern w:val="2"/>
      <w:sz w:val="24"/>
      <w:lang w:val="en-US" w:eastAsia="zh-CN" w:bidi="ar-SA"/>
    </w:rPr>
  </w:style>
  <w:style w:type="paragraph" w:customStyle="1" w:styleId="137">
    <w:name w:val="样式 39 小四"/>
    <w:pPr>
      <w:widowControl w:val="0"/>
    </w:pPr>
    <w:rPr>
      <w:rFonts w:ascii="宋体" w:eastAsia="宋体" w:cs="Times New Roman"/>
      <w:kern w:val="2"/>
      <w:sz w:val="24"/>
      <w:lang w:val="en-US" w:eastAsia="zh-CN" w:bidi="ar-SA"/>
    </w:rPr>
  </w:style>
  <w:style w:type="paragraph" w:customStyle="1" w:styleId="138">
    <w:name w:val="样式 40 小四"/>
    <w:pPr>
      <w:widowControl w:val="0"/>
    </w:pPr>
    <w:rPr>
      <w:rFonts w:ascii="宋体" w:eastAsia="宋体" w:cs="Times New Roman"/>
      <w:kern w:val="2"/>
      <w:sz w:val="24"/>
      <w:lang w:val="en-US" w:eastAsia="zh-CN" w:bidi="ar-SA"/>
    </w:rPr>
  </w:style>
  <w:style w:type="paragraph" w:customStyle="1" w:styleId="139">
    <w:name w:val="样式 41 小四"/>
    <w:pPr>
      <w:widowControl w:val="0"/>
    </w:pPr>
    <w:rPr>
      <w:rFonts w:ascii="宋体" w:eastAsia="宋体" w:cs="Times New Roman"/>
      <w:kern w:val="2"/>
      <w:sz w:val="24"/>
      <w:lang w:val="en-US" w:eastAsia="zh-CN" w:bidi="ar-SA"/>
    </w:rPr>
  </w:style>
  <w:style w:type="paragraph" w:customStyle="1" w:styleId="140">
    <w:name w:val="样式 42 小四"/>
    <w:pPr>
      <w:widowControl w:val="0"/>
    </w:pPr>
    <w:rPr>
      <w:rFonts w:ascii="宋体" w:eastAsia="宋体" w:cs="Times New Roman"/>
      <w:kern w:val="2"/>
      <w:sz w:val="24"/>
      <w:lang w:val="en-US" w:eastAsia="zh-CN" w:bidi="ar-SA"/>
    </w:rPr>
  </w:style>
  <w:style w:type="paragraph" w:customStyle="1" w:styleId="141">
    <w:name w:val="样式 43 小四"/>
    <w:pPr>
      <w:widowControl w:val="0"/>
    </w:pPr>
    <w:rPr>
      <w:rFonts w:ascii="宋体" w:eastAsia="宋体" w:cs="Times New Roman"/>
      <w:kern w:val="2"/>
      <w:sz w:val="24"/>
      <w:lang w:val="en-US" w:eastAsia="zh-CN" w:bidi="ar-SA"/>
    </w:rPr>
  </w:style>
  <w:style w:type="paragraph" w:customStyle="1" w:styleId="142">
    <w:name w:val="样式 44 小四"/>
    <w:pPr>
      <w:widowControl w:val="0"/>
    </w:pPr>
    <w:rPr>
      <w:rFonts w:ascii="宋体" w:eastAsia="宋体" w:cs="Times New Roman"/>
      <w:kern w:val="2"/>
      <w:sz w:val="24"/>
      <w:lang w:val="en-US" w:eastAsia="zh-CN" w:bidi="ar-SA"/>
    </w:rPr>
  </w:style>
  <w:style w:type="paragraph" w:customStyle="1" w:styleId="143">
    <w:name w:val="样式 45 小四"/>
    <w:pPr>
      <w:widowControl w:val="0"/>
    </w:pPr>
    <w:rPr>
      <w:rFonts w:ascii="宋体" w:eastAsia="宋体" w:cs="Times New Roman"/>
      <w:kern w:val="2"/>
      <w:sz w:val="24"/>
      <w:lang w:val="en-US" w:eastAsia="zh-CN" w:bidi="ar-SA"/>
    </w:rPr>
  </w:style>
  <w:style w:type="paragraph" w:customStyle="1" w:styleId="144">
    <w:name w:val="样式 46 小四"/>
    <w:pPr>
      <w:widowControl w:val="0"/>
    </w:pPr>
    <w:rPr>
      <w:rFonts w:ascii="宋体" w:eastAsia="宋体" w:cs="Times New Roman"/>
      <w:kern w:val="2"/>
      <w:sz w:val="24"/>
      <w:lang w:val="en-US" w:eastAsia="zh-CN" w:bidi="ar-SA"/>
    </w:rPr>
  </w:style>
  <w:style w:type="paragraph" w:customStyle="1" w:styleId="145">
    <w:name w:val="样式 47 小四"/>
    <w:pPr>
      <w:widowControl w:val="0"/>
    </w:pPr>
    <w:rPr>
      <w:rFonts w:ascii="宋体" w:eastAsia="宋体" w:cs="Times New Roman"/>
      <w:kern w:val="2"/>
      <w:sz w:val="24"/>
      <w:lang w:val="en-US" w:eastAsia="zh-CN" w:bidi="ar-SA"/>
    </w:rPr>
  </w:style>
  <w:style w:type="paragraph" w:customStyle="1" w:styleId="146">
    <w:name w:val="样式 3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47">
    <w:name w:val="样式 48 小四"/>
    <w:pPr>
      <w:widowControl w:val="0"/>
      <w:spacing w:before="100" w:beforeAutospacing="1" w:after="100" w:afterAutospacing="1"/>
    </w:pPr>
    <w:rPr>
      <w:rFonts w:ascii="Times New Roman" w:eastAsia="宋体" w:cs="Times New Roman" w:hAnsi="Times New Roman"/>
      <w:sz w:val="24"/>
      <w:szCs w:val="24"/>
      <w:lang w:val="en-US" w:eastAsia="zh-CN" w:bidi="ar-SA"/>
    </w:rPr>
  </w:style>
  <w:style w:type="paragraph" w:customStyle="1" w:styleId="148">
    <w:name w:val="样式 49 小四"/>
    <w:pPr>
      <w:widowControl w:val="0"/>
    </w:pPr>
    <w:rPr>
      <w:rFonts w:ascii="宋体" w:eastAsia="宋体" w:cs="Times New Roman"/>
      <w:kern w:val="2"/>
      <w:sz w:val="24"/>
      <w:lang w:val="en-US" w:eastAsia="zh-CN" w:bidi="ar-SA"/>
    </w:rPr>
  </w:style>
  <w:style w:type="paragraph" w:customStyle="1" w:styleId="149">
    <w:name w:val="样式 3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50">
    <w:name w:val="样式 33 三号"/>
    <w:pPr>
      <w:widowControl w:val="0"/>
    </w:pPr>
    <w:rPr>
      <w:rFonts w:ascii="Times New Roman" w:eastAsia="方正仿宋_GBK" w:cs="Times New Roman" w:hAnsi="Times New Roman"/>
      <w:kern w:val="2"/>
      <w:sz w:val="32"/>
      <w:szCs w:val="22"/>
      <w:lang w:val="en-US" w:eastAsia="zh-CN" w:bidi="ar-SA"/>
    </w:rPr>
  </w:style>
  <w:style w:type="paragraph" w:customStyle="1" w:styleId="151">
    <w:name w:val="样式 34 三号"/>
    <w:pPr>
      <w:widowControl w:val="0"/>
    </w:pPr>
    <w:rPr>
      <w:rFonts w:ascii="Times New Roman" w:eastAsia="方正仿宋_GBK" w:cs="Times New Roman" w:hAnsi="Times New Roman"/>
      <w:b/>
      <w:kern w:val="2"/>
      <w:sz w:val="32"/>
      <w:szCs w:val="22"/>
      <w:lang w:val="en-US" w:eastAsia="zh-CN" w:bidi="ar-SA"/>
    </w:rPr>
  </w:style>
  <w:style w:type="paragraph" w:customStyle="1" w:styleId="152">
    <w:name w:val="样式 35 三号"/>
    <w:pPr>
      <w:widowControl w:val="0"/>
    </w:pPr>
    <w:rPr>
      <w:rFonts w:ascii="Times New Roman" w:eastAsia="方正仿宋_GBK" w:cs="Times New Roman" w:hAnsi="Times New Roman"/>
      <w:kern w:val="2"/>
      <w:sz w:val="32"/>
      <w:szCs w:val="22"/>
      <w:lang w:val="en-US" w:eastAsia="zh-CN" w:bidi="ar-SA"/>
    </w:rPr>
  </w:style>
  <w:style w:type="paragraph" w:customStyle="1" w:styleId="153">
    <w:name w:val="样式 36 三号"/>
    <w:pPr>
      <w:widowControl w:val="0"/>
    </w:pPr>
    <w:rPr>
      <w:rFonts w:ascii="Times New Roman" w:eastAsia="方正仿宋_GBK" w:cs="Times New Roman" w:hAnsi="Times New Roman"/>
      <w:b/>
      <w:kern w:val="2"/>
      <w:sz w:val="32"/>
      <w:szCs w:val="22"/>
      <w:lang w:val="en-US" w:eastAsia="zh-CN" w:bidi="ar-SA"/>
    </w:rPr>
  </w:style>
  <w:style w:type="paragraph" w:customStyle="1" w:styleId="154">
    <w:name w:val="样式 37 三号"/>
    <w:pPr>
      <w:widowControl w:val="0"/>
    </w:pPr>
    <w:rPr>
      <w:rFonts w:ascii="Times New Roman" w:eastAsia="方正仿宋_GBK" w:cs="Times New Roman" w:hAnsi="Times New Roman"/>
      <w:kern w:val="2"/>
      <w:sz w:val="32"/>
      <w:szCs w:val="22"/>
      <w:lang w:val="en-US" w:eastAsia="zh-CN" w:bidi="ar-SA"/>
    </w:rPr>
  </w:style>
  <w:style w:type="paragraph" w:customStyle="1" w:styleId="155">
    <w:name w:val="样式 38 三号"/>
    <w:pPr>
      <w:widowControl w:val="0"/>
    </w:pPr>
    <w:rPr>
      <w:rFonts w:ascii="Times New Roman" w:eastAsia="方正仿宋_GBK" w:cs="Times New Roman" w:hAnsi="Times New Roman"/>
      <w:b/>
      <w:kern w:val="2"/>
      <w:sz w:val="32"/>
      <w:szCs w:val="22"/>
      <w:lang w:val="en-US" w:eastAsia="zh-CN" w:bidi="ar-SA"/>
    </w:rPr>
  </w:style>
  <w:style w:type="paragraph" w:customStyle="1" w:styleId="156">
    <w:name w:val="样式 4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57">
    <w:name w:val="样式 41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58">
    <w:name w:val="样式 8 小五"/>
    <w:pPr>
      <w:widowControl w:val="0"/>
      <w:tabs>
        <w:tab w:val="center" w:pos="4153"/>
        <w:tab w:val="right" w:pos="8306"/>
      </w:tabs>
      <w:snapToGrid w:val="0"/>
      <w:jc w:val="left"/>
    </w:pPr>
    <w:rPr>
      <w:rFonts w:ascii="Times New Roman" w:eastAsia="方正仿宋_GBK" w:cs="Times New Roman" w:hAnsi="Times New Roman"/>
      <w:kern w:val="2"/>
      <w:sz w:val="18"/>
      <w:szCs w:val="18"/>
      <w:lang w:val="en-US" w:eastAsia="zh-CN" w:bidi="ar-SA"/>
    </w:rPr>
  </w:style>
  <w:style w:type="paragraph" w:customStyle="1" w:styleId="159">
    <w:name w:val="样式 42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160">
    <w:name w:val="样式 9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161">
    <w:name w:val="样式 50 小四"/>
    <w:pPr>
      <w:widowControl w:val="0"/>
    </w:pPr>
    <w:rPr>
      <w:rFonts w:ascii="宋体" w:eastAsia="宋体" w:cs="Times New Roman"/>
      <w:kern w:val="2"/>
      <w:sz w:val="24"/>
      <w:lang w:val="en-US" w:eastAsia="zh-CN" w:bidi="ar-SA"/>
    </w:rPr>
  </w:style>
  <w:style w:type="paragraph" w:customStyle="1" w:styleId="162">
    <w:name w:val="样式 43 三号"/>
    <w:pPr>
      <w:widowControl w:val="0"/>
    </w:pPr>
    <w:rPr>
      <w:rFonts w:ascii="Times New Roman" w:eastAsia="方正仿宋_GBK" w:cs="Times New Roman" w:hAnsi="Times New Roman"/>
      <w:kern w:val="2"/>
      <w:sz w:val="32"/>
      <w:szCs w:val="22"/>
      <w:lang w:val="en-US" w:eastAsia="zh-CN" w:bidi="ar-SA"/>
    </w:rPr>
  </w:style>
  <w:style w:type="paragraph" w:customStyle="1" w:styleId="163">
    <w:name w:val="样式 44 三号"/>
    <w:pPr>
      <w:widowControl w:val="0"/>
    </w:pPr>
    <w:rPr>
      <w:rFonts w:ascii="Times New Roman" w:eastAsia="方正仿宋_GBK" w:cs="Times New Roman" w:hAnsi="Times New Roman"/>
      <w:b/>
      <w:kern w:val="2"/>
      <w:sz w:val="32"/>
      <w:szCs w:val="22"/>
      <w:lang w:val="en-US" w:eastAsia="zh-CN" w:bidi="ar-SA"/>
    </w:rPr>
  </w:style>
  <w:style w:type="paragraph" w:customStyle="1" w:styleId="164">
    <w:name w:val="样式 45 三号"/>
    <w:pPr>
      <w:widowControl w:val="0"/>
    </w:pPr>
    <w:rPr>
      <w:rFonts w:ascii="Times New Roman" w:eastAsia="方正仿宋_GBK" w:cs="Times New Roman" w:hAnsi="Times New Roman"/>
      <w:kern w:val="2"/>
      <w:sz w:val="32"/>
      <w:szCs w:val="22"/>
      <w:lang w:val="en-US" w:eastAsia="zh-CN" w:bidi="ar-SA"/>
    </w:rPr>
  </w:style>
  <w:style w:type="paragraph" w:customStyle="1" w:styleId="165">
    <w:name w:val="样式 46 三号"/>
    <w:pPr>
      <w:widowControl w:val="0"/>
    </w:pPr>
    <w:rPr>
      <w:rFonts w:ascii="Times New Roman" w:eastAsia="方正仿宋_GBK" w:cs="Times New Roman" w:hAnsi="Times New Roman"/>
      <w:b/>
      <w:kern w:val="2"/>
      <w:sz w:val="32"/>
      <w:szCs w:val="22"/>
      <w:lang w:val="en-US" w:eastAsia="zh-CN" w:bidi="ar-SA"/>
    </w:rPr>
  </w:style>
  <w:style w:type="paragraph" w:customStyle="1" w:styleId="166">
    <w:name w:val="样式 51 小四"/>
    <w:pPr>
      <w:widowControl w:val="0"/>
    </w:pPr>
    <w:rPr>
      <w:rFonts w:ascii="宋体"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fontTable" Target="fontTable.xml"/></Relationships>
</file>

<file path=docProps/app.xml><?xml version="1.0" encoding="utf-8"?>
<Properties xmlns="http://schemas.openxmlformats.org/officeDocument/2006/extended-properties">
  <Template>Normal.eit</Template>
  <TotalTime>1048</TotalTime>
  <Application>Yozo_Office</Application>
  <Pages>8</Pages>
  <Words>2650</Words>
  <Characters>2767</Characters>
  <Lines>438</Lines>
  <Paragraphs>311</Paragraphs>
  <CharactersWithSpaces>2767</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Microsoft</cp:lastModifiedBy>
  <cp:revision>191</cp:revision>
  <cp:lastPrinted>2024-01-15T07:31:00Z</cp:lastPrinted>
  <dcterms:created xsi:type="dcterms:W3CDTF">2025-01-06T05:55:41Z</dcterms:created>
  <dcterms:modified xsi:type="dcterms:W3CDTF">2026-01-26T08:59:12Z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ICV">
    <vt:lpwstr>e35db86ce0b347fe9f107f27b202f727_23</vt:lpwstr>
  </property>
</Properties>
</file>