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6"/>
        <w:widowControl/>
        <w:shd w:val="clear" w:color="auto" w:fill="FFFFFF"/>
        <w:adjustRightInd w:val="0"/>
        <w:snapToGrid w:val="0"/>
        <w:spacing w:beforeAutospacing="0" w:afterAutospacing="0" w:line="560" w:lineRule="exact"/>
        <w:jc w:val="center"/>
        <w:rPr>
          <w:rFonts w:ascii="方正小标宋_GBK" w:eastAsia="方正小标宋_GBK"/>
          <w:sz w:val="32"/>
          <w:szCs w:val="32"/>
        </w:rPr>
      </w:pPr>
      <w:bookmarkStart w:id="0" w:name="_Hlk25540369"/>
      <w:bookmarkStart w:id="1" w:name="cogw__正文__file"/>
      <w:bookmarkStart w:id="2" w:name="_GoBack"/>
      <w:bookmarkEnd w:id="2"/>
      <w:r>
        <w:rPr>
          <w:rStyle w:val="72"/>
          <w:rFonts w:ascii="方正小标宋_GBK" w:eastAsia="方正小标宋_GBK" w:hint="eastAsia"/>
          <w:sz w:val="44"/>
          <w:szCs w:val="44"/>
        </w:rPr>
        <w:t>越秀海关202</w:t>
      </w:r>
      <w:r>
        <w:rPr>
          <w:rStyle w:val="72"/>
          <w:rFonts w:ascii="方正小标宋_GBK" w:eastAsia="方正小标宋_GBK"/>
          <w:sz w:val="44"/>
          <w:szCs w:val="44"/>
        </w:rPr>
        <w:t>5</w:t>
      </w:r>
      <w:r>
        <w:rPr>
          <w:rStyle w:val="72"/>
          <w:rFonts w:ascii="方正小标宋_GBK" w:eastAsia="方正小标宋_GBK" w:hint="eastAsia"/>
          <w:sz w:val="44"/>
          <w:szCs w:val="44"/>
        </w:rPr>
        <w:t>年政府信息公开工作年度报告</w:t>
      </w:r>
      <w:bookmarkEnd w:id="0"/>
    </w:p>
    <w:p>
      <w:pPr>
        <w:pStyle w:val="21"/>
        <w:tabs>
          <w:tab w:val="center" w:pos="4153"/>
          <w:tab w:val="right" w:pos="8306"/>
        </w:tabs>
        <w:rPr>
          <w:sz w:val="32"/>
          <w:szCs w:val="32"/>
        </w:rPr>
      </w:pPr>
    </w:p>
    <w:p>
      <w:pPr>
        <w:pStyle w:val="38"/>
        <w:adjustRightInd w:val="0"/>
        <w:snapToGrid w:val="0"/>
        <w:ind w:firstLineChars="200" w:firstLine="624"/>
        <w:rPr>
          <w:szCs w:val="32"/>
        </w:rPr>
      </w:pPr>
      <w:r>
        <w:rPr>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越秀海关202</w:t>
      </w:r>
      <w:r>
        <w:rPr>
          <w:rFonts w:hint="eastAsia"/>
          <w:szCs w:val="32"/>
        </w:rPr>
        <w:t>5</w:t>
      </w:r>
      <w:r>
        <w:rPr>
          <w:szCs w:val="32"/>
        </w:rPr>
        <w:t>年政府信息公开工作年报。年报中所列数据的统计期限，自202</w:t>
      </w:r>
      <w:r>
        <w:rPr>
          <w:rFonts w:hint="eastAsia"/>
          <w:szCs w:val="32"/>
        </w:rPr>
        <w:t>5</w:t>
      </w:r>
      <w:r>
        <w:rPr>
          <w:szCs w:val="32"/>
        </w:rPr>
        <w:t>年1月1日起至202</w:t>
      </w:r>
      <w:r>
        <w:rPr>
          <w:rFonts w:hint="eastAsia"/>
          <w:szCs w:val="32"/>
        </w:rPr>
        <w:t>5</w:t>
      </w:r>
      <w:r>
        <w:rPr>
          <w:szCs w:val="32"/>
        </w:rPr>
        <w:t>年12月31日止。如对本年报有疑问或有任何意见、建议，请联系越秀海关办公室。地址：广东省广州市越秀区先烈中路100号十五栋之一4楼越秀海关办公室，邮编：510075；电话：020-81134132；电子邮箱：yxhg@customs.gov.cn。</w:t>
      </w:r>
    </w:p>
    <w:p>
      <w:pPr>
        <w:pStyle w:val="38"/>
        <w:adjustRightInd w:val="0"/>
        <w:snapToGrid w:val="0"/>
        <w:ind w:firstLineChars="200" w:firstLine="624"/>
        <w:rPr>
          <w:rFonts w:eastAsia="方正黑体_GBK"/>
          <w:szCs w:val="32"/>
        </w:rPr>
      </w:pPr>
      <w:r>
        <w:rPr>
          <w:rFonts w:eastAsia="方正黑体_GBK"/>
          <w:szCs w:val="32"/>
        </w:rPr>
        <w:t>一、总体情况</w:t>
      </w:r>
    </w:p>
    <w:p>
      <w:pPr>
        <w:pStyle w:val="38"/>
        <w:adjustRightInd w:val="0"/>
        <w:snapToGrid w:val="0"/>
        <w:ind w:firstLineChars="200" w:firstLine="624"/>
        <w:rPr>
          <w:szCs w:val="32"/>
        </w:rPr>
      </w:pPr>
      <w:r>
        <w:rPr>
          <w:szCs w:val="32"/>
        </w:rPr>
        <w:t>202</w:t>
      </w:r>
      <w:r>
        <w:rPr>
          <w:rFonts w:hint="eastAsia"/>
          <w:szCs w:val="32"/>
        </w:rPr>
        <w:t>5</w:t>
      </w:r>
      <w:r>
        <w:rPr>
          <w:szCs w:val="32"/>
        </w:rPr>
        <w:t>年，越秀海关坚持以习近平新时代中国特色社会主义思想为指导，全面贯彻落实党的二十大和二十届历次全会精神，深入学习贯彻习近平总书记重要指示批示和给红其拉甫海关全体关员重要回信精神，准确把握新时代新征程海关工作根本遵循，严格贯彻落实《中华人民共和国政府信息公开条例》，</w:t>
      </w:r>
      <w:r>
        <w:rPr>
          <w:rFonts w:hint="eastAsia"/>
          <w:szCs w:val="32"/>
        </w:rPr>
        <w:t>以“精准公开促服务、规范公开促效能”为目标，</w:t>
      </w:r>
      <w:r>
        <w:rPr>
          <w:szCs w:val="32"/>
        </w:rPr>
        <w:t>结合关区产业特点、企业公众实际需求，扎实推进政府信息公开工作。现将工作情况报告如下：</w:t>
      </w:r>
    </w:p>
    <w:p>
      <w:pPr>
        <w:pStyle w:val="38"/>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（一）主动公开情况。</w:t>
      </w:r>
    </w:p>
    <w:p>
      <w:pPr>
        <w:pStyle w:val="38"/>
        <w:adjustRightInd w:val="0"/>
        <w:snapToGrid w:val="0"/>
        <w:ind w:firstLine="624"/>
        <w:rPr>
          <w:szCs w:val="22"/>
        </w:rPr>
      </w:pPr>
      <w:r>
        <w:rPr>
          <w:szCs w:val="32"/>
        </w:rPr>
        <w:t>在广州海关门户网站、越秀海关公告栏、越秀区政务服务中心窗口海关公告栏及电子显示屏等渠道更新维护机构职能、机构设置、联系方式、负责人姓名、办公时间、业务咨询电话、本关政务公开标准事项目录等信息</w:t>
      </w:r>
      <w:r>
        <w:rPr>
          <w:rFonts w:hint="eastAsia"/>
          <w:szCs w:val="32"/>
        </w:rPr>
        <w:t>，按要求及时公示</w:t>
      </w:r>
      <w:r>
        <w:rPr>
          <w:szCs w:val="32"/>
        </w:rPr>
        <w:t>辖区已</w:t>
      </w:r>
      <w:r>
        <w:rPr>
          <w:rFonts w:hint="eastAsia"/>
          <w:szCs w:val="32"/>
        </w:rPr>
        <w:t>核准的进出境动植物检疫除害处理单位名单。</w:t>
      </w:r>
      <w:r>
        <w:rPr>
          <w:szCs w:val="32"/>
        </w:rPr>
        <w:t>年内，通过广州海关门户网站主动公开政府信息公开工作年报、</w:t>
      </w:r>
      <w:r>
        <w:rPr>
          <w:rFonts w:hint="eastAsia"/>
          <w:szCs w:val="32"/>
        </w:rPr>
        <w:t>行政执法统计年报、行政检查随机抽查清单、</w:t>
      </w:r>
      <w:r>
        <w:rPr>
          <w:szCs w:val="32"/>
        </w:rPr>
        <w:t>财务预决算、</w:t>
      </w:r>
      <w:r>
        <w:rPr>
          <w:rFonts w:hint="eastAsia"/>
          <w:szCs w:val="32"/>
        </w:rPr>
        <w:t>财政信息、</w:t>
      </w:r>
      <w:r>
        <w:rPr>
          <w:szCs w:val="32"/>
        </w:rPr>
        <w:t>行政处罚、关长接待日</w:t>
      </w:r>
      <w:r>
        <w:rPr>
          <w:rFonts w:hint="eastAsia"/>
          <w:szCs w:val="32"/>
        </w:rPr>
        <w:t>通知</w:t>
      </w:r>
      <w:r>
        <w:rPr>
          <w:szCs w:val="32"/>
        </w:rPr>
        <w:t>等信息3</w:t>
      </w:r>
      <w:r>
        <w:rPr>
          <w:rFonts w:hint="eastAsia"/>
          <w:szCs w:val="32"/>
        </w:rPr>
        <w:t>5</w:t>
      </w:r>
      <w:r>
        <w:rPr>
          <w:szCs w:val="32"/>
        </w:rPr>
        <w:t>条；通过</w:t>
      </w:r>
      <w:r>
        <w:rPr>
          <w:rFonts w:hint="eastAsia"/>
          <w:szCs w:val="32"/>
        </w:rPr>
        <w:t>越秀海关公告栏</w:t>
      </w:r>
      <w:r>
        <w:rPr>
          <w:szCs w:val="32"/>
        </w:rPr>
        <w:t>主动</w:t>
      </w:r>
      <w:r>
        <w:rPr>
          <w:rFonts w:hint="eastAsia"/>
          <w:szCs w:val="32"/>
        </w:rPr>
        <w:t>公示</w:t>
      </w:r>
      <w:r>
        <w:rPr>
          <w:szCs w:val="32"/>
        </w:rPr>
        <w:t>每月</w:t>
      </w:r>
      <w:r>
        <w:rPr>
          <w:rFonts w:hint="eastAsia"/>
          <w:szCs w:val="32"/>
        </w:rPr>
        <w:t>属地查检排班情况。</w:t>
      </w:r>
    </w:p>
    <w:p>
      <w:pPr>
        <w:pStyle w:val="38"/>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（二）依申请公开情况。</w:t>
      </w:r>
    </w:p>
    <w:p>
      <w:pPr>
        <w:pStyle w:val="38"/>
        <w:adjustRightInd w:val="0"/>
        <w:snapToGrid w:val="0"/>
        <w:ind w:firstLineChars="200" w:firstLine="624"/>
        <w:rPr>
          <w:szCs w:val="32"/>
        </w:rPr>
      </w:pPr>
      <w:r>
        <w:rPr>
          <w:rFonts w:hint="eastAsia"/>
          <w:szCs w:val="32"/>
        </w:rPr>
        <w:t>健全办理工作机制，完善“接</w:t>
      </w:r>
      <w:r>
        <w:rPr>
          <w:szCs w:val="32"/>
        </w:rPr>
        <w:t>收</w:t>
      </w:r>
      <w:r>
        <w:rPr>
          <w:rFonts w:hint="eastAsia"/>
          <w:szCs w:val="32"/>
        </w:rPr>
        <w:t>—审核—研判—办理—答复—归档”全流程工作规范，明确各环节办理事项与责任分工，设立专人专岗负责申请处理，确保“件件有回应、事事有落实”。常态化组织政府信息公开业务培训，持续提升</w:t>
      </w:r>
      <w:r>
        <w:rPr>
          <w:szCs w:val="32"/>
        </w:rPr>
        <w:t>岗位人员</w:t>
      </w:r>
      <w:r>
        <w:rPr>
          <w:rFonts w:hint="eastAsia"/>
          <w:szCs w:val="32"/>
        </w:rPr>
        <w:t>专业履职能力；保</w:t>
      </w:r>
      <w:r>
        <w:rPr>
          <w:szCs w:val="32"/>
        </w:rPr>
        <w:t>障</w:t>
      </w:r>
      <w:r>
        <w:rPr>
          <w:rFonts w:hint="eastAsia"/>
          <w:szCs w:val="32"/>
        </w:rPr>
        <w:t>现场提交、邮政寄递、传真、电子邮件等政府信息公开申请接收渠道畅通，做到及时查阅、规范处置。</w:t>
      </w:r>
      <w:r>
        <w:rPr>
          <w:szCs w:val="32"/>
        </w:rPr>
        <w:t>年内，越秀海关未收到政府信息公开申请</w:t>
      </w:r>
      <w:r>
        <w:t>，未发生因政府信息公开申请引发的行政</w:t>
      </w:r>
      <w:r>
        <w:rPr>
          <w:rFonts w:hint="eastAsia"/>
        </w:rPr>
        <w:t>复议</w:t>
      </w:r>
      <w:r>
        <w:t>、</w:t>
      </w:r>
      <w:r>
        <w:rPr>
          <w:rFonts w:hint="eastAsia"/>
        </w:rPr>
        <w:t>诉讼</w:t>
      </w:r>
      <w:r>
        <w:rPr>
          <w:szCs w:val="32"/>
        </w:rPr>
        <w:t>。</w:t>
      </w:r>
    </w:p>
    <w:p>
      <w:pPr>
        <w:pStyle w:val="38"/>
        <w:adjustRightInd w:val="0"/>
        <w:snapToGrid w:val="0"/>
        <w:ind w:firstLineChars="200" w:firstLine="624"/>
        <w:rPr>
          <w:rFonts w:ascii="方正楷体_GBK" w:eastAsia="方正楷体_GBK"/>
          <w:b/>
          <w:bCs/>
          <w:szCs w:val="32"/>
        </w:rPr>
      </w:pPr>
      <w:r>
        <w:rPr>
          <w:rFonts w:ascii="方正楷体_GBK" w:eastAsia="方正楷体_GBK" w:hint="eastAsia"/>
          <w:b/>
          <w:bCs/>
          <w:szCs w:val="32"/>
        </w:rPr>
        <w:t>（三）政府信息管理情况。</w:t>
      </w:r>
    </w:p>
    <w:p>
      <w:pPr>
        <w:pStyle w:val="38"/>
        <w:adjustRightInd w:val="0"/>
        <w:snapToGrid w:val="0"/>
        <w:ind w:firstLineChars="200" w:firstLine="624"/>
        <w:rPr>
          <w:szCs w:val="32"/>
        </w:rPr>
      </w:pPr>
      <w:r>
        <w:rPr>
          <w:szCs w:val="32"/>
        </w:rPr>
        <w:t>根据工作实际全面梳理本关政务公开工作，扎实开展基层政务公开标准化规范化建设，</w:t>
      </w:r>
      <w:r>
        <w:rPr>
          <w:rFonts w:hint="eastAsia"/>
          <w:szCs w:val="32"/>
        </w:rPr>
        <w:t>进一步优化政务公开工作内部运行机制，</w:t>
      </w:r>
      <w:r>
        <w:rPr>
          <w:rFonts w:hint="eastAsia"/>
          <w:bCs/>
          <w:kern w:val="0"/>
          <w:szCs w:val="32"/>
        </w:rPr>
        <w:t>严格</w:t>
      </w:r>
      <w:r>
        <w:rPr>
          <w:bCs/>
          <w:kern w:val="0"/>
          <w:szCs w:val="32"/>
        </w:rPr>
        <w:t>落实信息公开时效要求</w:t>
      </w:r>
      <w:r>
        <w:rPr>
          <w:szCs w:val="32"/>
        </w:rPr>
        <w:t>。按照</w:t>
      </w:r>
      <w:r>
        <w:rPr>
          <w:rFonts w:hint="eastAsia"/>
          <w:szCs w:val="32"/>
        </w:rPr>
        <w:t>“谁制作</w:t>
      </w:r>
      <w:r>
        <w:rPr>
          <w:szCs w:val="32"/>
        </w:rPr>
        <w:t>、谁公开</w:t>
      </w:r>
      <w:r>
        <w:rPr>
          <w:rFonts w:hint="eastAsia"/>
          <w:szCs w:val="32"/>
        </w:rPr>
        <w:t>”</w:t>
      </w:r>
      <w:r>
        <w:rPr>
          <w:rFonts w:ascii="方正仿宋_GBK" w:hint="eastAsia"/>
          <w:szCs w:val="32"/>
        </w:rPr>
        <w:t>“先审</w:t>
      </w:r>
      <w:r>
        <w:rPr>
          <w:rFonts w:ascii="方正仿宋_GBK"/>
          <w:szCs w:val="32"/>
        </w:rPr>
        <w:t>查、</w:t>
      </w:r>
      <w:r>
        <w:rPr>
          <w:rFonts w:ascii="方正仿宋_GBK" w:hint="eastAsia"/>
          <w:szCs w:val="32"/>
        </w:rPr>
        <w:t>后</w:t>
      </w:r>
      <w:r>
        <w:rPr>
          <w:rFonts w:ascii="方正仿宋_GBK"/>
          <w:szCs w:val="32"/>
        </w:rPr>
        <w:t>公开</w:t>
      </w:r>
      <w:r>
        <w:rPr>
          <w:rFonts w:ascii="方正仿宋_GBK" w:hint="eastAsia"/>
          <w:szCs w:val="32"/>
        </w:rPr>
        <w:t>”</w:t>
      </w:r>
      <w:r>
        <w:rPr>
          <w:rFonts w:ascii="方正仿宋_GBK"/>
          <w:szCs w:val="32"/>
        </w:rPr>
        <w:t>原则，明确</w:t>
      </w:r>
      <w:r>
        <w:rPr>
          <w:szCs w:val="32"/>
        </w:rPr>
        <w:t>信息发布主体责任，规范执行信息公开发布审查程序。</w:t>
      </w:r>
    </w:p>
    <w:p>
      <w:pPr>
        <w:pStyle w:val="38"/>
        <w:adjustRightInd w:val="0"/>
        <w:snapToGrid w:val="0"/>
        <w:ind w:firstLineChars="200" w:firstLine="624"/>
        <w:rPr>
          <w:rFonts w:ascii="方正楷体_GBK" w:eastAsia="方正楷体_GBK"/>
          <w:b/>
          <w:bCs/>
          <w:szCs w:val="32"/>
        </w:rPr>
      </w:pPr>
      <w:r>
        <w:rPr>
          <w:rFonts w:ascii="方正楷体_GBK" w:eastAsia="方正楷体_GBK" w:hint="eastAsia"/>
          <w:b/>
          <w:bCs/>
          <w:szCs w:val="32"/>
        </w:rPr>
        <w:t>（四）政府信息公开平台建设情况。</w:t>
      </w:r>
    </w:p>
    <w:p>
      <w:pPr>
        <w:pStyle w:val="79"/>
        <w:spacing w:line="560" w:lineRule="exact"/>
        <w:ind w:firstLine="643"/>
        <w:rPr>
          <w:rFonts w:ascii="Times New Roman" w:eastAsia="方正仿宋_GBK" w:hAnsi="Times New Roman"/>
          <w:sz w:val="32"/>
          <w:szCs w:val="32"/>
        </w:rPr>
      </w:pPr>
      <w:r>
        <w:rPr>
          <w:rFonts w:ascii="Times New Roman" w:eastAsia="方正仿宋_GBK" w:hAnsi="Times New Roman" w:hint="eastAsia"/>
          <w:b/>
          <w:sz w:val="32"/>
          <w:szCs w:val="32"/>
        </w:rPr>
        <w:t>一是强化线上主阵地建设</w:t>
      </w:r>
      <w:r>
        <w:rPr>
          <w:rFonts w:ascii="Times New Roman" w:eastAsia="方正仿宋_GBK" w:hAnsi="Times New Roman" w:hint="eastAsia"/>
          <w:sz w:val="32"/>
          <w:szCs w:val="32"/>
        </w:rPr>
        <w:t>。优化广州海关门户网站越秀海关专栏设置，及时维护更新机构概况及业务咨询渠道等内容。依托“广州海关12360”微信公众号，宣传海关组织宪法宣传活动及惠企政策宣讲会等内容，扩大信息传播覆盖面。</w:t>
      </w:r>
      <w:r>
        <w:rPr>
          <w:rFonts w:ascii="Times New Roman" w:eastAsia="方正仿宋_GBK" w:hAnsi="Times New Roman" w:hint="eastAsia"/>
          <w:b/>
          <w:sz w:val="32"/>
          <w:szCs w:val="32"/>
        </w:rPr>
        <w:t>二是丰富线下公开场景。</w:t>
      </w:r>
      <w:r>
        <w:rPr>
          <w:rFonts w:ascii="Times New Roman" w:eastAsia="方正仿宋_GBK" w:hAnsi="Times New Roman"/>
          <w:sz w:val="32"/>
          <w:szCs w:val="32"/>
        </w:rPr>
        <w:t>运用</w:t>
      </w:r>
      <w:r>
        <w:rPr>
          <w:rFonts w:ascii="Times New Roman" w:eastAsia="方正仿宋_GBK" w:hAnsi="Times New Roman" w:hint="eastAsia"/>
          <w:sz w:val="32"/>
          <w:szCs w:val="32"/>
        </w:rPr>
        <w:t>辖区政务服务中心公用电脑、电子显示屏滚动显示政策法规、办事指南、政务</w:t>
      </w:r>
      <w:r>
        <w:rPr>
          <w:rFonts w:ascii="Times New Roman" w:eastAsia="方正仿宋_GBK" w:hAnsi="Times New Roman"/>
          <w:sz w:val="32"/>
          <w:szCs w:val="32"/>
        </w:rPr>
        <w:t>服务</w:t>
      </w:r>
      <w:r>
        <w:rPr>
          <w:rFonts w:ascii="Times New Roman" w:eastAsia="方正仿宋_GBK" w:hAnsi="Times New Roman" w:hint="eastAsia"/>
          <w:sz w:val="32"/>
          <w:szCs w:val="32"/>
        </w:rPr>
        <w:t>地图等内容。</w:t>
      </w:r>
      <w:r>
        <w:rPr>
          <w:rFonts w:ascii="Times New Roman" w:eastAsia="方正仿宋_GBK" w:hAnsi="Times New Roman"/>
          <w:sz w:val="32"/>
          <w:szCs w:val="32"/>
        </w:rPr>
        <w:t>持续丰富</w:t>
      </w:r>
      <w:r>
        <w:rPr>
          <w:rFonts w:ascii="Times New Roman" w:eastAsia="方正仿宋_GBK" w:hAnsi="Times New Roman" w:hint="eastAsia"/>
          <w:sz w:val="32"/>
          <w:szCs w:val="32"/>
        </w:rPr>
        <w:t>“</w:t>
      </w:r>
      <w:r>
        <w:rPr>
          <w:rFonts w:ascii="Times New Roman" w:eastAsia="方正仿宋_GBK" w:hAnsi="Times New Roman"/>
          <w:sz w:val="32"/>
          <w:szCs w:val="32"/>
        </w:rPr>
        <w:t>关徽映红棉</w:t>
      </w:r>
      <w:r>
        <w:rPr>
          <w:rFonts w:ascii="Times New Roman" w:eastAsia="方正仿宋_GBK" w:hAnsi="Times New Roman" w:hint="eastAsia"/>
          <w:sz w:val="32"/>
          <w:szCs w:val="32"/>
        </w:rPr>
        <w:t>”</w:t>
      </w:r>
      <w:r>
        <w:rPr>
          <w:rFonts w:ascii="Times New Roman" w:eastAsia="方正仿宋_GBK" w:hAnsi="Times New Roman"/>
          <w:sz w:val="32"/>
          <w:szCs w:val="32"/>
        </w:rPr>
        <w:t>服务品牌内涵，年内开展关长接待日12次、</w:t>
      </w:r>
      <w:r>
        <w:rPr>
          <w:rFonts w:ascii="Times New Roman" w:eastAsia="方正仿宋_GBK" w:hAnsi="Times New Roman" w:hint="eastAsia"/>
          <w:sz w:val="32"/>
          <w:szCs w:val="32"/>
        </w:rPr>
        <w:t>“海关进企业、海关进社区、海关进校园”——</w:t>
      </w:r>
      <w:r>
        <w:rPr>
          <w:rFonts w:ascii="方正仿宋_GBK" w:eastAsia="方正仿宋_GBK" w:hint="eastAsia"/>
          <w:sz w:val="32"/>
          <w:szCs w:val="32"/>
        </w:rPr>
        <w:t>“三进”</w:t>
      </w:r>
      <w:r>
        <w:rPr>
          <w:rFonts w:ascii="Times New Roman" w:eastAsia="方正仿宋_GBK" w:hAnsi="Times New Roman"/>
          <w:sz w:val="32"/>
          <w:szCs w:val="32"/>
        </w:rPr>
        <w:t>品牌活动</w:t>
      </w:r>
      <w:r>
        <w:rPr>
          <w:rFonts w:ascii="Times New Roman" w:eastAsia="方正仿宋_GBK" w:hAnsi="Times New Roman" w:hint="eastAsia"/>
          <w:sz w:val="32"/>
          <w:szCs w:val="32"/>
        </w:rPr>
        <w:t>1</w:t>
      </w:r>
      <w:r>
        <w:rPr>
          <w:rFonts w:ascii="Times New Roman" w:eastAsia="方正仿宋_GBK" w:hAnsi="Times New Roman"/>
          <w:sz w:val="32"/>
          <w:szCs w:val="32"/>
        </w:rPr>
        <w:t>8</w:t>
      </w:r>
      <w:r>
        <w:rPr>
          <w:rFonts w:ascii="Times New Roman" w:eastAsia="方正仿宋_GBK" w:hAnsi="Times New Roman" w:hint="eastAsia"/>
          <w:sz w:val="32"/>
          <w:szCs w:val="32"/>
        </w:rPr>
        <w:t>2</w:t>
      </w:r>
      <w:r>
        <w:rPr>
          <w:rFonts w:ascii="Times New Roman" w:eastAsia="方正仿宋_GBK" w:hAnsi="Times New Roman"/>
          <w:sz w:val="32"/>
          <w:szCs w:val="32"/>
        </w:rPr>
        <w:t>次。</w:t>
      </w:r>
      <w:r>
        <w:rPr>
          <w:rFonts w:ascii="方正仿宋_GBK" w:eastAsia="方正仿宋_GBK" w:hint="eastAsia"/>
          <w:b/>
          <w:sz w:val="32"/>
          <w:szCs w:val="32"/>
        </w:rPr>
        <w:t>三是深化跨部门联动</w:t>
      </w:r>
      <w:r>
        <w:rPr>
          <w:rFonts w:ascii="方正仿宋_GBK" w:eastAsia="方正仿宋_GBK"/>
          <w:b/>
          <w:sz w:val="32"/>
          <w:szCs w:val="32"/>
        </w:rPr>
        <w:t>协作</w:t>
      </w:r>
      <w:r>
        <w:rPr>
          <w:rFonts w:ascii="Times New Roman" w:eastAsia="方正仿宋_GBK" w:hAnsi="Times New Roman" w:hint="eastAsia"/>
          <w:sz w:val="32"/>
          <w:szCs w:val="32"/>
        </w:rPr>
        <w:t>。联合越秀区商务局、市场监管局等部门，开展企业调研和政策宣讲，同步</w:t>
      </w:r>
      <w:r>
        <w:rPr>
          <w:rFonts w:ascii="Times New Roman" w:eastAsia="方正仿宋_GBK" w:hAnsi="Times New Roman"/>
          <w:sz w:val="32"/>
          <w:szCs w:val="32"/>
        </w:rPr>
        <w:t>宣传</w:t>
      </w:r>
      <w:r>
        <w:rPr>
          <w:rFonts w:ascii="Times New Roman" w:eastAsia="方正仿宋_GBK" w:hAnsi="Times New Roman" w:hint="eastAsia"/>
          <w:sz w:val="32"/>
          <w:szCs w:val="32"/>
        </w:rPr>
        <w:t>跨部门协调服务信息，协同地方相关部门联动解决业务疑难问题</w:t>
      </w:r>
      <w:r>
        <w:rPr>
          <w:rFonts w:ascii="Times New Roman" w:eastAsia="方正仿宋_GBK" w:hAnsi="Times New Roman"/>
          <w:sz w:val="32"/>
          <w:szCs w:val="32"/>
        </w:rPr>
        <w:t>9</w:t>
      </w:r>
      <w:r>
        <w:rPr>
          <w:rFonts w:ascii="Times New Roman" w:eastAsia="方正仿宋_GBK" w:hAnsi="Times New Roman" w:hint="eastAsia"/>
          <w:sz w:val="32"/>
          <w:szCs w:val="32"/>
        </w:rPr>
        <w:t>个，形成工作合力。</w:t>
      </w:r>
    </w:p>
    <w:p>
      <w:pPr>
        <w:pStyle w:val="79"/>
        <w:spacing w:line="560" w:lineRule="exact"/>
        <w:ind w:firstLineChars="200" w:firstLine="640"/>
        <w:jc w:val="both"/>
        <w:rPr>
          <w:rFonts w:ascii="方正楷体_GBK" w:eastAsia="方正楷体_GBK"/>
          <w:b/>
          <w:bCs/>
          <w:sz w:val="32"/>
          <w:szCs w:val="32"/>
        </w:rPr>
      </w:pPr>
      <w:r>
        <w:rPr>
          <w:rFonts w:ascii="方正楷体_GBK" w:eastAsia="方正楷体_GBK" w:hint="eastAsia"/>
          <w:b/>
          <w:bCs/>
          <w:sz w:val="32"/>
          <w:szCs w:val="32"/>
        </w:rPr>
        <w:t>（五）监督保障</w:t>
      </w:r>
      <w:r>
        <w:rPr>
          <w:rFonts w:ascii="方正楷体_GBK" w:eastAsia="方正楷体_GBK"/>
          <w:b/>
          <w:bCs/>
          <w:sz w:val="32"/>
          <w:szCs w:val="32"/>
        </w:rPr>
        <w:t>情况</w:t>
      </w:r>
      <w:r>
        <w:rPr>
          <w:rFonts w:ascii="方正楷体_GBK" w:eastAsia="方正楷体_GBK" w:hint="eastAsia"/>
          <w:b/>
          <w:bCs/>
          <w:sz w:val="32"/>
          <w:szCs w:val="32"/>
        </w:rPr>
        <w:t>。</w:t>
      </w:r>
    </w:p>
    <w:p>
      <w:pPr>
        <w:pStyle w:val="79"/>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hint="eastAsia"/>
          <w:sz w:val="32"/>
          <w:szCs w:val="32"/>
        </w:rPr>
        <w:t>建立定期自查与随机抽查相结合的监督机制，</w:t>
      </w:r>
      <w:r>
        <w:rPr>
          <w:rFonts w:ascii="Times New Roman" w:eastAsia="方正仿宋_GBK" w:hAnsi="Times New Roman"/>
          <w:sz w:val="32"/>
          <w:szCs w:val="32"/>
        </w:rPr>
        <w:t>年内</w:t>
      </w:r>
      <w:r>
        <w:rPr>
          <w:rFonts w:ascii="Times New Roman" w:eastAsia="方正仿宋_GBK" w:hAnsi="Times New Roman" w:hint="eastAsia"/>
          <w:sz w:val="32"/>
          <w:szCs w:val="32"/>
        </w:rPr>
        <w:t>开展政务公开工作检查4次，</w:t>
      </w:r>
      <w:r>
        <w:rPr>
          <w:rFonts w:ascii="Times New Roman" w:eastAsia="方正仿宋_GBK" w:hAnsi="Times New Roman"/>
          <w:sz w:val="32"/>
          <w:szCs w:val="32"/>
        </w:rPr>
        <w:t>及时</w:t>
      </w:r>
      <w:r>
        <w:rPr>
          <w:rFonts w:ascii="Times New Roman" w:eastAsia="方正仿宋_GBK" w:hAnsi="Times New Roman" w:hint="eastAsia"/>
          <w:sz w:val="32"/>
          <w:szCs w:val="32"/>
        </w:rPr>
        <w:t>发现并</w:t>
      </w:r>
      <w:r>
        <w:rPr>
          <w:rFonts w:ascii="Times New Roman" w:eastAsia="方正仿宋_GBK" w:hAnsi="Times New Roman"/>
          <w:sz w:val="32"/>
          <w:szCs w:val="32"/>
        </w:rPr>
        <w:t>迅速</w:t>
      </w:r>
      <w:r>
        <w:rPr>
          <w:rFonts w:ascii="Times New Roman" w:eastAsia="方正仿宋_GBK" w:hAnsi="Times New Roman" w:hint="eastAsia"/>
          <w:sz w:val="32"/>
          <w:szCs w:val="32"/>
        </w:rPr>
        <w:t>整改</w:t>
      </w:r>
      <w:r>
        <w:rPr>
          <w:rFonts w:ascii="Times New Roman" w:eastAsia="方正仿宋_GBK" w:hAnsi="Times New Roman"/>
          <w:sz w:val="32"/>
          <w:szCs w:val="32"/>
        </w:rPr>
        <w:t>相关</w:t>
      </w:r>
      <w:r>
        <w:rPr>
          <w:rFonts w:ascii="Times New Roman" w:eastAsia="方正仿宋_GBK" w:hAnsi="Times New Roman" w:hint="eastAsia"/>
          <w:sz w:val="32"/>
          <w:szCs w:val="32"/>
        </w:rPr>
        <w:t>问题。</w:t>
      </w:r>
      <w:r>
        <w:rPr>
          <w:rFonts w:ascii="Times New Roman" w:eastAsia="方正仿宋_GBK" w:hAnsi="Times New Roman"/>
          <w:sz w:val="32"/>
          <w:szCs w:val="32"/>
        </w:rPr>
        <w:t>组织开展政府信息公开相关岗位工作人员</w:t>
      </w:r>
      <w:r>
        <w:rPr>
          <w:rFonts w:ascii="Times New Roman" w:eastAsia="方正仿宋_GBK" w:hAnsi="Times New Roman" w:hint="eastAsia"/>
          <w:sz w:val="32"/>
          <w:szCs w:val="32"/>
        </w:rPr>
        <w:t>专题</w:t>
      </w:r>
      <w:r>
        <w:rPr>
          <w:rFonts w:ascii="Times New Roman" w:eastAsia="方正仿宋_GBK" w:hAnsi="Times New Roman"/>
          <w:sz w:val="32"/>
          <w:szCs w:val="32"/>
        </w:rPr>
        <w:t>培训，确保最新要求落实到位；关内发布风险</w:t>
      </w:r>
      <w:r>
        <w:rPr>
          <w:rFonts w:ascii="Times New Roman" w:eastAsia="方正仿宋_GBK" w:hAnsi="Times New Roman" w:hint="eastAsia"/>
          <w:sz w:val="32"/>
          <w:szCs w:val="32"/>
        </w:rPr>
        <w:t>通报提醒，</w:t>
      </w:r>
      <w:r>
        <w:rPr>
          <w:rFonts w:ascii="Times New Roman" w:eastAsia="方正仿宋_GBK" w:hAnsi="Times New Roman"/>
          <w:sz w:val="32"/>
          <w:szCs w:val="32"/>
        </w:rPr>
        <w:t>强化</w:t>
      </w:r>
      <w:r>
        <w:rPr>
          <w:rFonts w:ascii="Times New Roman" w:eastAsia="方正仿宋_GBK" w:hAnsi="Times New Roman" w:hint="eastAsia"/>
          <w:sz w:val="32"/>
          <w:szCs w:val="32"/>
        </w:rPr>
        <w:t>政府信息公开工作规范</w:t>
      </w:r>
      <w:r>
        <w:rPr>
          <w:rFonts w:ascii="Times New Roman" w:eastAsia="方正仿宋_GBK" w:hAnsi="Times New Roman"/>
          <w:sz w:val="32"/>
          <w:szCs w:val="32"/>
        </w:rPr>
        <w:t>意识</w:t>
      </w:r>
      <w:r>
        <w:rPr>
          <w:rFonts w:ascii="Times New Roman" w:eastAsia="方正仿宋_GBK" w:hAnsi="Times New Roman" w:hint="eastAsia"/>
          <w:sz w:val="32"/>
          <w:szCs w:val="32"/>
        </w:rPr>
        <w:t>。</w:t>
      </w:r>
      <w:r>
        <w:rPr>
          <w:rFonts w:ascii="Times New Roman" w:eastAsia="方正仿宋_GBK" w:hAnsi="Times New Roman"/>
          <w:sz w:val="32"/>
          <w:szCs w:val="32"/>
        </w:rPr>
        <w:t>召开关企座谈会，聘请特约监督员参加，积极听取企业公众对海关事业发展的意见建议，自觉接受社会监督。</w:t>
      </w:r>
    </w:p>
    <w:p>
      <w:pPr>
        <w:pStyle w:val="79"/>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（六）政务公开工作亮点。</w:t>
      </w:r>
    </w:p>
    <w:p>
      <w:pPr>
        <w:pStyle w:val="79"/>
        <w:spacing w:line="56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不断创新工作思路和方法，</w:t>
      </w:r>
      <w:r>
        <w:rPr>
          <w:rFonts w:ascii="Times New Roman" w:eastAsia="方正仿宋_GBK" w:hAnsi="Times New Roman" w:hint="eastAsia"/>
          <w:sz w:val="32"/>
          <w:szCs w:val="32"/>
        </w:rPr>
        <w:t>联合越秀区发改局上线“越海关AI智答”智能服务体，打造政务服务创新场景，为企业</w:t>
      </w:r>
      <w:r>
        <w:rPr>
          <w:rFonts w:ascii="Times New Roman" w:eastAsia="方正仿宋_GBK" w:hAnsi="Times New Roman"/>
          <w:sz w:val="32"/>
          <w:szCs w:val="32"/>
        </w:rPr>
        <w:t>公</w:t>
      </w:r>
      <w:r>
        <w:rPr>
          <w:rFonts w:ascii="Times New Roman" w:eastAsia="方正仿宋_GBK" w:hAnsi="Times New Roman" w:hint="eastAsia"/>
          <w:sz w:val="32"/>
          <w:szCs w:val="32"/>
        </w:rPr>
        <w:t>众提供线上智能问答的便捷体验，有力提升越秀海关政务服务智能化化水平，</w:t>
      </w:r>
      <w:r>
        <w:rPr>
          <w:rFonts w:ascii="Times New Roman" w:eastAsia="方正仿宋_GBK" w:hAnsi="Times New Roman"/>
          <w:sz w:val="32"/>
          <w:szCs w:val="32"/>
        </w:rPr>
        <w:t>年内</w:t>
      </w:r>
      <w:r>
        <w:rPr>
          <w:rFonts w:ascii="Times New Roman" w:eastAsia="方正仿宋_GBK" w:hAnsi="Times New Roman" w:hint="eastAsia"/>
          <w:sz w:val="32"/>
          <w:szCs w:val="32"/>
        </w:rPr>
        <w:t>累计服务企业群众</w:t>
      </w:r>
      <w:r>
        <w:rPr>
          <w:rFonts w:ascii="Times New Roman" w:eastAsia="方正仿宋_GBK" w:hAnsi="Times New Roman"/>
          <w:sz w:val="32"/>
          <w:szCs w:val="32"/>
        </w:rPr>
        <w:t>近4</w:t>
      </w:r>
      <w:r>
        <w:rPr>
          <w:rFonts w:ascii="Times New Roman" w:eastAsia="方正仿宋_GBK" w:hAnsi="Times New Roman" w:hint="eastAsia"/>
          <w:sz w:val="32"/>
          <w:szCs w:val="32"/>
        </w:rPr>
        <w:t>00次。推进“企航2025”</w:t>
      </w:r>
      <w:r>
        <w:rPr>
          <w:rFonts w:ascii="Times New Roman" w:eastAsia="方正仿宋_GBK" w:hAnsi="Times New Roman"/>
          <w:sz w:val="32"/>
          <w:szCs w:val="32"/>
        </w:rPr>
        <w:t>工作安排</w:t>
      </w:r>
      <w:r>
        <w:rPr>
          <w:rFonts w:ascii="Times New Roman" w:eastAsia="方正仿宋_GBK" w:hAnsi="Times New Roman" w:hint="eastAsia"/>
          <w:sz w:val="32"/>
          <w:szCs w:val="32"/>
        </w:rPr>
        <w:t>，落实“</w:t>
      </w:r>
      <w:r>
        <w:rPr>
          <w:rFonts w:ascii="Times New Roman" w:eastAsia="方正仿宋_GBK" w:hAnsi="Times New Roman"/>
          <w:sz w:val="32"/>
          <w:szCs w:val="32"/>
        </w:rPr>
        <w:t>关长联系企业</w:t>
      </w:r>
      <w:r>
        <w:rPr>
          <w:rFonts w:ascii="Times New Roman" w:eastAsia="方正仿宋_GBK" w:hAnsi="Times New Roman" w:hint="eastAsia"/>
          <w:sz w:val="32"/>
          <w:szCs w:val="32"/>
        </w:rPr>
        <w:t>”“</w:t>
      </w:r>
      <w:r>
        <w:rPr>
          <w:rFonts w:ascii="Times New Roman" w:eastAsia="方正仿宋_GBK" w:hAnsi="Times New Roman"/>
          <w:sz w:val="32"/>
          <w:szCs w:val="32"/>
        </w:rPr>
        <w:t>关长进街道</w:t>
      </w:r>
      <w:r>
        <w:rPr>
          <w:rFonts w:ascii="Times New Roman" w:eastAsia="方正仿宋_GBK" w:hAnsi="Times New Roman" w:hint="eastAsia"/>
          <w:sz w:val="32"/>
          <w:szCs w:val="32"/>
        </w:rPr>
        <w:t>”机制</w:t>
      </w:r>
      <w:r>
        <w:rPr>
          <w:rFonts w:ascii="Times New Roman" w:eastAsia="方正仿宋_GBK" w:hAnsi="Times New Roman"/>
          <w:sz w:val="32"/>
          <w:szCs w:val="32"/>
        </w:rPr>
        <w:t>， 扎实开展</w:t>
      </w:r>
      <w:r>
        <w:rPr>
          <w:rFonts w:ascii="Times New Roman" w:eastAsia="方正仿宋_GBK" w:hAnsi="Times New Roman" w:hint="eastAsia"/>
          <w:sz w:val="32"/>
          <w:szCs w:val="32"/>
        </w:rPr>
        <w:t>“</w:t>
      </w:r>
      <w:r>
        <w:rPr>
          <w:rFonts w:ascii="Times New Roman" w:eastAsia="方正仿宋_GBK" w:hAnsi="Times New Roman"/>
          <w:sz w:val="32"/>
          <w:szCs w:val="32"/>
        </w:rPr>
        <w:t>送政策上门</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拓展与地方政府部门、街道、行业协会（商会）的协同合作，支持街道发挥“一线”优势，打通信息公开和政务服务“最后一公里”。</w:t>
      </w:r>
      <w:r>
        <w:rPr>
          <w:rFonts w:ascii="Times New Roman" w:eastAsia="方正仿宋_GBK" w:hAnsi="Times New Roman"/>
          <w:sz w:val="32"/>
          <w:szCs w:val="32"/>
        </w:rPr>
        <w:t>践行新时代</w:t>
      </w:r>
      <w:r>
        <w:rPr>
          <w:rFonts w:ascii="Times New Roman" w:eastAsia="方正仿宋_GBK" w:hAnsi="Times New Roman" w:hint="eastAsia"/>
          <w:sz w:val="32"/>
          <w:szCs w:val="32"/>
        </w:rPr>
        <w:t>“</w:t>
      </w:r>
      <w:r>
        <w:rPr>
          <w:rFonts w:ascii="Times New Roman" w:eastAsia="方正仿宋_GBK" w:hAnsi="Times New Roman"/>
          <w:sz w:val="32"/>
          <w:szCs w:val="32"/>
        </w:rPr>
        <w:t>枫桥经验</w:t>
      </w:r>
      <w:r>
        <w:rPr>
          <w:rFonts w:ascii="Times New Roman" w:eastAsia="方正仿宋_GBK" w:hAnsi="Times New Roman" w:hint="eastAsia"/>
          <w:sz w:val="32"/>
          <w:szCs w:val="32"/>
        </w:rPr>
        <w:t>”</w:t>
      </w:r>
      <w:r>
        <w:rPr>
          <w:rFonts w:ascii="Times New Roman" w:eastAsia="方正仿宋_GBK" w:hAnsi="Times New Roman"/>
          <w:sz w:val="32"/>
          <w:szCs w:val="32"/>
        </w:rPr>
        <w:t>，</w:t>
      </w:r>
      <w:r>
        <w:rPr>
          <w:rFonts w:ascii="Times New Roman" w:eastAsia="方正仿宋_GBK" w:hAnsi="Times New Roman" w:hint="eastAsia"/>
          <w:sz w:val="32"/>
          <w:szCs w:val="32"/>
        </w:rPr>
        <w:t>年内</w:t>
      </w:r>
      <w:r>
        <w:rPr>
          <w:rFonts w:ascii="Times New Roman" w:eastAsia="方正仿宋_GBK" w:hAnsi="Times New Roman"/>
          <w:sz w:val="32"/>
          <w:szCs w:val="32"/>
        </w:rPr>
        <w:t>共实地走访企业</w:t>
      </w:r>
      <w:r>
        <w:rPr>
          <w:rFonts w:ascii="Times New Roman" w:eastAsia="方正仿宋_GBK" w:hAnsi="Times New Roman" w:hint="eastAsia"/>
          <w:sz w:val="32"/>
          <w:szCs w:val="32"/>
        </w:rPr>
        <w:t>1</w:t>
      </w:r>
      <w:r>
        <w:rPr>
          <w:rFonts w:ascii="Times New Roman" w:eastAsia="方正仿宋_GBK" w:hAnsi="Times New Roman"/>
          <w:sz w:val="32"/>
          <w:szCs w:val="32"/>
        </w:rPr>
        <w:t>13家</w:t>
      </w:r>
      <w:r>
        <w:rPr>
          <w:rFonts w:ascii="Times New Roman" w:eastAsia="方正仿宋_GBK" w:hAnsi="Times New Roman" w:hint="eastAsia"/>
          <w:sz w:val="32"/>
          <w:szCs w:val="32"/>
        </w:rPr>
        <w:t>次</w:t>
      </w:r>
      <w:r>
        <w:rPr>
          <w:rFonts w:ascii="Times New Roman" w:eastAsia="方正仿宋_GBK" w:hAnsi="Times New Roman"/>
          <w:sz w:val="32"/>
          <w:szCs w:val="32"/>
        </w:rPr>
        <w:t>，解决企业问题48个；主动参与地方服务企业</w:t>
      </w:r>
      <w:r>
        <w:rPr>
          <w:rFonts w:ascii="Times New Roman" w:eastAsia="方正仿宋_GBK" w:hAnsi="Times New Roman" w:hint="eastAsia"/>
          <w:sz w:val="32"/>
          <w:szCs w:val="32"/>
        </w:rPr>
        <w:t>重点项目</w:t>
      </w:r>
      <w:r>
        <w:rPr>
          <w:rFonts w:ascii="Times New Roman" w:eastAsia="方正仿宋_GBK" w:hAnsi="Times New Roman"/>
          <w:sz w:val="32"/>
          <w:szCs w:val="32"/>
        </w:rPr>
        <w:t>，</w:t>
      </w:r>
      <w:r>
        <w:rPr>
          <w:rFonts w:ascii="Times New Roman" w:eastAsia="方正仿宋_GBK" w:hAnsi="Times New Roman" w:hint="eastAsia"/>
          <w:sz w:val="32"/>
          <w:szCs w:val="32"/>
        </w:rPr>
        <w:t>促进专业市场“一带一路”贸易综合服务平台搭建，联合地方相关部门为企业提供“一站式”专业服务。</w:t>
      </w:r>
    </w:p>
    <w:p>
      <w:pPr>
        <w:pStyle w:val="21"/>
        <w:tabs>
          <w:tab w:val="center" w:pos="4153"/>
          <w:tab w:val="right" w:pos="8306"/>
        </w:tabs>
        <w:spacing w:line="560" w:lineRule="exact"/>
        <w:ind w:firstLineChars="200" w:firstLine="640"/>
        <w:rPr>
          <w:rFonts w:eastAsia="方正黑体_GBK"/>
          <w:bCs/>
          <w:kern w:val="0"/>
          <w:sz w:val="32"/>
          <w:szCs w:val="32"/>
          <w:shd w:val="clear" w:color="auto" w:fill="FFFFFF"/>
        </w:rPr>
      </w:pPr>
      <w:r>
        <w:rPr>
          <w:rFonts w:eastAsia="方正黑体_GBK"/>
          <w:bCs/>
          <w:kern w:val="0"/>
          <w:sz w:val="32"/>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sz w:val="24"/>
                <w:szCs w:val="24"/>
              </w:rPr>
            </w:pPr>
            <w:r>
              <w:rPr>
                <w:kern w:val="0"/>
                <w:sz w:val="24"/>
                <w:szCs w:val="24"/>
              </w:rPr>
              <w:t>第二十条第（一）项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本年制发件数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本年废止件数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widowControl/>
              <w:jc w:val="center"/>
              <w:rPr>
                <w:sz w:val="24"/>
                <w:szCs w:val="24"/>
              </w:rPr>
            </w:pPr>
            <w:r>
              <w:rPr>
                <w:kern w:val="0"/>
                <w:sz w:val="24"/>
                <w:szCs w:val="24"/>
              </w:rPr>
              <w:t>现行有效件数</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r>
      <w:tr>
        <w:trPr>
          <w:trHeight w:val="435"/>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sz w:val="24"/>
                <w:szCs w:val="24"/>
              </w:rPr>
            </w:pPr>
            <w:r>
              <w:rPr>
                <w:kern w:val="0"/>
                <w:sz w:val="24"/>
                <w:szCs w:val="24"/>
              </w:rPr>
              <w:t>第二十条第（五）项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7"/>
              <w:jc w:val="center"/>
              <w:rPr>
                <w:rFonts w:eastAsia="方正仿宋_GBK"/>
                <w:sz w:val="24"/>
                <w:szCs w:val="24"/>
              </w:rPr>
            </w:pPr>
            <w:r>
              <w:rPr>
                <w:rFonts w:eastAsia="方正仿宋_GBK"/>
                <w:sz w:val="24"/>
                <w:szCs w:val="24"/>
              </w:rPr>
              <w:t>0</w:t>
            </w:r>
          </w:p>
        </w:tc>
      </w:tr>
      <w:tr>
        <w:trPr>
          <w:trHeight w:val="406"/>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sz w:val="24"/>
                <w:szCs w:val="24"/>
              </w:rPr>
            </w:pPr>
            <w:r>
              <w:rPr>
                <w:kern w:val="0"/>
                <w:sz w:val="24"/>
                <w:szCs w:val="24"/>
              </w:rPr>
              <w:t>第二十条第（六）项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kern w:val="0"/>
                <w:sz w:val="24"/>
                <w:szCs w:val="24"/>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65</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8"/>
              <w:jc w:val="center"/>
              <w:rPr>
                <w:rFonts w:eastAsia="方正仿宋_GBK"/>
                <w:sz w:val="24"/>
                <w:szCs w:val="24"/>
              </w:rPr>
            </w:pPr>
            <w:r>
              <w:rPr>
                <w:rFonts w:eastAsia="方正仿宋_GBK"/>
                <w:sz w:val="24"/>
                <w:szCs w:val="24"/>
              </w:rPr>
              <w:t>18</w:t>
            </w:r>
          </w:p>
        </w:tc>
      </w:tr>
      <w:tr>
        <w:trPr>
          <w:trHeight w:val="47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3"/>
              <w:widowControl/>
              <w:jc w:val="center"/>
              <w:rPr>
                <w:sz w:val="24"/>
                <w:szCs w:val="24"/>
              </w:rPr>
            </w:pPr>
            <w:r>
              <w:rPr>
                <w:kern w:val="0"/>
                <w:sz w:val="24"/>
                <w:szCs w:val="24"/>
              </w:rPr>
              <w:t>第二十条第（八）项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rPr>
                <w:sz w:val="24"/>
                <w:szCs w:val="24"/>
              </w:rPr>
            </w:pPr>
            <w:r>
              <w:rPr>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3"/>
              <w:widowControl/>
              <w:adjustRightInd w:val="0"/>
              <w:snapToGrid w:val="0"/>
              <w:spacing w:line="260" w:lineRule="exact"/>
              <w:jc w:val="center"/>
              <w:rPr>
                <w:sz w:val="24"/>
                <w:szCs w:val="24"/>
              </w:rPr>
            </w:pPr>
            <w:r>
              <w:rPr>
                <w:kern w:val="0"/>
                <w:sz w:val="24"/>
                <w:szCs w:val="24"/>
              </w:rPr>
              <w:t>本年收费金额（单位：万元）</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adjustRightInd w:val="0"/>
              <w:snapToGrid w:val="0"/>
              <w:spacing w:line="260" w:lineRule="exact"/>
              <w:jc w:val="center"/>
            </w:pPr>
            <w:r>
              <w:rPr>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bl>
    <w:p>
      <w:pPr>
        <w:pStyle w:val="21"/>
        <w:tabs>
          <w:tab w:val="center" w:pos="4153"/>
          <w:tab w:val="right" w:pos="8306"/>
        </w:tabs>
        <w:spacing w:line="560" w:lineRule="exact"/>
        <w:ind w:firstLineChars="200" w:firstLine="640"/>
        <w:rPr>
          <w:rFonts w:cs="方正黑体_GBK"/>
          <w:sz w:val="32"/>
          <w:szCs w:val="32"/>
        </w:rPr>
      </w:pPr>
      <w:r>
        <w:rPr>
          <w:rFonts w:cs="方正黑体_GBK" w:hint="eastAsia"/>
          <w:sz w:val="32"/>
          <w:szCs w:val="32"/>
        </w:rPr>
        <w:t>*备注：本表格行政许可的处理决定数量，包括本机关在本年度内作出的准予许可决定、不予许可决定、变更许可决定、延期（延续）许可决定、撤销许可决定、撤回许可决定等。</w:t>
      </w:r>
    </w:p>
    <w:p>
      <w:pPr>
        <w:pStyle w:val="21"/>
        <w:tabs>
          <w:tab w:val="center" w:pos="4153"/>
          <w:tab w:val="right" w:pos="8306"/>
        </w:tabs>
        <w:spacing w:line="560" w:lineRule="exact"/>
        <w:ind w:firstLineChars="200" w:firstLine="640"/>
        <w:rPr>
          <w:rFonts w:eastAsia="方正黑体_GBK"/>
          <w:bCs/>
          <w:kern w:val="0"/>
          <w:sz w:val="32"/>
          <w:szCs w:val="32"/>
          <w:shd w:val="clear" w:color="auto" w:fill="FFFFFF"/>
        </w:rPr>
      </w:pPr>
      <w:r>
        <w:rPr>
          <w:rFonts w:eastAsia="方正黑体_GBK"/>
          <w:bCs/>
          <w:kern w:val="0"/>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3"/>
              <w:widowControl/>
              <w:jc w:val="left"/>
              <w:rPr>
                <w:sz w:val="24"/>
                <w:szCs w:val="24"/>
              </w:rPr>
            </w:pPr>
            <w:r>
              <w:rPr>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3"/>
              <w:widowControl/>
              <w:jc w:val="left"/>
              <w:rPr>
                <w:sz w:val="24"/>
                <w:szCs w:val="24"/>
              </w:rPr>
            </w:pPr>
            <w:r>
              <w:rPr>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3"/>
              <w:widowControl/>
              <w:rPr>
                <w:rFonts w:eastAsia="楷体"/>
                <w:kern w:val="0"/>
                <w:sz w:val="24"/>
                <w:szCs w:val="24"/>
              </w:rPr>
            </w:pPr>
            <w:r>
              <w:rPr>
                <w:rFonts w:eastAsia="楷体"/>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eastAsia="楷体"/>
                <w:kern w:val="0"/>
                <w:sz w:val="24"/>
                <w:szCs w:val="24"/>
              </w:rPr>
            </w:pPr>
            <w:r>
              <w:rPr>
                <w:rFonts w:eastAsia="楷体"/>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eastAsia="楷体"/>
                <w:kern w:val="0"/>
                <w:sz w:val="24"/>
                <w:szCs w:val="24"/>
              </w:rPr>
            </w:pPr>
            <w:r>
              <w:rPr>
                <w:rFonts w:eastAsia="楷体"/>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3"/>
              <w:widowControl/>
              <w:rPr>
                <w:rFonts w:eastAsia="楷体"/>
                <w:kern w:val="0"/>
                <w:sz w:val="24"/>
                <w:szCs w:val="24"/>
              </w:rPr>
            </w:pPr>
            <w:r>
              <w:rPr>
                <w:rFonts w:eastAsia="楷体"/>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left"/>
            </w:pPr>
            <w:r>
              <w:rPr>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jc w:val="center"/>
              <w:rPr>
                <w:rFonts w:eastAsia="方正仿宋_GBK"/>
                <w:sz w:val="24"/>
                <w:szCs w:val="24"/>
              </w:rPr>
            </w:pPr>
            <w:r>
              <w:rPr>
                <w:rFonts w:eastAsia="方正仿宋_GBK"/>
                <w:sz w:val="24"/>
                <w:szCs w:val="24"/>
              </w:rPr>
              <w:t>0</w:t>
            </w:r>
          </w:p>
        </w:tc>
      </w:tr>
    </w:tbl>
    <w:p>
      <w:pPr>
        <w:pStyle w:val="21"/>
        <w:tabs>
          <w:tab w:val="center" w:pos="4153"/>
          <w:tab w:val="right" w:pos="8306"/>
        </w:tabs>
        <w:spacing w:line="560" w:lineRule="exact"/>
        <w:ind w:firstLineChars="200" w:firstLine="640"/>
        <w:rPr>
          <w:rFonts w:eastAsia="方正黑体_GBK"/>
          <w:bCs/>
          <w:kern w:val="0"/>
          <w:sz w:val="32"/>
          <w:szCs w:val="32"/>
          <w:shd w:val="clear" w:color="auto" w:fill="FFFFFF"/>
        </w:rPr>
      </w:pPr>
      <w:r>
        <w:rPr>
          <w:rFonts w:eastAsia="方正黑体_GBK"/>
          <w:bCs/>
          <w:kern w:val="0"/>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4"/>
                <w:szCs w:val="24"/>
              </w:rPr>
            </w:pPr>
            <w:r>
              <w:rPr>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3"/>
              <w:widowControl/>
              <w:jc w:val="center"/>
              <w:rPr>
                <w:kern w:val="0"/>
                <w:sz w:val="28"/>
                <w:szCs w:val="28"/>
              </w:rPr>
            </w:pPr>
            <w:r>
              <w:rPr>
                <w:kern w:val="0"/>
                <w:sz w:val="28"/>
                <w:szCs w:val="28"/>
              </w:rPr>
              <w:t>0</w:t>
            </w:r>
          </w:p>
        </w:tc>
      </w:tr>
    </w:tbl>
    <w:p>
      <w:pPr>
        <w:pStyle w:val="80"/>
        <w:spacing w:line="560" w:lineRule="exact"/>
        <w:ind w:firstLineChars="200" w:firstLine="640"/>
        <w:rPr>
          <w:rFonts w:ascii="Times New Roman" w:eastAsia="方正黑体_GBK" w:hAnsi="Times New Roman"/>
          <w:sz w:val="32"/>
          <w:szCs w:val="32"/>
        </w:rPr>
      </w:pPr>
      <w:bookmarkEnd w:id="1"/>
      <w:r>
        <w:rPr>
          <w:rFonts w:ascii="Times New Roman" w:eastAsia="方正黑体_GBK" w:hAnsi="Times New Roman"/>
          <w:sz w:val="32"/>
          <w:szCs w:val="32"/>
        </w:rPr>
        <w:t>五、存在的主要问题及改进情况</w:t>
      </w:r>
    </w:p>
    <w:p>
      <w:pPr>
        <w:pStyle w:val="8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（一）</w:t>
      </w:r>
      <w:r>
        <w:rPr>
          <w:rFonts w:ascii="Times New Roman" w:eastAsia="方正楷体_GBK" w:hAnsi="Times New Roman"/>
          <w:b/>
          <w:bCs/>
          <w:sz w:val="32"/>
          <w:szCs w:val="32"/>
        </w:rPr>
        <w:t>202</w:t>
      </w:r>
      <w:r>
        <w:rPr>
          <w:rFonts w:ascii="Times New Roman" w:eastAsia="方正楷体_GBK" w:hAnsi="Times New Roman" w:hint="eastAsia"/>
          <w:b/>
          <w:bCs/>
          <w:sz w:val="32"/>
          <w:szCs w:val="32"/>
        </w:rPr>
        <w:t>4</w:t>
      </w:r>
      <w:r>
        <w:rPr>
          <w:rFonts w:ascii="方正楷体_GBK" w:eastAsia="方正楷体_GBK" w:hint="eastAsia"/>
          <w:b/>
          <w:bCs/>
          <w:sz w:val="32"/>
          <w:szCs w:val="32"/>
        </w:rPr>
        <w:t>年年报中所提问题整改情况。</w:t>
      </w:r>
    </w:p>
    <w:p>
      <w:pPr>
        <w:pStyle w:val="8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越秀海关202</w:t>
      </w:r>
      <w:r>
        <w:rPr>
          <w:rFonts w:ascii="Times New Roman" w:eastAsia="方正仿宋_GBK" w:hAnsi="Times New Roman" w:hint="eastAsia"/>
          <w:sz w:val="32"/>
          <w:szCs w:val="32"/>
        </w:rPr>
        <w:t>4</w:t>
      </w:r>
      <w:r>
        <w:rPr>
          <w:rFonts w:ascii="Times New Roman" w:eastAsia="方正仿宋_GBK" w:hAnsi="Times New Roman"/>
          <w:sz w:val="32"/>
          <w:szCs w:val="32"/>
        </w:rPr>
        <w:t>年年报提出以下问题：行政处罚、行政许可信息公示工作有待进一步规范，需要加强自查频率。</w:t>
      </w:r>
    </w:p>
    <w:p>
      <w:pPr>
        <w:pStyle w:val="8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上述问题在202</w:t>
      </w:r>
      <w:r>
        <w:rPr>
          <w:rFonts w:ascii="Times New Roman" w:eastAsia="方正仿宋_GBK" w:hAnsi="Times New Roman" w:hint="eastAsia"/>
          <w:sz w:val="32"/>
          <w:szCs w:val="32"/>
        </w:rPr>
        <w:t>5</w:t>
      </w:r>
      <w:r>
        <w:rPr>
          <w:rFonts w:ascii="Times New Roman" w:eastAsia="方正仿宋_GBK" w:hAnsi="Times New Roman"/>
          <w:sz w:val="32"/>
          <w:szCs w:val="32"/>
        </w:rPr>
        <w:t>年已采取措施完成整改：</w:t>
      </w:r>
      <w:r>
        <w:rPr>
          <w:rFonts w:ascii="Times New Roman" w:eastAsia="方正仿宋_GBK" w:hAnsi="Times New Roman" w:hint="eastAsia"/>
          <w:b/>
          <w:bCs/>
          <w:sz w:val="32"/>
          <w:szCs w:val="32"/>
        </w:rPr>
        <w:t>一是</w:t>
      </w:r>
      <w:r>
        <w:rPr>
          <w:rFonts w:ascii="Times New Roman" w:eastAsia="方正仿宋_GBK" w:hAnsi="Times New Roman"/>
          <w:sz w:val="32"/>
          <w:szCs w:val="32"/>
        </w:rPr>
        <w:t>集中梳理政务公开工作要求，明确职责分工</w:t>
      </w:r>
      <w:r>
        <w:rPr>
          <w:rFonts w:ascii="Times New Roman" w:eastAsia="方正仿宋_GBK" w:hAnsi="Times New Roman" w:hint="eastAsia"/>
          <w:sz w:val="32"/>
          <w:szCs w:val="32"/>
        </w:rPr>
        <w:t>，加强岗位培训，落实双人复核。</w:t>
      </w:r>
      <w:r>
        <w:rPr>
          <w:rFonts w:ascii="Times New Roman" w:eastAsia="方正仿宋_GBK" w:hAnsi="Times New Roman" w:hint="eastAsia"/>
          <w:b/>
          <w:bCs/>
          <w:sz w:val="32"/>
          <w:szCs w:val="32"/>
        </w:rPr>
        <w:t>二</w:t>
      </w:r>
      <w:r>
        <w:rPr>
          <w:rFonts w:ascii="Times New Roman" w:eastAsia="方正仿宋_GBK" w:hAnsi="Times New Roman"/>
          <w:b/>
          <w:bCs/>
          <w:sz w:val="32"/>
          <w:szCs w:val="32"/>
        </w:rPr>
        <w:t>是</w:t>
      </w:r>
      <w:r>
        <w:rPr>
          <w:rFonts w:ascii="Times New Roman" w:eastAsia="方正仿宋_GBK" w:hAnsi="Times New Roman" w:hint="eastAsia"/>
          <w:sz w:val="32"/>
          <w:szCs w:val="32"/>
        </w:rPr>
        <w:t>深化自查自纠，对本年度已公示信息开展全面排查，杜绝风险隐患。</w:t>
      </w:r>
      <w:r>
        <w:rPr>
          <w:rFonts w:ascii="Times New Roman" w:eastAsia="方正仿宋_GBK" w:hAnsi="Times New Roman" w:hint="eastAsia"/>
          <w:b/>
          <w:bCs/>
          <w:sz w:val="32"/>
          <w:szCs w:val="32"/>
        </w:rPr>
        <w:t>三</w:t>
      </w:r>
      <w:r>
        <w:rPr>
          <w:rFonts w:ascii="Times New Roman" w:eastAsia="方正仿宋_GBK" w:hAnsi="Times New Roman"/>
          <w:b/>
          <w:bCs/>
          <w:sz w:val="32"/>
          <w:szCs w:val="32"/>
        </w:rPr>
        <w:t>是</w:t>
      </w:r>
      <w:r>
        <w:rPr>
          <w:rFonts w:ascii="Times New Roman" w:eastAsia="方正仿宋_GBK" w:hAnsi="Times New Roman"/>
          <w:sz w:val="32"/>
          <w:szCs w:val="32"/>
        </w:rPr>
        <w:t>系统梳理相关法律条文</w:t>
      </w:r>
      <w:r>
        <w:rPr>
          <w:rFonts w:ascii="Times New Roman" w:eastAsia="方正仿宋_GBK" w:hAnsi="Times New Roman" w:hint="eastAsia"/>
          <w:sz w:val="32"/>
          <w:szCs w:val="32"/>
        </w:rPr>
        <w:t>和典型案例</w:t>
      </w:r>
      <w:r>
        <w:rPr>
          <w:rFonts w:ascii="Times New Roman" w:eastAsia="方正仿宋_GBK" w:hAnsi="Times New Roman"/>
          <w:sz w:val="32"/>
          <w:szCs w:val="32"/>
        </w:rPr>
        <w:t>，</w:t>
      </w:r>
      <w:r>
        <w:rPr>
          <w:rFonts w:ascii="Times New Roman" w:eastAsia="方正仿宋_GBK" w:hAnsi="Times New Roman" w:hint="eastAsia"/>
          <w:sz w:val="32"/>
          <w:szCs w:val="32"/>
        </w:rPr>
        <w:t>在全关</w:t>
      </w:r>
      <w:r>
        <w:rPr>
          <w:rFonts w:ascii="Times New Roman" w:eastAsia="方正仿宋_GBK" w:hAnsi="Times New Roman"/>
          <w:sz w:val="32"/>
          <w:szCs w:val="32"/>
        </w:rPr>
        <w:t>开展</w:t>
      </w:r>
      <w:r>
        <w:rPr>
          <w:rFonts w:ascii="Times New Roman" w:eastAsia="方正仿宋_GBK" w:hAnsi="Times New Roman" w:hint="eastAsia"/>
          <w:sz w:val="32"/>
          <w:szCs w:val="32"/>
        </w:rPr>
        <w:t>“以案释法”</w:t>
      </w:r>
      <w:r>
        <w:rPr>
          <w:rFonts w:ascii="Times New Roman" w:eastAsia="方正仿宋_GBK" w:hAnsi="Times New Roman"/>
          <w:sz w:val="32"/>
          <w:szCs w:val="32"/>
        </w:rPr>
        <w:t>专题培训</w:t>
      </w:r>
      <w:r>
        <w:rPr>
          <w:rFonts w:ascii="Times New Roman" w:eastAsia="方正仿宋_GBK" w:hAnsi="Times New Roman" w:hint="eastAsia"/>
          <w:sz w:val="32"/>
          <w:szCs w:val="32"/>
        </w:rPr>
        <w:t>，通报政府信息公开工作风险提示，提高</w:t>
      </w:r>
      <w:r>
        <w:rPr>
          <w:rFonts w:ascii="Times New Roman" w:eastAsia="方正仿宋_GBK" w:hAnsi="Times New Roman"/>
          <w:sz w:val="32"/>
          <w:szCs w:val="32"/>
        </w:rPr>
        <w:t>政府</w:t>
      </w:r>
      <w:r>
        <w:rPr>
          <w:rFonts w:ascii="Times New Roman" w:eastAsia="方正仿宋_GBK" w:hAnsi="Times New Roman" w:hint="eastAsia"/>
          <w:sz w:val="32"/>
          <w:szCs w:val="32"/>
        </w:rPr>
        <w:t>信息</w:t>
      </w:r>
      <w:r>
        <w:rPr>
          <w:rFonts w:ascii="Times New Roman" w:eastAsia="方正仿宋_GBK" w:hAnsi="Times New Roman"/>
          <w:sz w:val="32"/>
          <w:szCs w:val="32"/>
        </w:rPr>
        <w:t>依申请</w:t>
      </w:r>
      <w:r>
        <w:rPr>
          <w:rFonts w:ascii="Times New Roman" w:eastAsia="方正仿宋_GBK" w:hAnsi="Times New Roman" w:hint="eastAsia"/>
          <w:sz w:val="32"/>
          <w:szCs w:val="32"/>
        </w:rPr>
        <w:t>公开答复规范性</w:t>
      </w:r>
      <w:r>
        <w:rPr>
          <w:rFonts w:ascii="Times New Roman" w:eastAsia="方正仿宋_GBK" w:hAnsi="Times New Roman"/>
          <w:sz w:val="32"/>
          <w:szCs w:val="32"/>
        </w:rPr>
        <w:t>。</w:t>
      </w:r>
    </w:p>
    <w:p>
      <w:pPr>
        <w:pStyle w:val="8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（二）目前存在问题。</w:t>
      </w:r>
    </w:p>
    <w:p>
      <w:pPr>
        <w:pStyle w:val="8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日常需进一步关注政府信息公开时效</w:t>
      </w:r>
      <w:r>
        <w:rPr>
          <w:rFonts w:ascii="Times New Roman" w:eastAsia="方正仿宋_GBK" w:hAnsi="Times New Roman" w:hint="eastAsia"/>
          <w:sz w:val="32"/>
          <w:szCs w:val="32"/>
        </w:rPr>
        <w:t>，</w:t>
      </w:r>
      <w:r>
        <w:rPr>
          <w:rFonts w:ascii="Times New Roman" w:eastAsia="方正仿宋_GBK" w:hAnsi="Times New Roman"/>
          <w:sz w:val="32"/>
          <w:szCs w:val="32"/>
        </w:rPr>
        <w:t>进一步</w:t>
      </w:r>
      <w:r>
        <w:rPr>
          <w:rFonts w:ascii="Times New Roman" w:eastAsia="方正仿宋_GBK" w:hAnsi="Times New Roman" w:hint="eastAsia"/>
          <w:sz w:val="32"/>
          <w:szCs w:val="32"/>
        </w:rPr>
        <w:t>加强</w:t>
      </w:r>
      <w:r>
        <w:rPr>
          <w:rFonts w:ascii="Times New Roman" w:eastAsia="方正仿宋_GBK" w:hAnsi="Times New Roman"/>
          <w:sz w:val="32"/>
          <w:szCs w:val="32"/>
        </w:rPr>
        <w:t>巡网频次及</w:t>
      </w:r>
      <w:r>
        <w:rPr>
          <w:rFonts w:ascii="Times New Roman" w:eastAsia="方正仿宋_GBK" w:hAnsi="Times New Roman" w:hint="eastAsia"/>
          <w:sz w:val="32"/>
          <w:szCs w:val="32"/>
        </w:rPr>
        <w:t>自查力度。</w:t>
      </w:r>
    </w:p>
    <w:p>
      <w:pPr>
        <w:pStyle w:val="8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六、其他需要报告的事项</w:t>
      </w:r>
    </w:p>
    <w:p>
      <w:pPr>
        <w:pStyle w:val="83"/>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（一）政府信息公开信息处理费收取情况。</w:t>
      </w:r>
    </w:p>
    <w:p>
      <w:pPr>
        <w:pStyle w:val="8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越秀海关严格按照《国务院办公厅关于印发〈政府信息公开信息处理费管理办法〉的通知》，规范政府信息公开信息处理费收取工作，202</w:t>
      </w:r>
      <w:r>
        <w:rPr>
          <w:rFonts w:ascii="Times New Roman" w:eastAsia="方正仿宋_GBK" w:hAnsi="Times New Roman" w:hint="eastAsia"/>
          <w:sz w:val="32"/>
          <w:szCs w:val="32"/>
        </w:rPr>
        <w:t>5</w:t>
      </w:r>
      <w:r>
        <w:rPr>
          <w:rFonts w:ascii="Times New Roman" w:eastAsia="方正仿宋_GBK" w:hAnsi="Times New Roman"/>
          <w:sz w:val="32"/>
          <w:szCs w:val="32"/>
        </w:rPr>
        <w:t>年未收取政府信息公开信息处理费。</w:t>
      </w:r>
    </w:p>
    <w:p>
      <w:pPr>
        <w:pStyle w:val="83"/>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（二）获评荣誉情况。</w:t>
      </w:r>
    </w:p>
    <w:p>
      <w:pPr>
        <w:pStyle w:val="83"/>
        <w:spacing w:line="560" w:lineRule="exact"/>
        <w:ind w:firstLineChars="200" w:firstLine="640"/>
        <w:rPr>
          <w:rFonts w:ascii="方正黑体_GBK" w:eastAsia="方正黑体_GBK"/>
          <w:sz w:val="32"/>
          <w:szCs w:val="32"/>
        </w:rPr>
      </w:pPr>
      <w:r>
        <w:rPr>
          <w:rFonts w:ascii="Times New Roman" w:eastAsia="方正仿宋_GBK" w:hAnsi="Times New Roman" w:hint="eastAsia"/>
          <w:sz w:val="32"/>
          <w:szCs w:val="32"/>
        </w:rPr>
        <w:t>2025年5月23日，越秀海关被授予第七届“全国文明单位”荣誉称号。</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楷体">
    <w:altName w:val="方正楷体_GBK"/>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8"/>
      </w:rPr>
      <w:fldChar w:fldCharType="begin"/>
    </w:r>
    <w:r>
      <w:rPr>
        <w:rStyle w:val="28"/>
      </w:rPr>
      <w:instrText>Page</w:instrText>
    </w:r>
    <w:r>
      <w:rPr>
        <w:rStyle w:val="28"/>
      </w:rPr>
      <w:fldChar w:fldCharType="separate"/>
    </w:r>
    <w:r>
      <w:rPr>
        <w:rStyle w:val="28"/>
      </w:rPr>
      <w:t>- 5 -</w:t>
    </w:r>
    <w:r>
      <w:rPr>
        <w:rStyle w:val="28"/>
      </w:rPr>
      <w:fldChar w:fldCharType="end"/>
    </w:r>
  </w:p>
  <w:p>
    <w:pPr>
      <w:pStyle w:val="21"/>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8"/>
      </w:rPr>
      <w:fldChar w:fldCharType="begin"/>
    </w:r>
    <w:r>
      <w:rPr>
        <w:rStyle w:val="28"/>
      </w:rPr>
      <w:instrText>Page</w:instrText>
    </w:r>
    <w:r>
      <w:rPr>
        <w:rStyle w:val="28"/>
      </w:rPr>
      <w:fldChar w:fldCharType="separate"/>
    </w:r>
    <w:r>
      <w:rPr>
        <w:rStyle w:val="28"/>
      </w:rPr>
      <w:t>- 6 -</w:t>
    </w:r>
    <w:r>
      <w:rPr>
        <w:rStyle w:val="28"/>
      </w:rPr>
      <w:fldChar w:fldCharType="end"/>
    </w:r>
  </w:p>
  <w:p>
    <w:pPr>
      <w:pStyle w:val="21"/>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283990C"/>
    <w:multiLevelType w:val="singleLevel"/>
    <w:tmpl w:val="11F6D812"/>
    <w:lvl w:ilvl="0">
      <w:start w:val="1"/>
      <w:numFmt w:val="decimal"/>
      <w:lvlRestart w:val="0"/>
      <w:pStyle w:val="15"/>
      <w:lvlText w:val="%1."/>
      <w:lvlJc w:val="left"/>
      <w:pPr>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index 5"/>
    <w:basedOn w:val="0"/>
    <w:next w:val="0"/>
    <w:pPr>
      <w:ind w:left="1680"/>
    </w:pPr>
  </w:style>
  <w:style w:type="paragraph" w:styleId="18">
    <w:name w:val="annotation text"/>
    <w:basedOn w:val="0"/>
    <w:pPr>
      <w:jc w:val="left"/>
    </w:pPr>
  </w:style>
  <w:style w:type="paragraph" w:styleId="19">
    <w:name w:val="index 6"/>
    <w:basedOn w:val="0"/>
    <w:next w:val="0"/>
    <w:pPr>
      <w:ind w:left="21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oc 1"/>
    <w:basedOn w:val="0"/>
    <w:next w:val="0"/>
  </w:style>
  <w:style w:type="paragraph" w:styleId="24">
    <w:name w:val="index 7"/>
    <w:basedOn w:val="0"/>
    <w:next w:val="0"/>
    <w:pPr>
      <w:ind w:left="2520"/>
    </w:pPr>
  </w:style>
  <w:style w:type="paragraph" w:styleId="25">
    <w:name w:val="toc 2"/>
    <w:basedOn w:val="0"/>
    <w:next w:val="0"/>
    <w:pPr>
      <w:ind w:left="420"/>
    </w:pPr>
  </w:style>
  <w:style w:type="paragraph" w:styleId="26">
    <w:name w:val="Normal (Web)"/>
    <w:next w:val="21"/>
    <w:pPr>
      <w:widowControl w:val="0"/>
      <w:spacing w:beforeAutospacing="1" w:afterAutospacing="1"/>
    </w:pPr>
    <w:rPr>
      <w:rFonts w:ascii="Times New Roman" w:eastAsia="宋体" w:cs="Times New Roman" w:hAnsi="Times New Roman"/>
      <w:sz w:val="24"/>
      <w:szCs w:val="30"/>
      <w:lang w:val="en-US" w:eastAsia="zh-CN" w:bidi="ar-SA"/>
    </w:rPr>
  </w:style>
  <w:style w:type="paragraph" w:styleId="27">
    <w:name w:val="annotation subject"/>
    <w:basedOn w:val="18"/>
    <w:next w:val="18"/>
    <w:rPr>
      <w:b/>
    </w:rPr>
  </w:style>
  <w:style w:type="character" w:styleId="28">
    <w:name w:val="page number"/>
    <w:basedOn w:val="10"/>
  </w:style>
  <w:style w:type="character" w:styleId="29">
    <w:name w:val="Hyperlink"/>
    <w:rPr>
      <w:color w:val="0000FF"/>
      <w:u w:val="single"/>
    </w:rPr>
  </w:style>
  <w:style w:type="paragraph" w:customStyle="1" w:styleId="30">
    <w:name w:val="样式 三号"/>
    <w:next w:val="3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
    <w:name w:val="样式 三号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2">
    <w:name w:val="样式 1 三号"/>
    <w:next w:val="44"/>
    <w:pPr>
      <w:widowControl w:val="0"/>
      <w:jc w:val="both"/>
    </w:pPr>
    <w:rPr>
      <w:rFonts w:ascii="Times New Roman" w:eastAsia="方正仿宋_GBK" w:cs="Times New Roman" w:hAnsi="Times New Roman"/>
      <w:kern w:val="2"/>
      <w:sz w:val="32"/>
      <w:szCs w:val="22"/>
      <w:lang w:val="en-US" w:eastAsia="zh-CN" w:bidi="ar-SA"/>
    </w:rPr>
  </w:style>
  <w:style w:type="paragraph" w:customStyle="1" w:styleId="33">
    <w:name w:val="样式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1 小四"/>
    <w:next w:val="0"/>
    <w:pPr>
      <w:widowControl w:val="0"/>
    </w:pPr>
    <w:rPr>
      <w:rFonts w:ascii="宋体" w:eastAsia="宋体" w:cs="Times New Roman"/>
      <w:kern w:val="2"/>
      <w:sz w:val="24"/>
      <w:lang w:val="en-US" w:eastAsia="zh-CN" w:bidi="ar-SA"/>
    </w:rPr>
  </w:style>
  <w:style w:type="paragraph" w:customStyle="1" w:styleId="35">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6">
    <w:name w:val="样式 20 小四"/>
    <w:next w:val="1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7">
    <w:name w:val="样式 12 三号"/>
    <w:next w:val="16"/>
    <w:pPr>
      <w:widowControl w:val="0"/>
      <w:jc w:val="both"/>
    </w:pPr>
    <w:rPr>
      <w:rFonts w:ascii="Times New Roman" w:eastAsia="方正仿宋_GBK" w:cs="Times New Roman" w:hAnsi="Times New Roman"/>
      <w:kern w:val="2"/>
      <w:sz w:val="32"/>
      <w:lang w:val="en-US" w:eastAsia="zh-CN" w:bidi="ar-SA"/>
    </w:rPr>
  </w:style>
  <w:style w:type="paragraph" w:customStyle="1" w:styleId="38">
    <w:name w:val="样式 50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9">
    <w:name w:val="样式 13 三号"/>
    <w:next w:val="24"/>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0">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1">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2">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5">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6">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7">
    <w:name w:val="样式 小四"/>
    <w:pPr>
      <w:widowControl w:val="0"/>
    </w:pPr>
    <w:rPr>
      <w:rFonts w:ascii="宋体" w:eastAsia="宋体" w:cs="Times New Roman"/>
      <w:kern w:val="2"/>
      <w:sz w:val="24"/>
      <w:lang w:val="en-US" w:eastAsia="zh-CN" w:bidi="ar-SA"/>
    </w:rPr>
  </w:style>
  <w:style w:type="paragraph" w:customStyle="1" w:styleId="48">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3">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4">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5">
    <w:name w:val="样式 3 小四"/>
    <w:pPr>
      <w:widowControl w:val="0"/>
    </w:pPr>
    <w:rPr>
      <w:rFonts w:ascii="宋体" w:eastAsia="宋体" w:cs="Times New Roman"/>
      <w:kern w:val="2"/>
      <w:sz w:val="24"/>
      <w:lang w:val="en-US" w:eastAsia="zh-CN" w:bidi="ar-SA"/>
    </w:rPr>
  </w:style>
  <w:style w:type="paragraph" w:customStyle="1" w:styleId="56">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20 小三"/>
    <w:pPr>
      <w:widowControl w:val="0"/>
      <w:jc w:val="both"/>
    </w:pPr>
    <w:rPr>
      <w:rFonts w:ascii="Times New Roman" w:eastAsia="宋体" w:cs="Times New Roman" w:hAnsi="Times New Roman"/>
      <w:kern w:val="2"/>
      <w:sz w:val="30"/>
      <w:szCs w:val="30"/>
      <w:lang w:val="en-US" w:eastAsia="zh-CN" w:bidi="ar-SA"/>
    </w:rPr>
  </w:style>
  <w:style w:type="character" w:customStyle="1" w:styleId="72">
    <w:name w:val="im-content1"/>
    <w:rPr>
      <w:color w:val="000000"/>
    </w:rPr>
  </w:style>
  <w:style w:type="paragraph" w:customStyle="1" w:styleId="73">
    <w:name w:val="样式"/>
    <w:rPr>
      <w:rFonts w:ascii="Times New Roman" w:eastAsia="方正黑体_GBK" w:cs="Times New Roman" w:hAnsi="Times New Roman"/>
      <w:color w:val="000000"/>
      <w:lang w:val="en-US" w:eastAsia="zh-CN" w:bidi="ar-SA"/>
    </w:rPr>
  </w:style>
  <w:style w:type="paragraph" w:customStyle="1" w:styleId="74">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5">
    <w:name w:val="样式 1"/>
    <w:rPr>
      <w:rFonts w:ascii="Times New Roman" w:eastAsia="方正黑体_GBK" w:cs="Times New Roman" w:hAnsi="Times New Roman"/>
      <w:color w:val="000000"/>
      <w:lang w:val="en-US" w:eastAsia="zh-CN" w:bidi="ar-SA"/>
    </w:rPr>
  </w:style>
  <w:style w:type="paragraph" w:customStyle="1" w:styleId="76">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7">
    <w:name w:val="样式 4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78">
    <w:name w:val="样式 5 小四"/>
    <w:pPr>
      <w:widowControl w:val="0"/>
    </w:pPr>
    <w:rPr>
      <w:rFonts w:ascii="宋体" w:eastAsia="宋体" w:cs="Times New Roman"/>
      <w:kern w:val="2"/>
      <w:sz w:val="24"/>
      <w:szCs w:val="21"/>
      <w:lang w:val="en-US" w:eastAsia="zh-CN" w:bidi="ar-SA"/>
    </w:rPr>
  </w:style>
  <w:style w:type="paragraph" w:customStyle="1" w:styleId="79">
    <w:name w:val="样式 7 小四"/>
    <w:pPr>
      <w:widowControl w:val="0"/>
    </w:pPr>
    <w:rPr>
      <w:rFonts w:ascii="宋体" w:eastAsia="宋体" w:cs="Times New Roman"/>
      <w:kern w:val="2"/>
      <w:sz w:val="24"/>
      <w:szCs w:val="21"/>
      <w:lang w:val="en-US" w:eastAsia="zh-CN" w:bidi="ar-SA"/>
    </w:rPr>
  </w:style>
  <w:style w:type="paragraph" w:customStyle="1" w:styleId="80">
    <w:name w:val="样式 8 小四"/>
    <w:pPr>
      <w:widowControl w:val="0"/>
    </w:pPr>
    <w:rPr>
      <w:rFonts w:ascii="宋体" w:eastAsia="宋体" w:cs="Times New Roman"/>
      <w:kern w:val="2"/>
      <w:sz w:val="24"/>
      <w:szCs w:val="21"/>
      <w:lang w:val="en-US" w:eastAsia="zh-CN" w:bidi="ar-SA"/>
    </w:rPr>
  </w:style>
  <w:style w:type="paragraph" w:customStyle="1" w:styleId="81">
    <w:name w:val="样式 9 小四"/>
    <w:pPr>
      <w:widowControl w:val="0"/>
    </w:pPr>
    <w:rPr>
      <w:rFonts w:ascii="宋体" w:eastAsia="宋体" w:cs="Times New Roman"/>
      <w:kern w:val="2"/>
      <w:sz w:val="24"/>
      <w:szCs w:val="21"/>
      <w:lang w:val="en-US" w:eastAsia="zh-CN" w:bidi="ar-SA"/>
    </w:rPr>
  </w:style>
  <w:style w:type="paragraph" w:customStyle="1" w:styleId="82">
    <w:name w:val="样式 10 小四"/>
    <w:pPr>
      <w:widowControl w:val="0"/>
    </w:pPr>
    <w:rPr>
      <w:rFonts w:ascii="宋体" w:eastAsia="宋体" w:cs="Times New Roman"/>
      <w:kern w:val="2"/>
      <w:sz w:val="24"/>
      <w:szCs w:val="21"/>
      <w:lang w:val="en-US" w:eastAsia="zh-CN" w:bidi="ar-SA"/>
    </w:rPr>
  </w:style>
  <w:style w:type="paragraph" w:customStyle="1" w:styleId="83">
    <w:name w:val="样式 11 小四"/>
    <w:pPr>
      <w:widowControl w:val="0"/>
    </w:pPr>
    <w:rPr>
      <w:rFonts w:ascii="宋体" w:eastAsia="宋体" w:cs="Times New Roman"/>
      <w:kern w:val="2"/>
      <w:sz w:val="24"/>
      <w:szCs w:val="21"/>
      <w:lang w:val="en-US" w:eastAsia="zh-CN" w:bidi="ar-SA"/>
    </w:rPr>
  </w:style>
  <w:style w:type="paragraph" w:customStyle="1" w:styleId="84">
    <w:name w:val="样式 12 小四"/>
    <w:pPr>
      <w:widowControl w:val="0"/>
    </w:pPr>
    <w:rPr>
      <w:rFonts w:ascii="宋体" w:eastAsia="宋体" w:cs="Times New Roman"/>
      <w:kern w:val="2"/>
      <w:sz w:val="24"/>
      <w:szCs w:val="21"/>
      <w:lang w:val="en-US" w:eastAsia="zh-CN" w:bidi="ar-SA"/>
    </w:rPr>
  </w:style>
  <w:style w:type="paragraph" w:customStyle="1" w:styleId="85">
    <w:name w:val="样式 13 小四"/>
    <w:pPr>
      <w:widowControl w:val="0"/>
    </w:pPr>
    <w:rPr>
      <w:rFonts w:ascii="宋体" w:eastAsia="宋体" w:cs="Times New Roman"/>
      <w:kern w:val="2"/>
      <w:sz w:val="24"/>
      <w:szCs w:val="21"/>
      <w:lang w:val="en-US" w:eastAsia="zh-CN" w:bidi="ar-SA"/>
    </w:rPr>
  </w:style>
  <w:style w:type="character" w:styleId="86">
    <w:name w:val="annotation reference"/>
    <w:basedOn w:val="10"/>
    <w:rPr>
      <w:sz w:val="21"/>
      <w:szCs w:val="21"/>
    </w:rPr>
  </w:style>
  <w:style w:type="paragraph" w:customStyle="1" w:styleId="87">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8">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205</TotalTime>
  <Application>Yozo_Office</Application>
  <Pages>8</Pages>
  <Words>3239</Words>
  <Characters>3354</Characters>
  <Lines>466</Lines>
  <Paragraphs>318</Paragraphs>
  <CharactersWithSpaces>3355</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3</cp:revision>
  <cp:lastPrinted>2020-01-22T16:43:00Z</cp:lastPrinted>
  <dcterms:created xsi:type="dcterms:W3CDTF">2026-01-05T07:35:00Z</dcterms:created>
  <dcterms:modified xsi:type="dcterms:W3CDTF">2026-01-26T00:58:53Z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