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5"/>
        <w:spacing w:line="580" w:lineRule="exact"/>
        <w:ind w:left="0"/>
        <w:jc w:val="center"/>
        <w:rPr>
          <w:rFonts w:ascii="方正小标宋_GBK" w:eastAsia="方正小标宋_GBK" w:cs="方正小标宋_GBK" w:hint="eastAsia"/>
          <w:color w:val="auto"/>
          <w:sz w:val="44"/>
          <w:szCs w:val="44"/>
          <w:lang w:bidi="ar-SA"/>
        </w:rPr>
      </w:pPr>
      <w:bookmarkStart w:id="0" w:name="_Hlk25540369"/>
      <w:bookmarkStart w:id="1" w:name="cogw__正文__file"/>
      <w:bookmarkStart w:id="2" w:name="_GoBack"/>
      <w:bookmarkEnd w:id="2"/>
      <w:r>
        <w:rPr>
          <w:rFonts w:ascii="方正小标宋_GBK" w:eastAsia="方正小标宋_GBK" w:cs="方正小标宋_GBK" w:hint="eastAsia"/>
          <w:color w:val="auto"/>
          <w:sz w:val="44"/>
          <w:szCs w:val="44"/>
          <w:lang w:val="en-US" w:eastAsia="zh-CN" w:bidi="ar-SA"/>
        </w:rPr>
        <w:t>大铲</w:t>
      </w:r>
      <w:r>
        <w:rPr>
          <w:rFonts w:ascii="方正小标宋_GBK" w:eastAsia="方正小标宋_GBK" w:cs="方正小标宋_GBK" w:hint="eastAsia"/>
          <w:color w:val="auto"/>
          <w:sz w:val="44"/>
          <w:szCs w:val="44"/>
          <w:lang w:bidi="ar-SA"/>
        </w:rPr>
        <w:t>海关202</w:t>
      </w:r>
      <w:r>
        <w:rPr>
          <w:rFonts w:ascii="方正小标宋_GBK" w:eastAsia="方正小标宋_GBK" w:cs="方正小标宋_GBK"/>
          <w:color w:val="auto"/>
          <w:sz w:val="44"/>
          <w:szCs w:val="44"/>
          <w:lang w:bidi="ar-SA"/>
        </w:rPr>
        <w:t>5</w:t>
      </w:r>
      <w:r>
        <w:rPr>
          <w:rFonts w:ascii="方正小标宋_GBK" w:eastAsia="方正小标宋_GBK" w:cs="方正小标宋_GBK" w:hint="eastAsia"/>
          <w:color w:val="auto"/>
          <w:sz w:val="44"/>
          <w:szCs w:val="44"/>
          <w:lang w:bidi="ar-SA"/>
        </w:rPr>
        <w:t>年政府信息公开工作年度报告</w:t>
      </w:r>
      <w:bookmarkEnd w:id="0"/>
    </w:p>
    <w:p>
      <w:pPr>
        <w:pStyle w:val="28"/>
        <w:widowControl/>
        <w:shd w:val="clear" w:color="auto" w:fill="FFFFFF"/>
        <w:adjustRightInd w:val="0"/>
        <w:snapToGrid w:val="0"/>
        <w:spacing w:beforeAutospacing="0" w:afterAutospacing="0" w:line="560" w:lineRule="exact"/>
        <w:ind w:firstLine="0"/>
        <w:jc w:val="both"/>
        <w:rPr>
          <w:rFonts w:ascii="楷体_GB2312" w:eastAsia="楷体_GB2312" w:cs="楷体_GB2312" w:hint="eastAsia"/>
          <w:bCs/>
          <w:color w:val="auto"/>
          <w:sz w:val="32"/>
          <w:szCs w:val="32"/>
          <w:shd w:val="clear" w:color="auto" w:fill="FFFFFF"/>
          <w:lang w:bidi="ar-SA"/>
        </w:rPr>
      </w:pPr>
    </w:p>
    <w:p>
      <w:pPr>
        <w:pStyle w:val="28"/>
        <w:widowControl/>
        <w:shd w:val="clear" w:color="auto" w:fill="FFFFFF"/>
        <w:adjustRightInd w:val="0"/>
        <w:snapToGrid w:val="0"/>
        <w:spacing w:beforeAutospacing="0" w:afterAutospacing="0" w:line="560" w:lineRule="exact"/>
        <w:ind w:firstLineChars="200" w:firstLine="616"/>
        <w:jc w:val="both"/>
        <w:rPr>
          <w:rStyle w:val="77Char"/>
          <w:rFonts w:ascii="方正黑体_GBK" w:eastAsia="方正黑体_GBK" w:cs="楷体_GB2312" w:hint="eastAsia"/>
          <w:bCs/>
          <w:color w:val="auto"/>
          <w:spacing w:val="-6"/>
          <w:sz w:val="32"/>
          <w:szCs w:val="20"/>
          <w:u w:val="none" w:color="auto"/>
          <w:shd w:val="clear" w:color="auto" w:fill="auto"/>
          <w:lang w:bidi="ar-SA"/>
        </w:rPr>
      </w:pPr>
      <w:r>
        <w:rPr>
          <w:rStyle w:val="77Char"/>
          <w:rFonts w:hint="eastAsia"/>
          <w:color w:val="auto"/>
          <w:spacing w:val="-6"/>
          <w:szCs w:val="20"/>
          <w:u w:val="none" w:color="auto"/>
          <w:shd w:val="clear" w:color="auto" w:fill="auto"/>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大铲海关2025</w:t>
      </w:r>
      <w:r>
        <w:rPr>
          <w:rStyle w:val="77Char"/>
          <w:color w:val="auto"/>
          <w:spacing w:val="-6"/>
          <w:szCs w:val="20"/>
          <w:u w:val="none" w:color="auto"/>
          <w:shd w:val="clear" w:color="auto" w:fill="auto"/>
        </w:rPr>
        <w:t xml:space="preserve"> </w:t>
      </w:r>
      <w:r>
        <w:rPr>
          <w:rStyle w:val="77Char"/>
          <w:rFonts w:hint="eastAsia"/>
          <w:color w:val="auto"/>
          <w:spacing w:val="-6"/>
          <w:szCs w:val="20"/>
          <w:u w:val="none" w:color="auto"/>
          <w:shd w:val="clear" w:color="auto" w:fill="auto"/>
        </w:rPr>
        <w:t>年政府信息公开工作年报。年报中所列数据的统计期限，自2025年1月1日起至2025年12月31日止。如对本年报有疑问或有任何意见、建议，请联系大铲海关办公室。地址：广东省深圳市南山区妈湾大道1087号前湾燃机电厂转大铲海关办公室，邮编：518000；电话：020-81101504；电子邮箱：dchgbgs@163.com。</w:t>
      </w:r>
    </w:p>
    <w:p>
      <w:pPr>
        <w:pStyle w:val="28"/>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hint="eastAsia"/>
          <w:bCs/>
          <w:color w:val="auto"/>
          <w:sz w:val="32"/>
          <w:szCs w:val="32"/>
          <w:lang w:bidi="ar-SA"/>
        </w:rPr>
      </w:pPr>
      <w:r>
        <w:rPr>
          <w:rFonts w:ascii="方正黑体_GBK" w:eastAsia="方正黑体_GBK" w:cs="楷体_GB2312" w:hint="eastAsia"/>
          <w:bCs/>
          <w:color w:val="auto"/>
          <w:sz w:val="32"/>
          <w:szCs w:val="32"/>
          <w:shd w:val="clear" w:color="auto" w:fill="FFFFFF"/>
          <w:lang w:bidi="ar-SA"/>
        </w:rPr>
        <w:t>一、总体情况</w:t>
      </w:r>
    </w:p>
    <w:p>
      <w:pPr>
        <w:pStyle w:val="35"/>
        <w:adjustRightInd w:val="0"/>
        <w:snapToGrid w:val="0"/>
        <w:spacing w:line="560" w:lineRule="exact"/>
        <w:ind w:firstLineChars="200" w:firstLine="616"/>
        <w:contextualSpacing w:val="0"/>
        <w:jc w:val="both"/>
        <w:rPr>
          <w:rStyle w:val="77Char"/>
          <w:rFonts w:hint="eastAsia"/>
          <w:snapToGrid/>
          <w:color w:val="auto"/>
          <w:spacing w:val="-6"/>
          <w:w w:val="100"/>
          <w:position w:val="0"/>
          <w:szCs w:val="20"/>
          <w:u w:val="none"/>
          <w:shd w:val="clear" w:color="auto" w:fill="auto"/>
          <w:vertAlign w:val="baseline"/>
          <w:lang w:val="en-US" w:eastAsia="zh-CN"/>
        </w:rPr>
      </w:pPr>
      <w:r>
        <w:rPr>
          <w:rStyle w:val="77Char"/>
          <w:rFonts w:hint="eastAsia"/>
          <w:snapToGrid/>
          <w:color w:val="auto"/>
          <w:spacing w:val="-6"/>
          <w:w w:val="100"/>
          <w:position w:val="0"/>
          <w:szCs w:val="20"/>
          <w:u w:val="none"/>
          <w:shd w:val="clear" w:color="auto" w:fill="auto"/>
          <w:vertAlign w:val="baseline"/>
          <w:lang w:val="en-US" w:eastAsia="zh-CN"/>
        </w:rPr>
        <w:t>2025年，大铲海关坚持以习近平新时代中国特色社会主义思想为指导，全面贯彻落实党的二十大和二十届</w:t>
      </w:r>
      <w:r>
        <w:rPr>
          <w:rStyle w:val="77Char"/>
          <w:snapToGrid/>
          <w:color w:val="auto"/>
          <w:spacing w:val="-6"/>
          <w:w w:val="100"/>
          <w:position w:val="0"/>
          <w:szCs w:val="20"/>
          <w:u w:val="none"/>
          <w:shd w:val="clear" w:color="auto" w:fill="auto"/>
          <w:vertAlign w:val="baseline"/>
          <w:lang w:val="en-US" w:eastAsia="zh-CN"/>
        </w:rPr>
        <w:t>历次</w:t>
      </w:r>
      <w:r>
        <w:rPr>
          <w:rStyle w:val="77Char"/>
          <w:rFonts w:hint="eastAsia"/>
          <w:snapToGrid/>
          <w:color w:val="auto"/>
          <w:spacing w:val="-6"/>
          <w:w w:val="100"/>
          <w:position w:val="0"/>
          <w:szCs w:val="20"/>
          <w:u w:val="none"/>
          <w:shd w:val="clear" w:color="auto" w:fill="auto"/>
          <w:vertAlign w:val="baseline"/>
          <w:lang w:val="en-US" w:eastAsia="zh-CN"/>
        </w:rPr>
        <w:t>全会精神，深入贯彻习近平总书记重要指示批示和给红其拉甫海关全体关员重要回信精神，严格落实《中华人民共和国政府信息公开条例》等要求，纵深推进基层政务公开标准化规范化建设。现将工作情况报告如下：</w:t>
      </w:r>
    </w:p>
    <w:p>
      <w:pPr>
        <w:pStyle w:val="35"/>
        <w:adjustRightInd w:val="0"/>
        <w:snapToGrid w:val="0"/>
        <w:spacing w:line="560" w:lineRule="exact"/>
        <w:ind w:firstLineChars="200" w:firstLine="616"/>
        <w:contextualSpacing w:val="0"/>
        <w:rPr>
          <w:rStyle w:val="77Char"/>
          <w:rFonts w:ascii="方正楷体_GBK" w:eastAsia="方正楷体_GBK" w:hint="eastAsia"/>
          <w:b/>
          <w:bCs/>
          <w:snapToGrid/>
          <w:color w:val="auto"/>
          <w:spacing w:val="-6"/>
          <w:w w:val="100"/>
          <w:position w:val="0"/>
          <w:szCs w:val="20"/>
          <w:u w:val="none"/>
          <w:shd w:val="clear" w:color="auto" w:fill="auto"/>
          <w:vertAlign w:val="baseline"/>
          <w:lang w:val="en-US" w:eastAsia="zh-CN"/>
        </w:rPr>
      </w:pPr>
      <w:r>
        <w:rPr>
          <w:rStyle w:val="77Char"/>
          <w:rFonts w:ascii="方正楷体_GBK" w:eastAsia="方正楷体_GBK" w:hint="eastAsia"/>
          <w:b/>
          <w:bCs/>
          <w:snapToGrid/>
          <w:color w:val="auto"/>
          <w:spacing w:val="-6"/>
          <w:w w:val="100"/>
          <w:position w:val="0"/>
          <w:szCs w:val="20"/>
          <w:u w:val="none"/>
          <w:shd w:val="clear" w:color="auto" w:fill="auto"/>
          <w:vertAlign w:val="baseline"/>
          <w:lang w:val="en-US" w:eastAsia="zh-CN"/>
        </w:rPr>
        <w:t>（一）主动公开情况。</w:t>
      </w:r>
    </w:p>
    <w:p>
      <w:pPr>
        <w:widowControl/>
        <w:adjustRightInd/>
        <w:snapToGrid/>
        <w:spacing w:line="560" w:lineRule="exact"/>
        <w:ind w:firstLineChars="200" w:firstLine="616"/>
        <w:rPr>
          <w:rStyle w:val="77Char"/>
          <w:rFonts w:hint="eastAsia"/>
          <w:snapToGrid/>
          <w:color w:val="auto"/>
          <w:spacing w:val="-6"/>
          <w:w w:val="100"/>
          <w:position w:val="0"/>
          <w:szCs w:val="20"/>
          <w:u w:val="none" w:color="auto"/>
          <w:shd w:val="clear" w:color="auto" w:fill="auto"/>
          <w:vertAlign w:val="baseline"/>
          <w:lang w:val="en-US" w:eastAsia="zh-CN"/>
        </w:rPr>
      </w:pPr>
      <w:r>
        <w:rPr>
          <w:rStyle w:val="77Char"/>
          <w:rFonts w:hint="eastAsia"/>
          <w:snapToGrid/>
          <w:color w:val="auto"/>
          <w:spacing w:val="-6"/>
          <w:w w:val="100"/>
          <w:position w:val="0"/>
          <w:szCs w:val="20"/>
          <w:u w:val="none" w:color="auto"/>
          <w:shd w:val="clear" w:color="auto" w:fill="auto"/>
          <w:vertAlign w:val="baseline"/>
          <w:lang w:val="en-US" w:eastAsia="zh-CN"/>
        </w:rPr>
        <w:t>大铲海关积极创新信息公开</w:t>
      </w:r>
      <w:r>
        <w:rPr>
          <w:rStyle w:val="77Char"/>
          <w:snapToGrid/>
          <w:color w:val="auto"/>
          <w:spacing w:val="-6"/>
          <w:w w:val="100"/>
          <w:position w:val="0"/>
          <w:szCs w:val="20"/>
          <w:u w:val="none" w:color="auto"/>
          <w:shd w:val="clear" w:color="auto" w:fill="auto"/>
          <w:vertAlign w:val="baseline"/>
          <w:lang w:val="en-US" w:eastAsia="zh-CN"/>
        </w:rPr>
        <w:t>形式</w:t>
      </w:r>
      <w:r>
        <w:rPr>
          <w:rStyle w:val="77Char"/>
          <w:rFonts w:hint="eastAsia"/>
          <w:snapToGrid/>
          <w:color w:val="auto"/>
          <w:spacing w:val="-6"/>
          <w:w w:val="100"/>
          <w:position w:val="0"/>
          <w:szCs w:val="20"/>
          <w:u w:val="none" w:color="auto"/>
          <w:shd w:val="clear" w:color="auto" w:fill="auto"/>
          <w:vertAlign w:val="baseline"/>
          <w:lang w:val="en-US" w:eastAsia="zh-CN"/>
        </w:rPr>
        <w:t>，在船舶监管</w:t>
      </w:r>
      <w:r>
        <w:rPr>
          <w:rStyle w:val="77Char"/>
          <w:snapToGrid/>
          <w:color w:val="auto"/>
          <w:spacing w:val="-6"/>
          <w:w w:val="100"/>
          <w:position w:val="0"/>
          <w:szCs w:val="20"/>
          <w:u w:val="none" w:color="auto"/>
          <w:shd w:val="clear" w:color="auto" w:fill="auto"/>
          <w:vertAlign w:val="baseline"/>
          <w:lang w:val="en-US" w:eastAsia="zh-CN"/>
        </w:rPr>
        <w:t>过程中，同步</w:t>
      </w:r>
      <w:r>
        <w:rPr>
          <w:rStyle w:val="77Char"/>
          <w:rFonts w:hint="eastAsia"/>
          <w:snapToGrid/>
          <w:color w:val="auto"/>
          <w:spacing w:val="-6"/>
          <w:w w:val="100"/>
          <w:position w:val="0"/>
          <w:szCs w:val="20"/>
          <w:u w:val="none" w:color="auto"/>
          <w:shd w:val="clear" w:color="auto" w:fill="auto"/>
          <w:vertAlign w:val="baseline"/>
          <w:lang w:val="en-US" w:eastAsia="zh-CN"/>
        </w:rPr>
        <w:t>进行“船舱式”政府信息公开服务，依法保障人民群众知情权、参与权和监督权。通过广州海关门户网站、宣传展板等渠道，主动公开并及时更新维护机构职能、办事方式等政府信息</w:t>
      </w:r>
      <w:r>
        <w:rPr>
          <w:rStyle w:val="77Char"/>
          <w:rFonts w:hint="eastAsia"/>
          <w:color w:val="auto"/>
          <w:spacing w:val="-6"/>
          <w:szCs w:val="20"/>
          <w:u w:val="none" w:color="auto"/>
          <w:shd w:val="clear" w:color="auto" w:fill="auto"/>
        </w:rPr>
        <w:t>，推动</w:t>
      </w:r>
      <w:r>
        <w:rPr>
          <w:rStyle w:val="77Char"/>
          <w:color w:val="auto"/>
          <w:spacing w:val="-6"/>
          <w:szCs w:val="20"/>
          <w:u w:val="none" w:color="auto"/>
          <w:shd w:val="clear" w:color="auto" w:fill="auto"/>
        </w:rPr>
        <w:t>信息</w:t>
      </w:r>
      <w:r>
        <w:rPr>
          <w:rStyle w:val="77Char"/>
          <w:rFonts w:hint="eastAsia"/>
          <w:color w:val="auto"/>
          <w:spacing w:val="-6"/>
          <w:szCs w:val="20"/>
          <w:u w:val="none" w:color="auto"/>
          <w:shd w:val="clear" w:color="auto" w:fill="auto"/>
        </w:rPr>
        <w:t>公开提质增效。</w:t>
      </w:r>
    </w:p>
    <w:p>
      <w:pPr>
        <w:pStyle w:val="35"/>
        <w:adjustRightInd w:val="0"/>
        <w:snapToGrid w:val="0"/>
        <w:spacing w:line="560" w:lineRule="exact"/>
        <w:ind w:firstLineChars="200" w:firstLine="616"/>
        <w:contextualSpacing w:val="0"/>
        <w:rPr>
          <w:rStyle w:val="77Char"/>
          <w:rFonts w:ascii="方正楷体_GBK" w:eastAsia="方正楷体_GBK" w:hint="eastAsia"/>
          <w:b/>
          <w:bCs/>
          <w:snapToGrid/>
          <w:color w:val="auto"/>
          <w:spacing w:val="-6"/>
          <w:w w:val="100"/>
          <w:position w:val="0"/>
          <w:szCs w:val="20"/>
          <w:u w:val="none"/>
          <w:shd w:val="clear" w:color="auto" w:fill="auto"/>
          <w:vertAlign w:val="baseline"/>
          <w:lang w:val="en-US" w:eastAsia="zh-CN"/>
        </w:rPr>
      </w:pPr>
      <w:r>
        <w:rPr>
          <w:rStyle w:val="77Char"/>
          <w:rFonts w:ascii="方正楷体_GBK" w:eastAsia="方正楷体_GBK" w:hint="eastAsia"/>
          <w:b/>
          <w:bCs/>
          <w:snapToGrid/>
          <w:color w:val="auto"/>
          <w:spacing w:val="-6"/>
          <w:w w:val="100"/>
          <w:position w:val="0"/>
          <w:szCs w:val="20"/>
          <w:u w:val="none"/>
          <w:shd w:val="clear" w:color="auto" w:fill="auto"/>
          <w:vertAlign w:val="baseline"/>
          <w:lang w:val="en-US" w:eastAsia="zh-CN"/>
        </w:rPr>
        <w:t>（二）依申请公开情况。</w:t>
      </w:r>
    </w:p>
    <w:p>
      <w:pPr>
        <w:pStyle w:val="35"/>
        <w:adjustRightInd w:val="0"/>
        <w:snapToGrid w:val="0"/>
        <w:spacing w:line="560" w:lineRule="exact"/>
        <w:ind w:firstLineChars="200" w:firstLine="616"/>
        <w:contextualSpacing w:val="0"/>
        <w:rPr>
          <w:rStyle w:val="77Char"/>
          <w:snapToGrid/>
          <w:color w:val="auto"/>
          <w:spacing w:val="-6"/>
          <w:w w:val="100"/>
          <w:position w:val="0"/>
          <w:szCs w:val="20"/>
          <w:u w:val="none"/>
          <w:shd w:val="clear" w:color="auto" w:fill="auto"/>
          <w:vertAlign w:val="baseline"/>
          <w:lang w:val="en-US" w:eastAsia="zh-CN"/>
        </w:rPr>
      </w:pPr>
      <w:r>
        <w:rPr>
          <w:rStyle w:val="77Char"/>
          <w:rFonts w:hint="eastAsia"/>
          <w:snapToGrid/>
          <w:color w:val="auto"/>
          <w:spacing w:val="-6"/>
          <w:w w:val="100"/>
          <w:position w:val="0"/>
          <w:szCs w:val="20"/>
          <w:u w:val="none"/>
          <w:shd w:val="clear" w:color="auto" w:fill="auto"/>
          <w:vertAlign w:val="baseline"/>
          <w:lang w:val="en-US" w:eastAsia="zh-CN"/>
        </w:rPr>
        <w:t>全面推进依申请公开办理规范化，畅通线上线下申请渠道，优化各环节流程。严格执行法定时限和规范格式，依法依规做好政府信息公开申请答复工作</w:t>
      </w:r>
      <w:r>
        <w:rPr>
          <w:rStyle w:val="77Char"/>
          <w:snapToGrid/>
          <w:color w:val="auto"/>
          <w:spacing w:val="-6"/>
          <w:w w:val="100"/>
          <w:position w:val="0"/>
          <w:szCs w:val="20"/>
          <w:u w:val="none"/>
          <w:shd w:val="clear" w:color="auto" w:fill="auto"/>
          <w:vertAlign w:val="baseline"/>
          <w:lang w:val="en-US" w:eastAsia="zh-CN"/>
        </w:rPr>
        <w:t>，</w:t>
      </w:r>
      <w:r>
        <w:rPr>
          <w:rStyle w:val="78Char"/>
          <w:rFonts w:hint="eastAsia"/>
          <w:snapToGrid/>
          <w:color w:val="auto"/>
          <w:spacing w:val="-6"/>
          <w:w w:val="100"/>
          <w:position w:val="0"/>
          <w:szCs w:val="20"/>
          <w:u w:val="none"/>
          <w:shd w:val="clear" w:color="auto" w:fill="auto"/>
          <w:vertAlign w:val="baseline"/>
          <w:lang w:val="en-US" w:eastAsia="zh-CN"/>
        </w:rPr>
        <w:t>保障公民、法人和其他组织的信息获取权利</w:t>
      </w:r>
      <w:r>
        <w:rPr>
          <w:rStyle w:val="77Char"/>
          <w:rFonts w:hint="eastAsia"/>
          <w:snapToGrid/>
          <w:color w:val="auto"/>
          <w:spacing w:val="-6"/>
          <w:w w:val="100"/>
          <w:position w:val="0"/>
          <w:szCs w:val="20"/>
          <w:u w:val="none"/>
          <w:shd w:val="clear" w:color="auto" w:fill="auto"/>
          <w:vertAlign w:val="baseline"/>
          <w:lang w:val="en-US" w:eastAsia="zh-CN"/>
        </w:rPr>
        <w:t>。加强人员业务培训，提升答复规范化、专业化水平。年内收到政府信息公开申请</w:t>
      </w:r>
      <w:r>
        <w:rPr>
          <w:rStyle w:val="77Char"/>
          <w:snapToGrid/>
          <w:color w:val="auto"/>
          <w:spacing w:val="-6"/>
          <w:w w:val="100"/>
          <w:position w:val="0"/>
          <w:szCs w:val="20"/>
          <w:u w:val="none"/>
          <w:shd w:val="clear" w:color="auto" w:fill="auto"/>
          <w:vertAlign w:val="baseline"/>
          <w:lang w:val="en-US" w:eastAsia="zh-CN"/>
        </w:rPr>
        <w:t>1件</w:t>
      </w:r>
      <w:r>
        <w:rPr>
          <w:rStyle w:val="77Char"/>
          <w:rFonts w:hint="eastAsia"/>
          <w:snapToGrid/>
          <w:color w:val="auto"/>
          <w:spacing w:val="-6"/>
          <w:w w:val="100"/>
          <w:position w:val="0"/>
          <w:szCs w:val="20"/>
          <w:u w:val="none"/>
          <w:shd w:val="clear" w:color="auto" w:fill="auto"/>
          <w:vertAlign w:val="baseline"/>
          <w:lang w:val="en-US" w:eastAsia="zh-CN"/>
        </w:rPr>
        <w:t>，</w:t>
      </w:r>
      <w:r>
        <w:rPr>
          <w:rStyle w:val="77Char"/>
          <w:snapToGrid/>
          <w:color w:val="auto"/>
          <w:spacing w:val="-6"/>
          <w:w w:val="100"/>
          <w:position w:val="0"/>
          <w:szCs w:val="20"/>
          <w:u w:val="none"/>
          <w:shd w:val="clear" w:color="auto" w:fill="auto"/>
          <w:vertAlign w:val="baseline"/>
          <w:lang w:val="en-US" w:eastAsia="zh-CN"/>
        </w:rPr>
        <w:t>已按规定时限</w:t>
      </w:r>
      <w:r>
        <w:rPr>
          <w:rStyle w:val="77Char"/>
          <w:rFonts w:hint="eastAsia"/>
          <w:snapToGrid/>
          <w:color w:val="auto"/>
          <w:spacing w:val="-6"/>
          <w:w w:val="100"/>
          <w:position w:val="0"/>
          <w:szCs w:val="20"/>
          <w:u w:val="none"/>
          <w:shd w:val="clear" w:color="auto" w:fill="auto"/>
          <w:vertAlign w:val="baseline"/>
          <w:lang w:val="en-US" w:eastAsia="zh-CN"/>
        </w:rPr>
        <w:t>办结</w:t>
      </w:r>
      <w:r>
        <w:rPr>
          <w:rStyle w:val="77Char"/>
          <w:snapToGrid/>
          <w:color w:val="auto"/>
          <w:spacing w:val="-6"/>
          <w:w w:val="100"/>
          <w:position w:val="0"/>
          <w:szCs w:val="20"/>
          <w:u w:val="none"/>
          <w:shd w:val="clear" w:color="auto" w:fill="auto"/>
          <w:vertAlign w:val="baseline"/>
          <w:lang w:val="en-US" w:eastAsia="zh-CN"/>
        </w:rPr>
        <w:t>，未发生因政府信息公开引发的行政复议、诉讼</w:t>
      </w:r>
      <w:r>
        <w:rPr>
          <w:rStyle w:val="77Char"/>
          <w:rFonts w:hint="eastAsia"/>
          <w:snapToGrid/>
          <w:color w:val="auto"/>
          <w:spacing w:val="-6"/>
          <w:w w:val="100"/>
          <w:position w:val="0"/>
          <w:szCs w:val="20"/>
          <w:u w:val="none"/>
          <w:shd w:val="clear" w:color="auto" w:fill="auto"/>
          <w:vertAlign w:val="baseline"/>
          <w:lang w:val="en-US" w:eastAsia="zh-CN"/>
        </w:rPr>
        <w:t>。</w:t>
      </w:r>
    </w:p>
    <w:p>
      <w:pPr>
        <w:pStyle w:val="35"/>
        <w:adjustRightInd w:val="0"/>
        <w:snapToGrid w:val="0"/>
        <w:spacing w:line="560" w:lineRule="exact"/>
        <w:ind w:firstLineChars="200" w:firstLine="616"/>
        <w:contextualSpacing w:val="0"/>
        <w:rPr>
          <w:rStyle w:val="77Char"/>
          <w:rFonts w:ascii="方正楷体_GBK" w:eastAsia="方正楷体_GBK" w:hint="eastAsia"/>
          <w:b/>
          <w:bCs/>
          <w:snapToGrid/>
          <w:color w:val="auto"/>
          <w:spacing w:val="-6"/>
          <w:w w:val="100"/>
          <w:position w:val="0"/>
          <w:szCs w:val="20"/>
          <w:u w:val="none"/>
          <w:shd w:val="clear" w:color="auto" w:fill="auto"/>
          <w:vertAlign w:val="baseline"/>
          <w:lang w:val="en-US" w:eastAsia="zh-CN"/>
        </w:rPr>
      </w:pPr>
      <w:r>
        <w:rPr>
          <w:rStyle w:val="77Char"/>
          <w:rFonts w:ascii="方正楷体_GBK" w:eastAsia="方正楷体_GBK" w:hint="eastAsia"/>
          <w:b/>
          <w:bCs/>
          <w:snapToGrid/>
          <w:color w:val="auto"/>
          <w:spacing w:val="-6"/>
          <w:w w:val="100"/>
          <w:position w:val="0"/>
          <w:szCs w:val="20"/>
          <w:u w:val="none"/>
          <w:shd w:val="clear" w:color="auto" w:fill="auto"/>
          <w:vertAlign w:val="baseline"/>
          <w:lang w:val="en-US" w:eastAsia="zh-CN"/>
        </w:rPr>
        <w:t>（三）政府信息管理</w:t>
      </w:r>
      <w:r>
        <w:rPr>
          <w:rStyle w:val="77Char"/>
          <w:rFonts w:ascii="方正楷体_GBK" w:eastAsia="方正楷体_GBK"/>
          <w:b/>
          <w:bCs/>
          <w:spacing w:val="-6"/>
          <w:szCs w:val="20"/>
          <w:shd w:val="clear" w:color="auto" w:fill="auto"/>
        </w:rPr>
        <w:t>情况</w:t>
      </w:r>
      <w:r>
        <w:rPr>
          <w:rStyle w:val="77Char"/>
          <w:rFonts w:ascii="方正楷体_GBK" w:eastAsia="方正楷体_GBK" w:hint="eastAsia"/>
          <w:b/>
          <w:bCs/>
          <w:snapToGrid/>
          <w:color w:val="auto"/>
          <w:spacing w:val="-6"/>
          <w:w w:val="100"/>
          <w:position w:val="0"/>
          <w:szCs w:val="20"/>
          <w:u w:val="none"/>
          <w:shd w:val="clear" w:color="auto" w:fill="auto"/>
          <w:vertAlign w:val="baseline"/>
          <w:lang w:val="en-US" w:eastAsia="zh-CN"/>
        </w:rPr>
        <w:t>。</w:t>
      </w:r>
    </w:p>
    <w:p>
      <w:pPr>
        <w:pStyle w:val="35"/>
        <w:adjustRightInd w:val="0"/>
        <w:snapToGrid w:val="0"/>
        <w:spacing w:line="560" w:lineRule="exact"/>
        <w:ind w:firstLineChars="200" w:firstLine="616"/>
        <w:contextualSpacing w:val="0"/>
        <w:rPr>
          <w:rStyle w:val="77Char"/>
          <w:rFonts w:hint="eastAsia"/>
          <w:snapToGrid/>
          <w:color w:val="auto"/>
          <w:spacing w:val="-6"/>
          <w:w w:val="100"/>
          <w:position w:val="0"/>
          <w:szCs w:val="20"/>
          <w:u w:val="none"/>
          <w:shd w:val="clear" w:color="auto" w:fill="auto"/>
          <w:vertAlign w:val="baseline"/>
          <w:lang w:val="en-US" w:eastAsia="zh-CN"/>
        </w:rPr>
      </w:pPr>
      <w:r>
        <w:rPr>
          <w:rStyle w:val="77Char"/>
          <w:rFonts w:hint="eastAsia"/>
          <w:snapToGrid/>
          <w:color w:val="auto"/>
          <w:spacing w:val="-6"/>
          <w:w w:val="100"/>
          <w:position w:val="0"/>
          <w:szCs w:val="20"/>
          <w:u w:val="none"/>
          <w:shd w:val="clear" w:color="auto" w:fill="auto"/>
          <w:vertAlign w:val="baseline"/>
          <w:lang w:val="en-US" w:eastAsia="zh-CN"/>
        </w:rPr>
        <w:t>根据《中华人民共和国政府信息公开条例》</w:t>
      </w:r>
      <w:r>
        <w:rPr>
          <w:rStyle w:val="77Char"/>
          <w:snapToGrid/>
          <w:color w:val="auto"/>
          <w:spacing w:val="-6"/>
          <w:w w:val="100"/>
          <w:position w:val="0"/>
          <w:szCs w:val="20"/>
          <w:u w:val="none"/>
          <w:shd w:val="clear" w:color="auto" w:fill="auto"/>
          <w:vertAlign w:val="baseline"/>
          <w:lang w:val="en-US" w:eastAsia="zh-CN"/>
        </w:rPr>
        <w:t>要求</w:t>
      </w:r>
      <w:r>
        <w:rPr>
          <w:rStyle w:val="77Char"/>
          <w:rFonts w:hint="eastAsia"/>
          <w:snapToGrid/>
          <w:color w:val="auto"/>
          <w:spacing w:val="-6"/>
          <w:w w:val="100"/>
          <w:position w:val="0"/>
          <w:szCs w:val="20"/>
          <w:u w:val="none"/>
          <w:shd w:val="clear" w:color="auto" w:fill="auto"/>
          <w:vertAlign w:val="baseline"/>
          <w:lang w:val="en-US" w:eastAsia="zh-CN"/>
        </w:rPr>
        <w:t>，及时做好政府信息公开工作。严格把关信息质量，按照要求落实信息发布审查制度，完善信息公开发布审查机制，落实三级审核，确保无泄密事件发生。</w:t>
      </w:r>
    </w:p>
    <w:p>
      <w:pPr>
        <w:pStyle w:val="35"/>
        <w:adjustRightInd w:val="0"/>
        <w:snapToGrid w:val="0"/>
        <w:spacing w:line="560" w:lineRule="exact"/>
        <w:ind w:firstLineChars="200" w:firstLine="616"/>
        <w:contextualSpacing w:val="0"/>
        <w:rPr>
          <w:rStyle w:val="77Char"/>
          <w:rFonts w:hint="eastAsia"/>
          <w:snapToGrid/>
          <w:color w:val="auto"/>
          <w:spacing w:val="-6"/>
          <w:w w:val="100"/>
          <w:position w:val="0"/>
          <w:szCs w:val="20"/>
          <w:u w:val="none"/>
          <w:shd w:val="clear" w:color="auto" w:fill="auto"/>
          <w:vertAlign w:val="baseline"/>
          <w:lang w:val="en-US" w:eastAsia="zh-CN"/>
        </w:rPr>
      </w:pPr>
      <w:r>
        <w:rPr>
          <w:rStyle w:val="77Char"/>
          <w:rFonts w:ascii="方正楷体_GBK" w:eastAsia="方正楷体_GBK" w:hint="eastAsia"/>
          <w:b/>
          <w:bCs/>
          <w:snapToGrid/>
          <w:color w:val="auto"/>
          <w:spacing w:val="-6"/>
          <w:w w:val="100"/>
          <w:position w:val="0"/>
          <w:szCs w:val="20"/>
          <w:u w:val="none"/>
          <w:shd w:val="clear" w:color="auto" w:fill="auto"/>
          <w:vertAlign w:val="baseline"/>
          <w:lang w:val="en-US" w:eastAsia="zh-CN"/>
        </w:rPr>
        <w:t>（四）政府信息公开平台建设</w:t>
      </w:r>
      <w:r>
        <w:rPr>
          <w:rStyle w:val="77Char"/>
          <w:rFonts w:ascii="方正楷体_GBK" w:eastAsia="方正楷体_GBK"/>
          <w:b/>
          <w:bCs/>
          <w:spacing w:val="-6"/>
          <w:szCs w:val="20"/>
          <w:shd w:val="clear" w:color="auto" w:fill="auto"/>
        </w:rPr>
        <w:t>情况</w:t>
      </w:r>
      <w:r>
        <w:rPr>
          <w:rStyle w:val="77Char"/>
          <w:rFonts w:ascii="方正楷体_GBK" w:eastAsia="方正楷体_GBK" w:hint="eastAsia"/>
          <w:b/>
          <w:bCs/>
          <w:snapToGrid/>
          <w:color w:val="auto"/>
          <w:spacing w:val="-6"/>
          <w:w w:val="100"/>
          <w:position w:val="0"/>
          <w:szCs w:val="20"/>
          <w:u w:val="none"/>
          <w:shd w:val="clear" w:color="auto" w:fill="auto"/>
          <w:vertAlign w:val="baseline"/>
          <w:lang w:val="en-US" w:eastAsia="zh-CN"/>
        </w:rPr>
        <w:t>。</w:t>
      </w:r>
    </w:p>
    <w:p>
      <w:pPr>
        <w:keepNext w:val="0"/>
        <w:keepLines w:val="0"/>
        <w:widowControl/>
        <w:suppressLineNumbers w:val="0"/>
        <w:spacing w:line="560" w:lineRule="exact"/>
        <w:ind w:firstLineChars="200" w:firstLine="616"/>
        <w:jc w:val="left"/>
      </w:pPr>
      <w:r>
        <w:rPr>
          <w:rStyle w:val="77Char"/>
          <w:rFonts w:hint="eastAsia"/>
          <w:snapToGrid/>
          <w:color w:val="auto"/>
          <w:spacing w:val="-6"/>
          <w:w w:val="100"/>
          <w:position w:val="0"/>
          <w:szCs w:val="20"/>
          <w:u w:val="none"/>
          <w:shd w:val="clear" w:color="auto" w:fill="auto"/>
          <w:vertAlign w:val="baseline"/>
          <w:lang w:val="en-US" w:eastAsia="zh-CN"/>
        </w:rPr>
        <w:t>持续擦亮“海关进企业、海关进社区、海关进校园”——“三进”品牌，深化“关长接待日”“关长联系企业”机制，</w:t>
      </w:r>
      <w:r>
        <w:rPr>
          <w:rStyle w:val="77Char"/>
          <w:color w:val="auto"/>
          <w:spacing w:val="-6"/>
          <w:szCs w:val="20"/>
          <w:u w:val="none"/>
          <w:shd w:val="clear" w:color="auto" w:fill="auto"/>
        </w:rPr>
        <w:t>以规模企业、行业协会为圆心，广泛开展</w:t>
      </w:r>
      <w:r>
        <w:rPr>
          <w:rStyle w:val="77Char"/>
          <w:rFonts w:hint="eastAsia"/>
          <w:color w:val="auto"/>
          <w:spacing w:val="-6"/>
          <w:szCs w:val="20"/>
          <w:u w:val="none"/>
          <w:shd w:val="clear" w:color="auto" w:fill="auto"/>
        </w:rPr>
        <w:t>相关工作</w:t>
      </w:r>
      <w:r>
        <w:rPr>
          <w:rStyle w:val="77Char"/>
          <w:color w:val="auto"/>
          <w:spacing w:val="-6"/>
          <w:szCs w:val="20"/>
          <w:u w:val="none"/>
          <w:shd w:val="clear" w:color="auto" w:fill="auto"/>
        </w:rPr>
        <w:t>，</w:t>
      </w:r>
      <w:r>
        <w:rPr>
          <w:rStyle w:val="77Char"/>
          <w:rFonts w:hint="eastAsia"/>
          <w:snapToGrid/>
          <w:color w:val="auto"/>
          <w:spacing w:val="-6"/>
          <w:w w:val="100"/>
          <w:position w:val="0"/>
          <w:szCs w:val="20"/>
          <w:u w:val="none"/>
          <w:shd w:val="clear" w:color="auto" w:fill="auto"/>
          <w:vertAlign w:val="baseline"/>
          <w:lang w:val="en-US" w:eastAsia="zh-CN"/>
        </w:rPr>
        <w:t>深入行业协会与重点船企，开展法规政策专题宣介与调研，加强法律法规解读，有效预防与化解矛盾纠纷。</w:t>
      </w:r>
    </w:p>
    <w:p>
      <w:pPr>
        <w:pStyle w:val="35"/>
        <w:adjustRightInd w:val="0"/>
        <w:snapToGrid w:val="0"/>
        <w:spacing w:line="560" w:lineRule="exact"/>
        <w:ind w:firstLineChars="200" w:firstLine="616"/>
        <w:contextualSpacing w:val="0"/>
        <w:rPr>
          <w:rStyle w:val="77Char"/>
          <w:rFonts w:ascii="方正楷体_GBK" w:eastAsia="方正楷体_GBK" w:hint="eastAsia"/>
          <w:b/>
          <w:bCs/>
          <w:snapToGrid/>
          <w:color w:val="auto"/>
          <w:spacing w:val="-6"/>
          <w:w w:val="100"/>
          <w:position w:val="0"/>
          <w:szCs w:val="20"/>
          <w:u w:val="none"/>
          <w:shd w:val="clear" w:color="auto" w:fill="auto"/>
          <w:vertAlign w:val="baseline"/>
          <w:lang w:val="en-US" w:eastAsia="zh-CN"/>
        </w:rPr>
      </w:pPr>
      <w:r>
        <w:rPr>
          <w:rStyle w:val="77Char"/>
          <w:rFonts w:ascii="方正楷体_GBK" w:eastAsia="方正楷体_GBK" w:hint="eastAsia"/>
          <w:b/>
          <w:bCs/>
          <w:snapToGrid/>
          <w:color w:val="auto"/>
          <w:spacing w:val="-6"/>
          <w:w w:val="100"/>
          <w:position w:val="0"/>
          <w:szCs w:val="20"/>
          <w:u w:val="none"/>
          <w:shd w:val="clear" w:color="auto" w:fill="auto"/>
          <w:vertAlign w:val="baseline"/>
          <w:lang w:val="en-US" w:eastAsia="zh-CN"/>
        </w:rPr>
        <w:t>（五）监督保障工作</w:t>
      </w:r>
      <w:r>
        <w:rPr>
          <w:rStyle w:val="77Char"/>
          <w:rFonts w:ascii="方正楷体_GBK" w:eastAsia="方正楷体_GBK"/>
          <w:b/>
          <w:bCs/>
          <w:spacing w:val="-6"/>
          <w:szCs w:val="20"/>
          <w:shd w:val="clear" w:color="auto" w:fill="auto"/>
          <w:lang w:val="en-US" w:eastAsia="zh-CN"/>
        </w:rPr>
        <w:t>情况</w:t>
      </w:r>
      <w:r>
        <w:rPr>
          <w:rStyle w:val="77Char"/>
          <w:rFonts w:ascii="方正楷体_GBK" w:eastAsia="方正楷体_GBK" w:hint="eastAsia"/>
          <w:b/>
          <w:bCs/>
          <w:snapToGrid/>
          <w:color w:val="auto"/>
          <w:spacing w:val="-6"/>
          <w:w w:val="100"/>
          <w:position w:val="0"/>
          <w:szCs w:val="20"/>
          <w:u w:val="none"/>
          <w:shd w:val="clear" w:color="auto" w:fill="auto"/>
          <w:vertAlign w:val="baseline"/>
          <w:lang w:val="en-US" w:eastAsia="zh-CN"/>
        </w:rPr>
        <w:t>。</w:t>
      </w:r>
    </w:p>
    <w:p>
      <w:pPr>
        <w:pStyle w:val="39"/>
        <w:adjustRightInd w:val="0"/>
        <w:snapToGrid w:val="0"/>
        <w:spacing w:beforeLines="50" w:before="218" w:afterLines="50" w:after="218"/>
        <w:ind w:firstLineChars="200" w:firstLine="616"/>
        <w:rPr>
          <w:rFonts w:ascii="方正黑体_GBK" w:eastAsia="方正黑体_GBK" w:cs="楷体_GB2312" w:hint="eastAsia"/>
          <w:bCs/>
          <w:sz w:val="32"/>
          <w:szCs w:val="32"/>
          <w:shd w:val="clear" w:color="auto" w:fill="FFFFFF"/>
          <w:lang w:bidi="ar-SA"/>
        </w:rPr>
      </w:pPr>
      <w:r>
        <w:rPr>
          <w:rStyle w:val="77Char"/>
          <w:rFonts w:hint="eastAsia"/>
          <w:spacing w:val="-6"/>
          <w:shd w:val="clear" w:color="auto" w:fill="auto"/>
        </w:rPr>
        <w:t>优化内部监督，严格落实政务信息公开监督保障机制，做好常态化监测、巡查工作，强化过程管理，对发现的问题及时整改落实。畅通公众咨询投诉渠道，保障人民群众的合法权益，自觉接受社会监督。</w:t>
      </w:r>
    </w:p>
    <w:p>
      <w:pPr>
        <w:pStyle w:val="39"/>
        <w:adjustRightInd w:val="0"/>
        <w:snapToGrid w:val="0"/>
        <w:spacing w:beforeLines="50" w:before="218" w:afterLines="50" w:after="218"/>
        <w:ind w:firstLineChars="200" w:firstLine="624"/>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本年</w:t>
            </w:r>
            <w:r>
              <w:rPr>
                <w:color w:val="auto"/>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本年废止件</w:t>
            </w:r>
            <w:r>
              <w:rPr>
                <w:color w:val="auto"/>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4"/>
              <w:widowControl/>
              <w:jc w:val="center"/>
              <w:rPr>
                <w:color w:val="auto"/>
                <w:sz w:val="24"/>
                <w:szCs w:val="24"/>
              </w:rPr>
            </w:pPr>
            <w:r>
              <w:rPr>
                <w:rFonts w:ascii="宋体" w:cs="宋体" w:hint="eastAsia"/>
                <w:color w:val="auto"/>
                <w:kern w:val="0"/>
                <w:sz w:val="24"/>
                <w:szCs w:val="24"/>
                <w:lang w:bidi="ar-SA"/>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sz w:val="24"/>
                <w:szCs w:val="24"/>
                <w:lang w:val="en-US"/>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eastAsia="方正仿宋_GBK"/>
                <w:sz w:val="24"/>
                <w:szCs w:val="24"/>
                <w:lang w:val="en-US"/>
              </w:rPr>
            </w:pPr>
            <w:r>
              <w:rPr>
                <w:rFonts w:eastAsia="方正仿宋_GBK"/>
                <w:sz w:val="24"/>
                <w:szCs w:val="24"/>
                <w:lang w:val="en-US"/>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eastAsia="方正仿宋_GBK"/>
                <w:sz w:val="24"/>
                <w:szCs w:val="24"/>
                <w:lang w:val="en-US"/>
              </w:rPr>
            </w:pPr>
            <w:r>
              <w:rPr>
                <w:rFonts w:eastAsia="方正仿宋_GBK"/>
                <w:sz w:val="24"/>
                <w:szCs w:val="24"/>
                <w:lang w:val="en-US"/>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4"/>
              <w:widowControl/>
              <w:jc w:val="center"/>
              <w:rPr>
                <w:color w:val="auto"/>
                <w:sz w:val="24"/>
                <w:szCs w:val="24"/>
              </w:rPr>
            </w:pPr>
            <w:r>
              <w:rPr>
                <w:rFonts w:ascii="宋体" w:cs="宋体" w:hint="eastAsia"/>
                <w:kern w:val="0"/>
                <w:sz w:val="24"/>
                <w:szCs w:val="24"/>
                <w:lang w:bidi="ar-SA"/>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7"/>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本年处理决定数量</w:t>
            </w:r>
          </w:p>
        </w:tc>
      </w:tr>
      <w:tr>
        <w:trPr>
          <w:trHeight w:val="9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8"/>
              <w:jc w:val="center"/>
              <w:rPr>
                <w:rFonts w:eastAsia="方正仿宋_GBK" w:cs="宋体"/>
                <w:sz w:val="24"/>
                <w:szCs w:val="24"/>
                <w:lang w:bidi="ar-SA"/>
              </w:rPr>
            </w:pPr>
            <w:r>
              <w:rPr>
                <w:rFonts w:eastAsia="方正仿宋_GBK" w:cs="宋体"/>
                <w:sz w:val="24"/>
                <w:szCs w:val="24"/>
                <w:lang w:val="en-US" w:bidi="ar-SA"/>
              </w:rPr>
              <w:t>0</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4"/>
              <w:widowControl/>
              <w:jc w:val="center"/>
              <w:rPr>
                <w:color w:val="auto"/>
                <w:sz w:val="24"/>
                <w:szCs w:val="24"/>
              </w:rPr>
            </w:pPr>
            <w:r>
              <w:rPr>
                <w:rFonts w:ascii="宋体" w:cs="宋体" w:hint="eastAsia"/>
                <w:kern w:val="0"/>
                <w:sz w:val="24"/>
                <w:szCs w:val="24"/>
                <w:lang w:bidi="ar-SA"/>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0"/>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ind w:left="0" w:firstLine="0"/>
              <w:jc w:val="center"/>
            </w:pPr>
            <w:r>
              <w:rPr>
                <w:rFonts w:eastAsia="方正仿宋_GBK" w:cs="宋体"/>
                <w:sz w:val="24"/>
                <w:szCs w:val="24"/>
                <w:lang w:bidi="ar-SA"/>
              </w:rPr>
              <w:t>139</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9"/>
              <w:jc w:val="center"/>
              <w:rPr>
                <w:rFonts w:eastAsia="方正仿宋_GBK" w:cs="宋体"/>
                <w:sz w:val="24"/>
                <w:szCs w:val="24"/>
                <w:lang w:bidi="ar-SA"/>
              </w:rPr>
            </w:pPr>
            <w:r>
              <w:rPr>
                <w:rFonts w:eastAsia="方正仿宋_GBK" w:cs="宋体"/>
                <w:sz w:val="24"/>
                <w:szCs w:val="24"/>
                <w:lang w:bidi="ar-SA"/>
              </w:rPr>
              <w:t>0</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4"/>
              <w:widowControl/>
              <w:jc w:val="center"/>
              <w:rPr>
                <w:color w:val="auto"/>
                <w:sz w:val="24"/>
                <w:szCs w:val="24"/>
              </w:rPr>
            </w:pPr>
            <w:r>
              <w:rPr>
                <w:rFonts w:ascii="宋体" w:cs="宋体" w:hint="eastAsia"/>
                <w:kern w:val="0"/>
                <w:sz w:val="24"/>
                <w:szCs w:val="24"/>
                <w:lang w:bidi="ar-SA"/>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64"/>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adjustRightInd w:val="0"/>
              <w:snapToGrid w:val="0"/>
              <w:spacing w:line="260" w:lineRule="exact"/>
              <w:jc w:val="center"/>
            </w:pPr>
            <w:r>
              <w:rPr>
                <w:rFonts w:ascii="宋体" w:cs="宋体" w:hint="eastAsia"/>
                <w:color w:val="auto"/>
                <w:kern w:val="0"/>
                <w:sz w:val="24"/>
                <w:szCs w:val="24"/>
                <w:lang w:bidi="ar-SA"/>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34"/>
              <w:jc w:val="center"/>
              <w:rPr>
                <w:rFonts w:eastAsia="方正仿宋_GBK" w:cs="宋体" w:hint="eastAsia"/>
                <w:sz w:val="24"/>
                <w:szCs w:val="24"/>
                <w:lang w:val="en-US" w:eastAsia="zh-CN" w:bidi="ar-SA"/>
              </w:rPr>
            </w:pPr>
            <w:r>
              <w:rPr>
                <w:rFonts w:eastAsia="方正仿宋_GBK" w:cs="宋体" w:hint="eastAsia"/>
                <w:sz w:val="24"/>
                <w:szCs w:val="24"/>
                <w:lang w:val="en-US" w:eastAsia="zh-CN" w:bidi="ar-SA"/>
              </w:rPr>
              <w:t>0</w:t>
            </w:r>
          </w:p>
        </w:tc>
      </w:tr>
    </w:tbl>
    <w:p>
      <w:pPr>
        <w:pStyle w:val="23"/>
        <w:tabs>
          <w:tab w:val="center" w:pos="4153"/>
          <w:tab w:val="right" w:pos="8306"/>
        </w:tabs>
        <w:adjustRightInd/>
        <w:snapToGrid w:val="0"/>
        <w:contextualSpacing w:val="0"/>
      </w:pPr>
    </w:p>
    <w:p>
      <w:pPr>
        <w:pStyle w:val="80"/>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*备注：本表格行政许可的处理决定数量，包括本机关在本年度内作出的准予许可决定、不予许可决定、变更许可决定、延期（延续）许可决定、撤销许可决定、撤回许可决定等。</w:t>
      </w:r>
    </w:p>
    <w:p>
      <w:pPr>
        <w:pStyle w:val="28"/>
        <w:widowControl/>
        <w:shd w:val="clear" w:color="auto" w:fill="FFFFFF"/>
        <w:adjustRightInd w:val="0"/>
        <w:snapToGrid w:val="0"/>
        <w:spacing w:beforeAutospacing="0" w:afterLines="50" w:after="218" w:afterAutospacing="0" w:line="560" w:lineRule="exact"/>
        <w:ind w:left="0"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rPr>
            </w:pPr>
            <w:r>
              <w:rPr>
                <w:rFonts w:ascii="宋体" w:cs="宋体" w:hint="eastAsia"/>
                <w:color w:val="auto"/>
                <w:kern w:val="0"/>
                <w:sz w:val="20"/>
                <w:szCs w:val="20"/>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rPr>
            </w:pPr>
            <w:r>
              <w:rPr>
                <w:rFonts w:ascii="宋体" w:cs="宋体" w:hint="eastAsia"/>
                <w:color w:val="auto"/>
                <w:kern w:val="0"/>
                <w:sz w:val="20"/>
                <w:szCs w:val="20"/>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rPr>
            </w:pPr>
            <w:r>
              <w:rPr>
                <w:rFonts w:ascii="宋体" w:cs="宋体" w:hint="eastAsia"/>
                <w:color w:val="auto"/>
                <w:kern w:val="0"/>
                <w:sz w:val="20"/>
                <w:szCs w:val="20"/>
                <w:lang w:bidi="ar-SA"/>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rPr>
            </w:pPr>
            <w:r>
              <w:rPr>
                <w:rFonts w:ascii="宋体" w:cs="宋体" w:hint="eastAsia"/>
                <w:color w:val="auto"/>
                <w:kern w:val="0"/>
                <w:sz w:val="20"/>
                <w:szCs w:val="20"/>
                <w:lang w:bidi="ar-SA"/>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rPr>
            </w:pPr>
            <w:r>
              <w:rPr>
                <w:rFonts w:ascii="宋体" w:cs="宋体" w:hint="eastAsia"/>
                <w:color w:val="auto"/>
                <w:kern w:val="0"/>
                <w:sz w:val="20"/>
                <w:szCs w:val="20"/>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rPr>
            </w:pPr>
            <w:r>
              <w:rPr>
                <w:rFonts w:ascii="宋体" w:cs="宋体" w:hint="eastAsia"/>
                <w:color w:val="auto"/>
                <w:kern w:val="0"/>
                <w:sz w:val="20"/>
                <w:szCs w:val="20"/>
                <w:lang w:bidi="ar-SA"/>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rPr>
            </w:pPr>
            <w:r>
              <w:rPr>
                <w:rFonts w:ascii="宋体" w:cs="宋体" w:hint="eastAsia"/>
                <w:color w:val="auto"/>
                <w:kern w:val="0"/>
                <w:sz w:val="20"/>
                <w:szCs w:val="20"/>
                <w:lang w:bidi="ar-SA"/>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rPr>
            </w:pPr>
            <w:r>
              <w:rPr>
                <w:rFonts w:ascii="宋体" w:cs="宋体" w:hint="eastAsia"/>
                <w:color w:val="auto"/>
                <w:kern w:val="0"/>
                <w:sz w:val="20"/>
                <w:szCs w:val="20"/>
                <w:lang w:bidi="ar-SA"/>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rPr>
            </w:pPr>
            <w:r>
              <w:rPr>
                <w:rFonts w:ascii="宋体" w:cs="宋体" w:hint="eastAsia"/>
                <w:color w:val="auto"/>
                <w:kern w:val="0"/>
                <w:sz w:val="20"/>
                <w:szCs w:val="20"/>
                <w:lang w:bidi="ar-SA"/>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rPr>
            </w:pPr>
            <w:r>
              <w:rPr>
                <w:rFonts w:ascii="宋体" w:cs="宋体" w:hint="eastAsia"/>
                <w:color w:val="auto"/>
                <w:kern w:val="0"/>
                <w:sz w:val="20"/>
                <w:szCs w:val="20"/>
                <w:lang w:bidi="ar-SA"/>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4"/>
              <w:widowControl/>
              <w:jc w:val="left"/>
              <w:rPr>
                <w:color w:val="auto"/>
                <w:sz w:val="24"/>
                <w:szCs w:val="24"/>
              </w:rPr>
            </w:pPr>
            <w:r>
              <w:rPr>
                <w:rFonts w:ascii="宋体" w:cs="宋体" w:hint="eastAsia"/>
                <w:color w:val="auto"/>
                <w:kern w:val="0"/>
                <w:sz w:val="24"/>
                <w:szCs w:val="24"/>
                <w:lang w:bidi="ar-SA"/>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1</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4"/>
              <w:widowControl/>
              <w:jc w:val="left"/>
              <w:rPr>
                <w:color w:val="auto"/>
                <w:sz w:val="24"/>
                <w:szCs w:val="24"/>
              </w:rPr>
            </w:pPr>
            <w:r>
              <w:rPr>
                <w:rFonts w:ascii="宋体" w:cs="宋体" w:hint="eastAsia"/>
                <w:color w:val="auto"/>
                <w:kern w:val="0"/>
                <w:sz w:val="24"/>
                <w:szCs w:val="24"/>
                <w:lang w:bidi="ar-SA"/>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eastAsia="方正仿宋_GBK"/>
                <w:sz w:val="24"/>
                <w:szCs w:val="24"/>
                <w:lang w:val="en-US"/>
              </w:rPr>
            </w:pPr>
            <w:r>
              <w:rPr>
                <w:rFonts w:eastAsia="方正仿宋_GBK"/>
                <w:sz w:val="24"/>
                <w:szCs w:val="24"/>
                <w:lang w:val="en-US"/>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left"/>
              <w:rPr>
                <w:color w:val="auto"/>
                <w:sz w:val="24"/>
                <w:szCs w:val="24"/>
              </w:rPr>
            </w:pPr>
            <w:r>
              <w:rPr>
                <w:rFonts w:ascii="楷体" w:eastAsia="楷体" w:cs="楷体" w:hint="eastAsia"/>
                <w:color w:val="auto"/>
                <w:kern w:val="0"/>
                <w:sz w:val="24"/>
                <w:szCs w:val="24"/>
                <w:lang w:bidi="ar-SA"/>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left"/>
              <w:rPr>
                <w:color w:val="auto"/>
                <w:sz w:val="24"/>
                <w:szCs w:val="24"/>
              </w:rPr>
            </w:pPr>
            <w:r>
              <w:rPr>
                <w:rFonts w:ascii="楷体" w:eastAsia="楷体" w:cs="楷体" w:hint="eastAsia"/>
                <w:color w:val="auto"/>
                <w:kern w:val="0"/>
                <w:sz w:val="24"/>
                <w:szCs w:val="24"/>
                <w:lang w:bidi="ar-SA"/>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4"/>
              <w:widowControl/>
              <w:rPr>
                <w:rFonts w:ascii="楷体" w:eastAsia="楷体" w:cs="楷体" w:hint="eastAsia"/>
                <w:kern w:val="0"/>
                <w:sz w:val="24"/>
                <w:szCs w:val="24"/>
                <w:lang w:bidi="ar-SA"/>
              </w:rPr>
            </w:pPr>
            <w:r>
              <w:rPr>
                <w:rFonts w:ascii="楷体" w:eastAsia="楷体" w:cs="楷体" w:hint="eastAsia"/>
                <w:kern w:val="0"/>
                <w:sz w:val="24"/>
                <w:szCs w:val="24"/>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4"/>
              <w:widowControl/>
              <w:rPr>
                <w:rFonts w:ascii="楷体" w:eastAsia="楷体" w:cs="楷体" w:hint="eastAsia"/>
                <w:kern w:val="0"/>
                <w:sz w:val="24"/>
                <w:szCs w:val="24"/>
                <w:lang w:bidi="ar-SA"/>
              </w:rPr>
            </w:pPr>
            <w:r>
              <w:rPr>
                <w:rFonts w:ascii="楷体" w:eastAsia="楷体" w:cs="楷体" w:hint="eastAsia"/>
                <w:kern w:val="0"/>
                <w:sz w:val="24"/>
                <w:szCs w:val="24"/>
                <w:lang w:bidi="ar-SA"/>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4"/>
              <w:widowControl/>
              <w:rPr>
                <w:rFonts w:ascii="楷体" w:eastAsia="楷体" w:cs="楷体" w:hint="eastAsia"/>
                <w:kern w:val="0"/>
                <w:sz w:val="24"/>
                <w:szCs w:val="24"/>
                <w:lang w:bidi="ar-SA"/>
              </w:rPr>
            </w:pPr>
            <w:r>
              <w:rPr>
                <w:rFonts w:ascii="楷体" w:eastAsia="楷体" w:cs="楷体" w:hint="eastAsia"/>
                <w:kern w:val="0"/>
                <w:sz w:val="24"/>
                <w:szCs w:val="24"/>
                <w:lang w:bidi="ar-SA"/>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eastAsia="方正仿宋_GBK"/>
                <w:sz w:val="24"/>
                <w:szCs w:val="24"/>
                <w:lang w:val="en-US"/>
              </w:rPr>
            </w:pPr>
            <w:r>
              <w:rPr>
                <w:rFonts w:eastAsia="方正仿宋_GBK"/>
                <w:sz w:val="24"/>
                <w:szCs w:val="24"/>
                <w:lang w:val="en-US"/>
              </w:rPr>
              <w:t>1</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eastAsia="方正仿宋_GBK"/>
                <w:sz w:val="24"/>
                <w:szCs w:val="24"/>
                <w:lang w:val="en-US"/>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eastAsia="方正仿宋_GBK"/>
                <w:sz w:val="24"/>
                <w:szCs w:val="24"/>
                <w:lang w:val="en-US"/>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eastAsia="方正仿宋_GBK"/>
                <w:sz w:val="24"/>
                <w:szCs w:val="24"/>
                <w:lang w:val="en-US"/>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eastAsia="方正仿宋_GBK"/>
                <w:sz w:val="24"/>
                <w:szCs w:val="24"/>
                <w:lang w:val="en-US"/>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eastAsia="方正仿宋_GBK"/>
                <w:sz w:val="24"/>
                <w:szCs w:val="24"/>
                <w:lang w:val="en-US"/>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eastAsia="方正仿宋_GBK"/>
                <w:sz w:val="24"/>
                <w:szCs w:val="24"/>
                <w:lang w:val="en-US"/>
              </w:rPr>
            </w:pPr>
            <w:r>
              <w:rPr>
                <w:rFonts w:eastAsia="方正仿宋_GBK"/>
                <w:sz w:val="24"/>
                <w:szCs w:val="24"/>
                <w:lang w:val="en-US"/>
              </w:rPr>
              <w:t>1</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4"/>
              <w:widowControl/>
              <w:rPr>
                <w:rFonts w:ascii="楷体" w:eastAsia="楷体" w:cs="楷体" w:hint="eastAsia"/>
                <w:kern w:val="0"/>
                <w:sz w:val="24"/>
                <w:szCs w:val="24"/>
                <w:lang w:bidi="ar-SA"/>
              </w:rPr>
            </w:pPr>
            <w:r>
              <w:rPr>
                <w:rFonts w:ascii="楷体" w:eastAsia="楷体" w:cs="楷体" w:hint="eastAsia"/>
                <w:kern w:val="0"/>
                <w:sz w:val="24"/>
                <w:szCs w:val="24"/>
                <w:lang w:bidi="ar-SA"/>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rPr>
                <w:color w:val="auto"/>
                <w:sz w:val="24"/>
                <w:szCs w:val="24"/>
              </w:rPr>
            </w:pPr>
            <w:r>
              <w:rPr>
                <w:rFonts w:ascii="楷体" w:eastAsia="楷体" w:cs="楷体" w:hint="eastAsia"/>
                <w:color w:val="auto"/>
                <w:kern w:val="0"/>
                <w:sz w:val="24"/>
                <w:szCs w:val="24"/>
                <w:lang w:bidi="ar-SA"/>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1</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left"/>
              <w:rPr>
                <w:color w:val="auto"/>
              </w:rPr>
            </w:pPr>
            <w:r>
              <w:rPr>
                <w:rFonts w:ascii="宋体" w:cs="宋体" w:hint="eastAsia"/>
                <w:color w:val="auto"/>
                <w:kern w:val="0"/>
                <w:sz w:val="24"/>
                <w:szCs w:val="24"/>
                <w:lang w:bidi="ar-SA"/>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jc w:val="center"/>
              <w:rPr>
                <w:rFonts w:ascii="Times New Roman" w:eastAsia="方正仿宋_GBK" w:cs="Times New Roman" w:hAnsi="Times New Roman"/>
                <w:kern w:val="2"/>
                <w:sz w:val="24"/>
                <w:szCs w:val="24"/>
                <w:lang w:val="en-US" w:eastAsia="zh-CN" w:bidi="ar-SA"/>
              </w:rPr>
            </w:pPr>
            <w:r>
              <w:rPr>
                <w:rFonts w:eastAsia="方正仿宋_GBK"/>
                <w:sz w:val="24"/>
                <w:szCs w:val="24"/>
                <w:lang w:val="en-US"/>
              </w:rPr>
              <w:t>0</w:t>
            </w:r>
          </w:p>
        </w:tc>
      </w:tr>
    </w:tbl>
    <w:p>
      <w:pPr>
        <w:pStyle w:val="28"/>
        <w:widowControl/>
        <w:shd w:val="clear" w:color="auto" w:fill="FFFFFF"/>
        <w:spacing w:beforeLines="50" w:before="218" w:beforeAutospacing="0" w:after="120" w:afterAutospacing="0"/>
        <w:ind w:firstLineChars="200" w:firstLine="640"/>
        <w:jc w:val="both"/>
        <w:rPr>
          <w:rFonts w:ascii="宋体" w:cs="宋体" w:hint="eastAsia"/>
          <w:color w:val="auto"/>
          <w:szCs w:val="24"/>
          <w:lang w:bidi="ar-SA"/>
        </w:rPr>
      </w:pPr>
      <w:r>
        <w:rPr>
          <w:rFonts w:ascii="方正黑体_GBK" w:eastAsia="方正黑体_GBK" w:cs="楷体_GB2312" w:hint="eastAsia"/>
          <w:bCs/>
          <w:color w:val="auto"/>
          <w:sz w:val="32"/>
          <w:szCs w:val="32"/>
          <w:shd w:val="clear" w:color="auto" w:fill="FFFFFF"/>
          <w:lang w:bidi="ar-SA"/>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4"/>
                <w:szCs w:val="24"/>
              </w:rPr>
            </w:pPr>
            <w:r>
              <w:rPr>
                <w:rFonts w:ascii="宋体" w:cs="宋体" w:hint="eastAsia"/>
                <w:color w:val="auto"/>
                <w:kern w:val="0"/>
                <w:sz w:val="24"/>
                <w:szCs w:val="24"/>
                <w:lang w:bidi="ar-SA"/>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8"/>
                <w:szCs w:val="28"/>
                <w:lang w:val="en-US"/>
              </w:rPr>
            </w:pPr>
            <w:r>
              <w:rPr>
                <w:color w:val="auto"/>
                <w:sz w:val="28"/>
                <w:szCs w:val="28"/>
                <w:lang w:val="en-US"/>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8"/>
                <w:szCs w:val="28"/>
                <w:lang w:val="en-US"/>
              </w:rPr>
            </w:pPr>
            <w:r>
              <w:rPr>
                <w:color w:val="auto"/>
                <w:sz w:val="28"/>
                <w:szCs w:val="28"/>
                <w:lang w:val="en-US"/>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8"/>
                <w:szCs w:val="28"/>
                <w:lang w:val="en-US"/>
              </w:rPr>
            </w:pPr>
            <w:r>
              <w:rPr>
                <w:color w:val="auto"/>
                <w:sz w:val="28"/>
                <w:szCs w:val="28"/>
                <w:lang w:val="en-US"/>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8"/>
                <w:szCs w:val="28"/>
                <w:lang w:val="en-US"/>
              </w:rPr>
            </w:pPr>
            <w:r>
              <w:rPr>
                <w:color w:val="auto"/>
                <w:sz w:val="28"/>
                <w:szCs w:val="28"/>
                <w:lang w:val="en-US"/>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8"/>
                <w:szCs w:val="28"/>
                <w:lang w:val="en-US"/>
              </w:rPr>
            </w:pPr>
            <w:r>
              <w:rPr>
                <w:color w:val="auto"/>
                <w:sz w:val="28"/>
                <w:szCs w:val="28"/>
                <w:lang w:val="en-US"/>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8"/>
                <w:szCs w:val="28"/>
                <w:lang w:val="en-US"/>
              </w:rPr>
            </w:pPr>
            <w:r>
              <w:rPr>
                <w:color w:val="auto"/>
                <w:sz w:val="28"/>
                <w:szCs w:val="28"/>
                <w:lang w:val="en-US"/>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8"/>
                <w:szCs w:val="28"/>
                <w:lang w:val="en-US"/>
              </w:rPr>
            </w:pPr>
            <w:r>
              <w:rPr>
                <w:color w:val="auto"/>
                <w:sz w:val="28"/>
                <w:szCs w:val="28"/>
                <w:lang w:val="en-US"/>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8"/>
                <w:szCs w:val="28"/>
                <w:lang w:val="en-US"/>
              </w:rPr>
            </w:pPr>
            <w:r>
              <w:rPr>
                <w:color w:val="auto"/>
                <w:sz w:val="28"/>
                <w:szCs w:val="28"/>
                <w:lang w:val="en-US"/>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8"/>
                <w:szCs w:val="28"/>
                <w:lang w:val="en-US"/>
              </w:rPr>
            </w:pPr>
            <w:r>
              <w:rPr>
                <w:color w:val="auto"/>
                <w:sz w:val="28"/>
                <w:szCs w:val="28"/>
                <w:lang w:val="en-US"/>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8"/>
                <w:szCs w:val="28"/>
                <w:lang w:val="en-US"/>
              </w:rPr>
            </w:pPr>
            <w:r>
              <w:rPr>
                <w:color w:val="auto"/>
                <w:sz w:val="28"/>
                <w:szCs w:val="28"/>
                <w:lang w:val="en-US"/>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8"/>
                <w:szCs w:val="28"/>
                <w:lang w:val="en-US"/>
              </w:rPr>
            </w:pPr>
            <w:r>
              <w:rPr>
                <w:color w:val="auto"/>
                <w:sz w:val="28"/>
                <w:szCs w:val="28"/>
                <w:lang w:val="en-US"/>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8"/>
                <w:szCs w:val="28"/>
                <w:lang w:val="en-US"/>
              </w:rPr>
            </w:pPr>
            <w:r>
              <w:rPr>
                <w:color w:val="auto"/>
                <w:sz w:val="28"/>
                <w:szCs w:val="28"/>
                <w:lang w:val="en-US"/>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color w:val="auto"/>
                <w:sz w:val="28"/>
                <w:szCs w:val="28"/>
                <w:lang w:val="en-US"/>
              </w:rPr>
            </w:pPr>
            <w:r>
              <w:rPr>
                <w:color w:val="auto"/>
                <w:sz w:val="28"/>
                <w:szCs w:val="28"/>
                <w:lang w:val="en-US"/>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kern w:val="0"/>
                <w:sz w:val="28"/>
                <w:szCs w:val="28"/>
                <w:lang w:val="en-US"/>
              </w:rPr>
            </w:pPr>
            <w:r>
              <w:rPr>
                <w:kern w:val="0"/>
                <w:sz w:val="28"/>
                <w:szCs w:val="28"/>
                <w:lang w:val="en-US"/>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
              <w:widowControl/>
              <w:jc w:val="center"/>
              <w:rPr>
                <w:kern w:val="0"/>
                <w:sz w:val="28"/>
                <w:szCs w:val="28"/>
                <w:lang w:val="en-US"/>
              </w:rPr>
            </w:pPr>
            <w:r>
              <w:rPr>
                <w:kern w:val="0"/>
                <w:sz w:val="28"/>
                <w:szCs w:val="28"/>
                <w:lang w:val="en-US"/>
              </w:rPr>
              <w:t>0</w:t>
            </w:r>
          </w:p>
        </w:tc>
      </w:tr>
    </w:tbl>
    <w:p>
      <w:pPr>
        <w:pStyle w:val="28"/>
        <w:widowControl/>
        <w:shd w:val="clear" w:color="auto" w:fill="FFFFFF"/>
        <w:spacing w:beforeLines="50" w:before="218" w:beforeAutospacing="0" w:afterAutospacing="0" w:line="560" w:lineRule="exact"/>
        <w:ind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五、存在的主要问题及改进情况</w:t>
      </w:r>
    </w:p>
    <w:p>
      <w:pPr>
        <w:pStyle w:val="47"/>
        <w:adjustRightInd w:val="0"/>
        <w:snapToGrid w:val="0"/>
        <w:ind w:firstLineChars="200" w:firstLine="624"/>
        <w:rPr>
          <w:rFonts w:ascii="方正楷体_GBK" w:eastAsia="方正楷体_GBK"/>
          <w:b/>
          <w:bCs/>
        </w:rPr>
      </w:pPr>
      <w:r>
        <w:rPr>
          <w:rFonts w:ascii="方正楷体_GBK" w:eastAsia="方正楷体_GBK" w:hint="eastAsia"/>
          <w:b/>
          <w:bCs/>
        </w:rPr>
        <w:t>（一）202</w:t>
      </w:r>
      <w:r>
        <w:rPr>
          <w:rFonts w:ascii="方正楷体_GBK" w:eastAsia="方正楷体_GBK"/>
          <w:b/>
          <w:bCs/>
        </w:rPr>
        <w:t>4</w:t>
      </w:r>
      <w:r>
        <w:rPr>
          <w:rFonts w:ascii="方正楷体_GBK" w:eastAsia="方正楷体_GBK" w:hint="eastAsia"/>
          <w:b/>
          <w:bCs/>
        </w:rPr>
        <w:t>年年报中所提问题整改情况。</w:t>
      </w:r>
    </w:p>
    <w:p>
      <w:pPr>
        <w:pStyle w:val="47"/>
        <w:adjustRightInd w:val="0"/>
        <w:snapToGrid w:val="0"/>
        <w:ind w:firstLineChars="200" w:firstLine="624"/>
        <w:rPr>
          <w:rFonts w:hint="eastAsia"/>
        </w:rPr>
      </w:pPr>
      <w:r>
        <w:rPr>
          <w:rFonts w:hint="eastAsia"/>
        </w:rPr>
        <w:t>大铲海关202</w:t>
      </w:r>
      <w:r>
        <w:rPr>
          <w:rFonts w:hint="eastAsia"/>
          <w:lang w:val="en-US" w:eastAsia="zh-CN"/>
        </w:rPr>
        <w:t>4</w:t>
      </w:r>
      <w:r>
        <w:rPr>
          <w:rFonts w:hint="eastAsia"/>
        </w:rPr>
        <w:t>年年报中提出以下问题：政府信息公开岗位人员专业水平有待加强，基层政务公开标准化规范化建设仍有提升空间。</w:t>
      </w:r>
    </w:p>
    <w:p>
      <w:pPr>
        <w:pStyle w:val="47"/>
        <w:adjustRightInd w:val="0"/>
        <w:snapToGrid w:val="0"/>
        <w:ind w:firstLineChars="200" w:firstLine="624"/>
        <w:rPr>
          <w:rFonts w:eastAsia="方正仿宋_GBK" w:hint="eastAsia"/>
          <w:lang w:eastAsia="zh-CN"/>
        </w:rPr>
      </w:pPr>
      <w:r>
        <w:rPr>
          <w:rFonts w:hint="eastAsia"/>
        </w:rPr>
        <w:t>上述问题在202</w:t>
      </w:r>
      <w:r>
        <w:rPr>
          <w:rFonts w:hint="eastAsia"/>
          <w:lang w:val="en-US" w:eastAsia="zh-CN"/>
        </w:rPr>
        <w:t>5</w:t>
      </w:r>
      <w:r>
        <w:rPr>
          <w:rFonts w:hint="eastAsia"/>
        </w:rPr>
        <w:t>年均已采取措施完成整改：</w:t>
      </w:r>
      <w:r>
        <w:rPr>
          <w:rFonts w:hint="eastAsia"/>
          <w:lang w:eastAsia="zh-CN"/>
        </w:rPr>
        <w:t>针对性</w:t>
      </w:r>
      <w:r>
        <w:rPr>
          <w:lang w:eastAsia="zh-CN"/>
        </w:rPr>
        <w:t>加强</w:t>
      </w:r>
      <w:r>
        <w:rPr>
          <w:rFonts w:hint="eastAsia"/>
          <w:lang w:eastAsia="zh-CN"/>
        </w:rPr>
        <w:t>对</w:t>
      </w:r>
      <w:r>
        <w:rPr>
          <w:rFonts w:hint="eastAsia"/>
        </w:rPr>
        <w:t>政府信息公开岗位人员</w:t>
      </w:r>
      <w:r>
        <w:rPr>
          <w:lang w:eastAsia="zh-CN"/>
        </w:rPr>
        <w:t>的</w:t>
      </w:r>
      <w:r>
        <w:rPr>
          <w:rFonts w:hint="eastAsia"/>
          <w:lang w:eastAsia="zh-CN"/>
        </w:rPr>
        <w:t>培训</w:t>
      </w:r>
      <w:r>
        <w:rPr>
          <w:lang w:eastAsia="zh-CN"/>
        </w:rPr>
        <w:t>力度</w:t>
      </w:r>
      <w:r>
        <w:rPr>
          <w:rFonts w:hint="eastAsia"/>
          <w:lang w:eastAsia="zh-CN"/>
        </w:rPr>
        <w:t>，及时学习</w:t>
      </w:r>
      <w:r>
        <w:rPr>
          <w:lang w:eastAsia="zh-CN"/>
        </w:rPr>
        <w:t>掌握</w:t>
      </w:r>
      <w:r>
        <w:rPr>
          <w:rFonts w:hint="eastAsia"/>
          <w:lang w:eastAsia="zh-CN"/>
        </w:rPr>
        <w:t>最新要求，提升人员专业度。优化</w:t>
      </w:r>
      <w:r>
        <w:rPr>
          <w:rStyle w:val="77Char"/>
          <w:rFonts w:hint="eastAsia"/>
          <w:snapToGrid/>
          <w:color w:val="auto"/>
          <w:spacing w:val="-6"/>
          <w:w w:val="100"/>
          <w:position w:val="0"/>
          <w:szCs w:val="20"/>
          <w:u w:val="none"/>
          <w:shd w:val="clear" w:color="auto" w:fill="auto"/>
          <w:vertAlign w:val="baseline"/>
          <w:lang w:val="en-US" w:eastAsia="zh-CN"/>
        </w:rPr>
        <w:t>办理流程，健全回应机制，构建</w:t>
      </w:r>
      <w:r>
        <w:rPr>
          <w:rStyle w:val="77Char"/>
          <w:snapToGrid/>
          <w:color w:val="auto"/>
          <w:spacing w:val="-6"/>
          <w:w w:val="100"/>
          <w:position w:val="0"/>
          <w:szCs w:val="20"/>
          <w:u w:val="none"/>
          <w:shd w:val="clear" w:color="auto" w:fill="auto"/>
          <w:vertAlign w:val="baseline"/>
          <w:lang w:val="en-US" w:eastAsia="zh-CN"/>
        </w:rPr>
        <w:t>规范、</w:t>
      </w:r>
      <w:r>
        <w:rPr>
          <w:rStyle w:val="77Char"/>
          <w:rFonts w:hint="eastAsia"/>
          <w:snapToGrid/>
          <w:color w:val="auto"/>
          <w:spacing w:val="-6"/>
          <w:w w:val="100"/>
          <w:position w:val="0"/>
          <w:szCs w:val="20"/>
          <w:u w:val="none"/>
          <w:shd w:val="clear" w:color="auto" w:fill="auto"/>
          <w:vertAlign w:val="baseline"/>
          <w:lang w:val="en-US" w:eastAsia="zh-CN"/>
        </w:rPr>
        <w:t>完整的</w:t>
      </w:r>
      <w:r>
        <w:rPr>
          <w:rFonts w:hint="eastAsia"/>
        </w:rPr>
        <w:t>政府信息公开</w:t>
      </w:r>
      <w:r>
        <w:rPr>
          <w:rStyle w:val="77Char"/>
          <w:rFonts w:hint="eastAsia"/>
          <w:snapToGrid/>
          <w:color w:val="auto"/>
          <w:spacing w:val="-6"/>
          <w:w w:val="100"/>
          <w:position w:val="0"/>
          <w:szCs w:val="20"/>
          <w:u w:val="none"/>
          <w:shd w:val="clear" w:color="auto" w:fill="auto"/>
          <w:vertAlign w:val="baseline"/>
          <w:lang w:val="en-US" w:eastAsia="zh-CN"/>
        </w:rPr>
        <w:t>工作体系。</w:t>
      </w:r>
    </w:p>
    <w:p>
      <w:pPr>
        <w:pStyle w:val="40"/>
        <w:adjustRightInd w:val="0"/>
        <w:snapToGrid w:val="0"/>
        <w:ind w:firstLineChars="200" w:firstLine="624"/>
        <w:rPr>
          <w:rFonts w:ascii="方正楷体_GBK" w:eastAsia="方正楷体_GBK"/>
          <w:b/>
          <w:bCs/>
        </w:rPr>
      </w:pPr>
      <w:r>
        <w:rPr>
          <w:rFonts w:ascii="方正楷体_GBK" w:eastAsia="方正楷体_GBK" w:hint="eastAsia"/>
          <w:b/>
          <w:bCs/>
        </w:rPr>
        <w:t>（二）目前存在问题。</w:t>
      </w:r>
    </w:p>
    <w:p>
      <w:pPr>
        <w:pStyle w:val="40"/>
        <w:adjustRightInd w:val="0"/>
        <w:snapToGrid w:val="0"/>
        <w:ind w:firstLineChars="200" w:firstLine="624"/>
      </w:pPr>
      <w:r>
        <w:rPr>
          <w:rFonts w:hint="eastAsia"/>
          <w:lang w:eastAsia="zh-CN"/>
        </w:rPr>
        <w:t>重点领域信息公开的深度和精细化程度需进一步提升</w:t>
      </w:r>
      <w:r>
        <w:t>。</w:t>
      </w:r>
    </w:p>
    <w:p>
      <w:pPr>
        <w:pStyle w:val="28"/>
        <w:widowControl/>
        <w:shd w:val="clear" w:color="auto" w:fill="FFFFFF"/>
        <w:spacing w:beforeAutospacing="0" w:afterAutospacing="0" w:line="560" w:lineRule="exact"/>
        <w:ind w:firstLineChars="200" w:firstLine="640"/>
        <w:jc w:val="both"/>
        <w:rPr>
          <w:rFonts w:ascii="方正黑体_GBK" w:eastAsia="方正黑体_GBK" w:cs="楷体_GB2312" w:hint="eastAsia"/>
          <w:bCs/>
          <w:color w:val="auto"/>
          <w:sz w:val="32"/>
          <w:szCs w:val="32"/>
          <w:shd w:val="clear" w:color="auto" w:fill="FFFFFF"/>
          <w:lang w:bidi="ar-SA"/>
        </w:rPr>
      </w:pPr>
      <w:r>
        <w:rPr>
          <w:rFonts w:ascii="方正黑体_GBK" w:eastAsia="方正黑体_GBK" w:cs="楷体_GB2312" w:hint="eastAsia"/>
          <w:bCs/>
          <w:color w:val="auto"/>
          <w:sz w:val="32"/>
          <w:szCs w:val="32"/>
          <w:shd w:val="clear" w:color="auto" w:fill="FFFFFF"/>
          <w:lang w:bidi="ar-SA"/>
        </w:rPr>
        <w:t>六、其他需要报告的事项</w:t>
      </w:r>
      <w:bookmarkEnd w:id="1"/>
    </w:p>
    <w:p>
      <w:pPr>
        <w:pStyle w:val="46"/>
        <w:adjustRightInd w:val="0"/>
        <w:snapToGrid w:val="0"/>
        <w:ind w:firstLineChars="200" w:firstLine="624"/>
      </w:pPr>
      <w:r>
        <w:rPr>
          <w:rFonts w:hint="eastAsia"/>
          <w:lang w:eastAsia="zh-CN"/>
        </w:rPr>
        <w:t>大铲海关严格按照《国务院办公厅关于印发〈政府信息公开信息处理费管理办法〉的通知》，规范政府信息公开信息处理费收取工作，202</w:t>
      </w:r>
      <w:r>
        <w:rPr>
          <w:rFonts w:hint="eastAsia"/>
          <w:lang w:val="en-US" w:eastAsia="zh-CN"/>
        </w:rPr>
        <w:t>5</w:t>
      </w:r>
      <w:r>
        <w:rPr>
          <w:rFonts w:hint="eastAsia"/>
          <w:lang w:eastAsia="zh-CN"/>
        </w:rPr>
        <w:t>年未收取政府信息公开信息处理费。</w:t>
      </w:r>
    </w:p>
    <w:p>
      <w:pPr>
        <w:pStyle w:val="23"/>
        <w:tabs>
          <w:tab w:val="center" w:pos="4153"/>
          <w:tab w:val="right" w:pos="8306"/>
        </w:tabs>
      </w:pPr>
    </w:p>
    <w:p>
      <w:pPr>
        <w:pStyle w:val="23"/>
        <w:tabs>
          <w:tab w:val="center" w:pos="4153"/>
          <w:tab w:val="right" w:pos="8306"/>
        </w:tabs>
      </w:pPr>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楷体_GB2312">
    <w:altName w:val="楷体"/>
    <w:panose1 w:val="00000000000000000000"/>
    <w:charset w:val="00"/>
    <w:family w:val="auto"/>
    <w:pitch w:val="variable"/>
    <w:sig w:usb0="00000000" w:usb1="00000000" w:usb2="00000000" w:usb3="00000000" w:csb0="00000000" w:csb1="00000000"/>
  </w:font>
  <w:font w:name="方正黑体_GBK">
    <w:panose1 w:val="02000000000000000000"/>
    <w:charset w:val="86"/>
    <w:family w:val="auto"/>
    <w:pitch w:val="variable"/>
    <w:sig w:usb0="A00002BF" w:usb1="38CF7CFA" w:usb2="00082016" w:usb3="00000000" w:csb0="00040001" w:csb1="00000000"/>
  </w:font>
  <w:font w:name="方正楷体_GBK">
    <w:panose1 w:val="02000000000000000000"/>
    <w:charset w:val="86"/>
    <w:family w:val="auto"/>
    <w:pitch w:val="variable"/>
    <w:sig w:usb0="A00002BF" w:usb1="38CF7CFA" w:usb2="00082016" w:usb3="00000000" w:csb0="00040001" w:csb1="00000000"/>
  </w:font>
  <w:font w:name="宋体">
    <w:panose1 w:val="02010600030101010101"/>
    <w:charset w:val="86"/>
    <w:family w:val="auto"/>
    <w:pitch w:val="variable"/>
    <w:sig w:usb0="00000003" w:usb1="080E0000" w:usb2="00000000" w:usb3="00000000" w:csb0="00040001" w:csb1="00000000"/>
  </w:font>
  <w:font w:name="方正仿宋_GBK">
    <w:panose1 w:val="02000000000000000000"/>
    <w:charset w:val="86"/>
    <w:family w:val="script"/>
    <w:pitch w:val="variable"/>
    <w:sig w:usb0="A00002BF" w:usb1="38CF7CFA" w:usb2="00082016" w:usb3="00000000" w:csb0="00040001" w:csb1="00000000"/>
  </w:font>
  <w:font w:name="楷体">
    <w:altName w:val="方正楷体_GBK"/>
    <w:panose1 w:val="02010609060101010101"/>
    <w:charset w:val="86"/>
    <w:family w:val="auto"/>
    <w:pitch w:val="variable"/>
    <w:sig w:usb0="00000000" w:usb1="00000000"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黑体">
    <w:altName w:val="方正黑体_GBK"/>
    <w:panose1 w:val="02010609060101010101"/>
    <w:charset w:val="86"/>
    <w:family w:val="auto"/>
    <w:pitch w:val="variable"/>
    <w:sig w:usb0="800002BF" w:usb1="38CF7CFA" w:usb2="00000016"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 w:name="Wingdings">
    <w:altName w:val="方正宋体S-超大字符集(SIP)"/>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3"/>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30"/>
      </w:rPr>
      <w:fldChar w:fldCharType="begin"/>
    </w:r>
    <w:r>
      <w:rPr>
        <w:rStyle w:val="30"/>
      </w:rPr>
      <w:instrText>Page</w:instrText>
    </w:r>
    <w:r>
      <w:rPr>
        <w:rStyle w:val="30"/>
      </w:rPr>
      <w:fldChar w:fldCharType="separate"/>
    </w:r>
    <w:r>
      <w:rPr>
        <w:rStyle w:val="30"/>
      </w:rPr>
      <w:t>- 1 -</w:t>
    </w:r>
    <w:r>
      <w:rPr>
        <w:rStyle w:val="30"/>
      </w:rPr>
      <w:fldChar w:fldCharType="end"/>
    </w:r>
  </w:p>
  <w:p>
    <w:pPr>
      <w:pStyle w:val="23"/>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3"/>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30"/>
      </w:rPr>
      <w:fldChar w:fldCharType="begin"/>
    </w:r>
    <w:r>
      <w:rPr>
        <w:rStyle w:val="30"/>
      </w:rPr>
      <w:instrText>Page</w:instrText>
    </w:r>
    <w:r>
      <w:rPr>
        <w:rStyle w:val="30"/>
      </w:rPr>
      <w:fldChar w:fldCharType="separate"/>
    </w:r>
    <w:r>
      <w:rPr>
        <w:rStyle w:val="30"/>
      </w:rPr>
      <w:t>- 2 -</w:t>
    </w:r>
    <w:r>
      <w:rPr>
        <w:rStyle w:val="30"/>
      </w:rPr>
      <w:fldChar w:fldCharType="end"/>
    </w:r>
  </w:p>
  <w:p>
    <w:pPr>
      <w:pStyle w:val="23"/>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3"/>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23"/>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9E384F6"/>
    <w:multiLevelType w:val="singleLevel"/>
    <w:tmpl w:val="B0803AE2"/>
    <w:lvl w:ilvl="0">
      <w:start w:val="1"/>
      <w:numFmt w:val="decimal"/>
      <w:lvlRestart w:val="0"/>
      <w:pStyle w:val="15"/>
      <w:lvlText w:val="%1."/>
      <w:lvlJc w:val="left"/>
      <w:pPr>
        <w:ind w:left="780" w:hanging="360"/>
      </w:pPr>
    </w:lvl>
  </w:abstractNum>
  <w:abstractNum w:abstractNumId="1">
    <w:nsid w:val="452648D4"/>
    <w:multiLevelType w:val="singleLevel"/>
    <w:tmpl w:val="0FFFFF88"/>
    <w:lvl w:ilvl="0">
      <w:start w:val="1"/>
      <w:numFmt w:val="decimal"/>
      <w:lvlRestart w:val="0"/>
      <w:pStyle w:val="17"/>
      <w:lvlText w:val="%1."/>
      <w:lvlJc w:val="left"/>
      <w:pPr>
        <w:ind w:left="360" w:hanging="360"/>
      </w:pPr>
    </w:lvl>
  </w:abstractNum>
  <w:abstractNum w:abstractNumId="2">
    <w:nsid w:val="5727FF50"/>
    <w:multiLevelType w:val="singleLevel"/>
    <w:tmpl w:val="0FFFFF89"/>
    <w:lvl w:ilvl="0">
      <w:start w:val="1"/>
      <w:numFmt w:val="bullet"/>
      <w:lvlRestart w:val="0"/>
      <w:pStyle w:val="19"/>
      <w:lvlText w:val=""/>
      <w:lvlJc w:val="left"/>
      <w:pPr>
        <w:ind w:left="3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bordersDoNotSurroundHeader w:val="0"/>
  <w:bordersDoNotSurroundFooter w:val="0"/>
  <w:trackRevisions/>
  <w:defaultTabStop w:val="420"/>
  <w:evenAndOddHeaders/>
  <w:drawingGridHorizontalSpacing w:val="160"/>
  <w:drawingGridVerticalSpacing w:val="435"/>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List Number 2"/>
    <w:basedOn w:val="0"/>
    <w:pPr>
      <w:numPr>
        <w:ilvl w:val="0"/>
        <w:numId w:val="1"/>
      </w:numPr>
    </w:pPr>
  </w:style>
  <w:style w:type="paragraph" w:styleId="16">
    <w:name w:val="index 8"/>
    <w:basedOn w:val="0"/>
    <w:next w:val="0"/>
    <w:pPr>
      <w:ind w:left="2940"/>
    </w:pPr>
  </w:style>
  <w:style w:type="paragraph" w:styleId="17">
    <w:name w:val="List Number"/>
    <w:basedOn w:val="0"/>
    <w:pPr>
      <w:numPr>
        <w:ilvl w:val="0"/>
        <w:numId w:val="2"/>
      </w:numPr>
    </w:pPr>
  </w:style>
  <w:style w:type="paragraph" w:styleId="18">
    <w:name w:val="index 5"/>
    <w:basedOn w:val="0"/>
    <w:next w:val="0"/>
    <w:pPr>
      <w:ind w:left="1680"/>
    </w:pPr>
    <w:rPr>
      <w:rFonts w:ascii="Times New Roman" w:eastAsia="宋体" w:cs="Times New Roman" w:hAnsi="Times New Roman"/>
      <w:lang w:val="en-US" w:eastAsia="zh-CN" w:bidi="ar-SA"/>
    </w:rPr>
  </w:style>
  <w:style w:type="paragraph" w:styleId="19">
    <w:name w:val="List Bullet"/>
    <w:basedOn w:val="0"/>
    <w:pPr>
      <w:numPr>
        <w:ilvl w:val="0"/>
        <w:numId w:val="3"/>
      </w:numPr>
    </w:pPr>
  </w:style>
  <w:style w:type="paragraph" w:styleId="20">
    <w:name w:val="annotation text"/>
    <w:basedOn w:val="0"/>
    <w:pPr>
      <w:jc w:val="left"/>
    </w:pPr>
  </w:style>
  <w:style w:type="paragraph" w:styleId="21">
    <w:name w:val="index 6"/>
    <w:basedOn w:val="0"/>
    <w:next w:val="0"/>
    <w:pPr>
      <w:ind w:left="2100"/>
    </w:pPr>
  </w:style>
  <w:style w:type="paragraph" w:styleId="22">
    <w:name w:val="toc 3"/>
    <w:basedOn w:val="0"/>
    <w:next w:val="0"/>
    <w:pPr>
      <w:ind w:left="840"/>
    </w:pPr>
  </w:style>
  <w:style w:type="paragraph" w:styleId="23">
    <w:name w:val="footer"/>
    <w:basedOn w:val="0"/>
    <w:pPr>
      <w:tabs>
        <w:tab w:val="center" w:pos="4153"/>
        <w:tab w:val="right" w:pos="8306"/>
      </w:tabs>
      <w:snapToGrid w:val="0"/>
      <w:jc w:val="left"/>
    </w:pPr>
    <w:rPr>
      <w:sz w:val="18"/>
      <w:szCs w:val="18"/>
    </w:rPr>
  </w:style>
  <w:style w:type="paragraph" w:styleId="24">
    <w:name w:val="header"/>
    <w:basedOn w:val="0"/>
    <w:pPr>
      <w:pBdr>
        <w:bottom w:val="single" w:sz="6" w:space="1" w:color="auto"/>
      </w:pBdr>
      <w:tabs>
        <w:tab w:val="center" w:pos="4153"/>
        <w:tab w:val="right" w:pos="8306"/>
      </w:tabs>
      <w:snapToGrid w:val="0"/>
      <w:jc w:val="center"/>
    </w:pPr>
    <w:rPr>
      <w:sz w:val="18"/>
      <w:szCs w:val="18"/>
    </w:rPr>
  </w:style>
  <w:style w:type="paragraph" w:styleId="25">
    <w:name w:val="toc 1"/>
    <w:basedOn w:val="0"/>
    <w:next w:val="0"/>
  </w:style>
  <w:style w:type="paragraph" w:styleId="26">
    <w:name w:val="index 7"/>
    <w:basedOn w:val="0"/>
    <w:next w:val="0"/>
    <w:pPr>
      <w:ind w:left="2520"/>
    </w:pPr>
  </w:style>
  <w:style w:type="paragraph" w:styleId="27">
    <w:name w:val="toc 2"/>
    <w:basedOn w:val="0"/>
    <w:next w:val="0"/>
    <w:pPr>
      <w:ind w:left="420"/>
    </w:pPr>
  </w:style>
  <w:style w:type="paragraph" w:styleId="28">
    <w:name w:val="Normal (Web)"/>
    <w:next w:val="23"/>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styleId="29">
    <w:name w:val="annotation subject"/>
    <w:basedOn w:val="20"/>
    <w:next w:val="20"/>
    <w:rPr>
      <w:b/>
    </w:rPr>
  </w:style>
  <w:style w:type="character" w:styleId="30">
    <w:name w:val="page number"/>
    <w:basedOn w:val="10"/>
  </w:style>
  <w:style w:type="paragraph" w:customStyle="1" w:styleId="31">
    <w:name w:val="样式 三号"/>
    <w:next w:val="32"/>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2">
    <w:name w:val="样式 三号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3">
    <w:name w:val="样式 1 三号"/>
    <w:next w:val="2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vertAlign w:val="baseline"/>
      <w:lang w:val="en-US" w:eastAsia="zh-CN" w:bidi="ar-SA"/>
    </w:rPr>
  </w:style>
  <w:style w:type="paragraph" w:customStyle="1" w:styleId="34">
    <w:name w:val="样式 小三"/>
    <w:next w:val="27"/>
    <w:pPr>
      <w:widowControl w:val="0"/>
      <w:jc w:val="both"/>
    </w:pPr>
    <w:rPr>
      <w:rFonts w:ascii="Times New Roman" w:eastAsia="宋体" w:cs="Times New Roman" w:hAnsi="Times New Roman"/>
      <w:kern w:val="2"/>
      <w:sz w:val="30"/>
      <w:szCs w:val="30"/>
      <w:lang w:val="en-US" w:eastAsia="zh-CN" w:bidi="ar-SA"/>
    </w:rPr>
  </w:style>
  <w:style w:type="paragraph" w:customStyle="1" w:styleId="35">
    <w:name w:val="样式 1 小四"/>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36">
    <w:name w:val="样式 6 小四"/>
    <w:next w:val="0"/>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7">
    <w:name w:val="样式 20 小四"/>
    <w:next w:val="18"/>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8">
    <w:name w:val="样式 12 三号"/>
    <w:next w:val="16"/>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9">
    <w:name w:val="样式 50 三号"/>
    <w:next w:val="2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0">
    <w:name w:val="样式 13 三号"/>
    <w:next w:val="26"/>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1">
    <w:name w:val="样式 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vertAlign w:val="baseline"/>
      <w:lang w:val="en-US" w:eastAsia="zh-CN" w:bidi="ar-SA"/>
    </w:rPr>
  </w:style>
  <w:style w:type="paragraph" w:customStyle="1" w:styleId="42">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3">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4">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5">
    <w:name w:val="样式 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vertAlign w:val="baseline"/>
      <w:lang w:val="en-US" w:eastAsia="zh-CN" w:bidi="ar-SA"/>
    </w:rPr>
  </w:style>
  <w:style w:type="paragraph" w:customStyle="1" w:styleId="46">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7">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8">
    <w:name w:val="样式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49">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50">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51">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52">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54">
    <w:name w:val="样式 2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55">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6">
    <w:name w:val="样式 3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57">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72">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74">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75">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76">
    <w:name w:val="样式 17 三号"/>
    <w:next w:val="19"/>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7">
    <w:name w:val="样式 18 三号"/>
    <w:next w:val="17"/>
    <w:link w:val="77Char"/>
    <w:pPr>
      <w:widowControl w:val="0"/>
      <w:jc w:val="both"/>
    </w:pPr>
    <w:rPr>
      <w:rFonts w:ascii="Times New Roman" w:eastAsia="方正仿宋_GBK" w:cs="Times New Roman" w:hAnsi="Times New Roman"/>
      <w:kern w:val="2"/>
      <w:sz w:val="32"/>
      <w:szCs w:val="22"/>
      <w:lang w:val="en-US" w:eastAsia="zh-CN" w:bidi="ar-SA"/>
    </w:rPr>
  </w:style>
  <w:style w:type="character" w:customStyle="1" w:styleId="77Char">
    <w:name w:val="样式 18 三号 Char"/>
    <w:basedOn w:val="10"/>
    <w:link w:val="77"/>
    <w:rPr>
      <w:rFonts w:ascii="Times New Roman" w:eastAsia="方正仿宋_GBK" w:cs="Times New Roman" w:hAnsi="Times New Roman"/>
      <w:kern w:val="2"/>
      <w:sz w:val="32"/>
      <w:szCs w:val="22"/>
      <w:lang w:val="en-US" w:eastAsia="zh-CN" w:bidi="ar-SA"/>
    </w:rPr>
  </w:style>
  <w:style w:type="paragraph" w:customStyle="1" w:styleId="78">
    <w:name w:val="样式 11 三号"/>
    <w:link w:val="78Char"/>
    <w:pPr>
      <w:widowControl w:val="0"/>
      <w:jc w:val="both"/>
    </w:pPr>
    <w:rPr>
      <w:rFonts w:ascii="Times New Roman" w:eastAsia="方正仿宋_GBK" w:cs="Times New Roman" w:hAnsi="Times New Roman"/>
      <w:kern w:val="2"/>
      <w:sz w:val="32"/>
      <w:szCs w:val="22"/>
      <w:lang w:val="en-US" w:eastAsia="zh-CN" w:bidi="ar-SA"/>
    </w:rPr>
  </w:style>
  <w:style w:type="character" w:customStyle="1" w:styleId="78Char">
    <w:name w:val="样式 11 三号 Char"/>
    <w:basedOn w:val="10"/>
    <w:link w:val="78"/>
    <w:rPr>
      <w:rFonts w:ascii="Times New Roman" w:eastAsia="方正仿宋_GBK" w:cs="Times New Roman" w:hAnsi="Times New Roman"/>
      <w:kern w:val="2"/>
      <w:sz w:val="32"/>
      <w:szCs w:val="22"/>
      <w:lang w:val="en-US" w:eastAsia="zh-CN" w:bidi="ar-SA"/>
    </w:rPr>
  </w:style>
  <w:style w:type="paragraph" w:customStyle="1" w:styleId="79">
    <w:name w:val="样式 4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80">
    <w:name w:val="样式 17 小四"/>
    <w:next w:val="22"/>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197</TotalTime>
  <Application>Yozo_Office</Application>
  <Pages>7</Pages>
  <Words>2333</Words>
  <Characters>2419</Characters>
  <Lines>432</Lines>
  <Paragraphs>313</Paragraphs>
  <CharactersWithSpaces>2420</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58</cp:revision>
  <cp:lastPrinted>2020-01-23T00:43:00Z</cp:lastPrinted>
  <dcterms:created xsi:type="dcterms:W3CDTF">2008-05-10T07:46:00Z</dcterms:created>
  <dcterms:modified xsi:type="dcterms:W3CDTF">2026-01-26T01:07:02Z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2052-11.1.0.11719</vt:lpwstr>
  </property>
</Properties>
</file>