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3"/>
        <w:spacing w:line="580" w:lineRule="exact"/>
        <w:jc w:val="center"/>
        <w:rPr>
          <w:rFonts w:ascii="方正小标宋_GBK" w:eastAsia="方正小标宋_GBK" w:cs="方正小标宋_GBK"/>
          <w:sz w:val="44"/>
          <w:szCs w:val="44"/>
        </w:rPr>
      </w:pPr>
      <w:bookmarkStart w:id="0" w:name="_Hlk25540369"/>
      <w:bookmarkStart w:id="1" w:name="cogw__正文__file"/>
      <w:r>
        <w:rPr>
          <w:rFonts w:ascii="方正小标宋_GBK" w:eastAsia="方正小标宋_GBK" w:cs="方正小标宋_GBK"/>
          <w:sz w:val="44"/>
          <w:szCs w:val="44"/>
        </w:rPr>
        <w:t>从化</w:t>
      </w:r>
      <w:r>
        <w:rPr>
          <w:rFonts w:ascii="方正小标宋_GBK" w:eastAsia="方正小标宋_GBK" w:cs="方正小标宋_GBK" w:hint="eastAsia"/>
          <w:sz w:val="44"/>
          <w:szCs w:val="44"/>
        </w:rPr>
        <w:t>海关202</w:t>
      </w:r>
      <w:r>
        <w:rPr>
          <w:rFonts w:ascii="方正小标宋_GBK" w:eastAsia="方正小标宋_GBK" w:cs="方正小标宋_GBK"/>
          <w:sz w:val="44"/>
          <w:szCs w:val="44"/>
        </w:rPr>
        <w:t>5</w:t>
      </w:r>
      <w:r>
        <w:rPr>
          <w:rFonts w:ascii="方正小标宋_GBK" w:eastAsia="方正小标宋_GBK" w:cs="方正小标宋_GBK" w:hint="eastAsia"/>
          <w:sz w:val="44"/>
          <w:szCs w:val="44"/>
        </w:rPr>
        <w:t>年政府信息公开工作年度报告</w:t>
      </w:r>
      <w:bookmarkEnd w:id="0"/>
    </w:p>
    <w:p>
      <w:pPr>
        <w:pStyle w:val="19"/>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pPr>
        <w:pStyle w:val="32"/>
        <w:widowControl/>
        <w:spacing w:line="560" w:lineRule="exact"/>
        <w:ind w:firstLineChars="200" w:firstLine="640"/>
        <w:rPr>
          <w:shd w:val="clear" w:color="auto" w:fill="FFFFFF"/>
        </w:rPr>
      </w:pPr>
      <w:r>
        <w:rPr>
          <w:rFonts w:hint="eastAsia"/>
          <w:shd w:val="clear" w:color="auto" w:fill="FFFFFF"/>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w:t>
      </w:r>
      <w:r>
        <w:rPr>
          <w:shd w:val="clear" w:color="auto" w:fill="FFFFFF"/>
        </w:rPr>
        <w:t>特</w:t>
      </w:r>
      <w:r>
        <w:rPr>
          <w:rFonts w:hint="eastAsia"/>
          <w:shd w:val="clear" w:color="auto" w:fill="FFFFFF"/>
        </w:rPr>
        <w:t>编制从化海关202</w:t>
      </w:r>
      <w:r>
        <w:rPr>
          <w:shd w:val="clear" w:color="auto" w:fill="FFFFFF"/>
        </w:rPr>
        <w:t>5</w:t>
      </w:r>
      <w:r>
        <w:rPr>
          <w:rFonts w:hint="eastAsia"/>
          <w:shd w:val="clear" w:color="auto" w:fill="FFFFFF"/>
        </w:rPr>
        <w:t>年政府信息公开工作</w:t>
      </w:r>
      <w:r>
        <w:rPr>
          <w:shd w:val="clear" w:color="auto" w:fill="FFFFFF"/>
        </w:rPr>
        <w:t>年度报告</w:t>
      </w:r>
      <w:r>
        <w:rPr>
          <w:rFonts w:hint="eastAsia"/>
          <w:shd w:val="clear" w:color="auto" w:fill="FFFFFF"/>
        </w:rPr>
        <w:t>。</w:t>
      </w:r>
      <w:r>
        <w:rPr>
          <w:shd w:val="clear" w:color="auto" w:fill="FFFFFF"/>
        </w:rPr>
        <w:t>报告中</w:t>
      </w:r>
      <w:r>
        <w:rPr>
          <w:rFonts w:hint="eastAsia"/>
          <w:shd w:val="clear" w:color="auto" w:fill="FFFFFF"/>
        </w:rPr>
        <w:t>所列数据的统计期限，自202</w:t>
      </w:r>
      <w:r>
        <w:rPr>
          <w:shd w:val="clear" w:color="auto" w:fill="FFFFFF"/>
        </w:rPr>
        <w:t>5</w:t>
      </w:r>
      <w:r>
        <w:rPr>
          <w:rFonts w:hint="eastAsia"/>
          <w:shd w:val="clear" w:color="auto" w:fill="FFFFFF"/>
        </w:rPr>
        <w:t>年1月1日起至202</w:t>
      </w:r>
      <w:r>
        <w:rPr>
          <w:shd w:val="clear" w:color="auto" w:fill="FFFFFF"/>
        </w:rPr>
        <w:t>5</w:t>
      </w:r>
      <w:r>
        <w:rPr>
          <w:rFonts w:hint="eastAsia"/>
          <w:shd w:val="clear" w:color="auto" w:fill="FFFFFF"/>
        </w:rPr>
        <w:t>年12月31日止。如对本</w:t>
      </w:r>
      <w:r>
        <w:rPr>
          <w:shd w:val="clear" w:color="auto" w:fill="FFFFFF"/>
        </w:rPr>
        <w:t>报告</w:t>
      </w:r>
      <w:r>
        <w:rPr>
          <w:rFonts w:hint="eastAsia"/>
          <w:shd w:val="clear" w:color="auto" w:fill="FFFFFF"/>
        </w:rPr>
        <w:t>有疑问或有任何意见、建议，请联系从化海关办公室。地址：广东省广州市从化区街口街关前路1幢，邮编：510900；电话：020-87960035；电子邮箱：conghuahaiguan@customs.gov.cn。</w:t>
      </w:r>
    </w:p>
    <w:p>
      <w:pPr>
        <w:pStyle w:val="19"/>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pPr>
        <w:pStyle w:val="33"/>
        <w:adjustRightInd w:val="0"/>
        <w:snapToGrid w:val="0"/>
        <w:spacing w:line="560" w:lineRule="exact"/>
        <w:ind w:firstLineChars="200" w:firstLine="640"/>
        <w:rPr>
          <w:rFonts w:cs="方正仿宋_GBK"/>
          <w:shd w:val="clear" w:color="auto" w:fill="FFFFFF"/>
        </w:rPr>
      </w:pPr>
      <w:r>
        <w:rPr>
          <w:rFonts w:cs="方正仿宋_GBK" w:hint="eastAsia"/>
          <w:shd w:val="clear" w:color="auto" w:fill="FFFFFF"/>
        </w:rPr>
        <w:t>202</w:t>
      </w:r>
      <w:r>
        <w:rPr>
          <w:rFonts w:cs="方正仿宋_GBK"/>
          <w:shd w:val="clear" w:color="auto" w:fill="FFFFFF"/>
        </w:rPr>
        <w:t>5</w:t>
      </w:r>
      <w:r>
        <w:rPr>
          <w:rFonts w:cs="方正仿宋_GBK" w:hint="eastAsia"/>
          <w:shd w:val="clear" w:color="auto" w:fill="FFFFFF"/>
        </w:rPr>
        <w:t>年，从化海关坚持以习近平新时代中国特色社会主义思想为指导，全面贯彻落实党的</w:t>
      </w:r>
      <w:r>
        <w:rPr>
          <w:rFonts w:cs="方正仿宋_GBK"/>
          <w:shd w:val="clear" w:color="auto" w:fill="FFFFFF"/>
        </w:rPr>
        <w:t>二十大和</w:t>
      </w:r>
      <w:r>
        <w:rPr>
          <w:rFonts w:cs="方正仿宋_GBK" w:hint="eastAsia"/>
          <w:shd w:val="clear" w:color="auto" w:fill="FFFFFF"/>
        </w:rPr>
        <w:t>二十届</w:t>
      </w:r>
      <w:r>
        <w:rPr>
          <w:rFonts w:cs="方正仿宋_GBK"/>
          <w:shd w:val="clear" w:color="auto" w:fill="FFFFFF"/>
        </w:rPr>
        <w:t>历次</w:t>
      </w:r>
      <w:r>
        <w:rPr>
          <w:rFonts w:cs="方正仿宋_GBK" w:hint="eastAsia"/>
          <w:shd w:val="clear" w:color="auto" w:fill="FFFFFF"/>
        </w:rPr>
        <w:t>全会精神，深入学习贯彻习近平总书记</w:t>
      </w:r>
      <w:r>
        <w:rPr>
          <w:rFonts w:cs="方正仿宋_GBK"/>
          <w:shd w:val="clear" w:color="auto" w:fill="FFFFFF"/>
        </w:rPr>
        <w:t>重要指示批示和</w:t>
      </w:r>
      <w:r>
        <w:rPr>
          <w:rFonts w:cs="方正仿宋_GBK" w:hint="eastAsia"/>
          <w:shd w:val="clear" w:color="auto" w:fill="FFFFFF"/>
        </w:rPr>
        <w:t>给红其拉甫海关全体关员重要回信精神，认真落实</w:t>
      </w:r>
      <w:r>
        <w:rPr>
          <w:rFonts w:cs="方正仿宋_GBK"/>
          <w:shd w:val="clear" w:color="auto" w:fill="FFFFFF"/>
        </w:rPr>
        <w:t>党中央、国务院关于新时代政务公开工作的部署，聚焦服务高质量发展首要任务，</w:t>
      </w:r>
      <w:r>
        <w:rPr>
          <w:rFonts w:cs="方正仿宋_GBK" w:hint="eastAsia"/>
          <w:shd w:val="clear" w:color="auto" w:fill="FFFFFF"/>
        </w:rPr>
        <w:t>持续</w:t>
      </w:r>
      <w:r>
        <w:rPr>
          <w:rFonts w:cs="方正仿宋_GBK"/>
          <w:shd w:val="clear" w:color="auto" w:fill="FFFFFF"/>
        </w:rPr>
        <w:t>深化政府信息公开标准化、规范化、数字化建设，不断增强公开实效，提升政务服务能力，为推动辖区外贸促稳提质和优化营商环境提供了有力支撑。现将工作情况报告如下：</w:t>
      </w:r>
    </w:p>
    <w:p>
      <w:pPr>
        <w:pStyle w:val="34"/>
        <w:autoSpaceDN w:val="0"/>
        <w:spacing w:line="560" w:lineRule="exact"/>
        <w:ind w:left="630"/>
        <w:rPr>
          <w:rFonts w:eastAsia="方正楷体_GBK"/>
          <w:b/>
          <w:bCs/>
          <w:szCs w:val="32"/>
        </w:rPr>
      </w:pPr>
      <w:r>
        <w:rPr>
          <w:rFonts w:eastAsia="方正楷体_GBK"/>
          <w:b/>
          <w:bCs/>
          <w:szCs w:val="32"/>
        </w:rPr>
        <w:t>（一）</w:t>
      </w:r>
      <w:r>
        <w:rPr>
          <w:rFonts w:eastAsia="方正楷体_GBK" w:hint="eastAsia"/>
          <w:b/>
          <w:bCs/>
          <w:szCs w:val="32"/>
        </w:rPr>
        <w:t>主动公开</w:t>
      </w:r>
      <w:r>
        <w:rPr>
          <w:rFonts w:eastAsia="方正楷体_GBK"/>
          <w:b/>
          <w:bCs/>
          <w:szCs w:val="32"/>
        </w:rPr>
        <w:t>方面。</w:t>
      </w:r>
    </w:p>
    <w:p>
      <w:pPr>
        <w:pStyle w:val="34"/>
        <w:autoSpaceDN w:val="0"/>
        <w:spacing w:line="560" w:lineRule="exact"/>
        <w:ind w:firstLine="629"/>
        <w:rPr>
          <w:szCs w:val="32"/>
        </w:rPr>
      </w:pPr>
      <w:r>
        <w:rPr>
          <w:rFonts w:hint="eastAsia"/>
          <w:szCs w:val="32"/>
        </w:rPr>
        <w:t>结合工作实际，不断</w:t>
      </w:r>
      <w:r>
        <w:rPr>
          <w:szCs w:val="32"/>
        </w:rPr>
        <w:t>细化公开内容，优化公开方式，年内通过</w:t>
      </w:r>
      <w:r>
        <w:rPr>
          <w:rFonts w:hint="eastAsia"/>
          <w:szCs w:val="32"/>
        </w:rPr>
        <w:t>广州海关门户网站主动公开政府信息</w:t>
      </w:r>
      <w:r>
        <w:rPr>
          <w:szCs w:val="32"/>
        </w:rPr>
        <w:t>37条</w:t>
      </w:r>
      <w:r>
        <w:rPr>
          <w:rFonts w:hint="eastAsia"/>
          <w:szCs w:val="32"/>
        </w:rPr>
        <w:t>，包括行政许可、</w:t>
      </w:r>
      <w:r>
        <w:rPr>
          <w:szCs w:val="32"/>
        </w:rPr>
        <w:t>行政处罚、</w:t>
      </w:r>
      <w:r>
        <w:rPr>
          <w:rFonts w:hint="eastAsia"/>
          <w:szCs w:val="32"/>
        </w:rPr>
        <w:t>财务预决算、监管作业场所（场地）巡查</w:t>
      </w:r>
      <w:r>
        <w:rPr>
          <w:szCs w:val="32"/>
        </w:rPr>
        <w:t>、</w:t>
      </w:r>
      <w:r>
        <w:rPr>
          <w:rFonts w:hint="eastAsia"/>
          <w:szCs w:val="32"/>
        </w:rPr>
        <w:t>“</w:t>
      </w:r>
      <w:r>
        <w:rPr>
          <w:szCs w:val="32"/>
        </w:rPr>
        <w:t>关长接待日</w:t>
      </w:r>
      <w:r>
        <w:rPr>
          <w:rFonts w:hint="eastAsia"/>
          <w:szCs w:val="32"/>
        </w:rPr>
        <w:t>”</w:t>
      </w:r>
      <w:r>
        <w:rPr>
          <w:szCs w:val="32"/>
        </w:rPr>
        <w:t>通知</w:t>
      </w:r>
      <w:r>
        <w:rPr>
          <w:rFonts w:hint="eastAsia"/>
          <w:szCs w:val="32"/>
        </w:rPr>
        <w:t>等。</w:t>
      </w:r>
    </w:p>
    <w:p>
      <w:pPr>
        <w:pStyle w:val="34"/>
        <w:autoSpaceDN w:val="0"/>
        <w:spacing w:line="560" w:lineRule="exact"/>
        <w:ind w:left="630"/>
        <w:rPr>
          <w:rFonts w:eastAsia="方正楷体_GBK"/>
          <w:b/>
          <w:bCs/>
          <w:szCs w:val="32"/>
        </w:rPr>
      </w:pPr>
      <w:r>
        <w:rPr>
          <w:rFonts w:eastAsia="方正楷体_GBK"/>
          <w:b/>
          <w:bCs/>
          <w:szCs w:val="32"/>
        </w:rPr>
        <w:t>（二）</w:t>
      </w:r>
      <w:r>
        <w:rPr>
          <w:rFonts w:eastAsia="方正楷体_GBK" w:hint="eastAsia"/>
          <w:b/>
          <w:bCs/>
          <w:szCs w:val="32"/>
        </w:rPr>
        <w:t>依申请公开</w:t>
      </w:r>
      <w:r>
        <w:rPr>
          <w:rFonts w:eastAsia="方正楷体_GBK"/>
          <w:b/>
          <w:bCs/>
          <w:szCs w:val="32"/>
        </w:rPr>
        <w:t>方面。</w:t>
      </w:r>
    </w:p>
    <w:p>
      <w:pPr>
        <w:pStyle w:val="25"/>
        <w:widowControl/>
        <w:shd w:val="clear" w:color="auto" w:fill="FFFFFF"/>
        <w:autoSpaceDN w:val="0"/>
        <w:spacing w:line="560" w:lineRule="exact"/>
        <w:ind w:firstLineChars="200" w:firstLine="640"/>
        <w:jc w:val="both"/>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按照政府信息公开申请办理答复</w:t>
      </w:r>
      <w:r>
        <w:rPr>
          <w:rFonts w:ascii="Times New Roman" w:eastAsia="方正仿宋_GBK" w:hAnsi="Times New Roman" w:hint="eastAsia"/>
          <w:sz w:val="32"/>
          <w:szCs w:val="32"/>
          <w:shd w:val="clear" w:color="auto" w:fill="FFFFFF"/>
        </w:rPr>
        <w:t>规范要求</w:t>
      </w:r>
      <w:r>
        <w:rPr>
          <w:rFonts w:ascii="Times New Roman" w:eastAsia="方正仿宋_GBK" w:hAnsi="Times New Roman"/>
          <w:sz w:val="32"/>
          <w:szCs w:val="32"/>
          <w:shd w:val="clear" w:color="auto" w:fill="FFFFFF"/>
        </w:rPr>
        <w:t>，畅通受理渠道，健全完善工作规范，</w:t>
      </w:r>
      <w:r>
        <w:rPr>
          <w:rFonts w:ascii="Times New Roman" w:eastAsia="方正仿宋_GBK" w:hAnsi="Times New Roman" w:hint="eastAsia"/>
          <w:sz w:val="32"/>
          <w:szCs w:val="32"/>
          <w:shd w:val="clear" w:color="auto" w:fill="FFFFFF"/>
        </w:rPr>
        <w:t>定期查看</w:t>
      </w:r>
      <w:r>
        <w:rPr>
          <w:rFonts w:ascii="Times New Roman" w:eastAsia="方正仿宋_GBK" w:hAnsi="Times New Roman"/>
          <w:sz w:val="32"/>
          <w:szCs w:val="32"/>
          <w:shd w:val="clear" w:color="auto" w:fill="FFFFFF"/>
        </w:rPr>
        <w:t>各受理</w:t>
      </w:r>
      <w:r>
        <w:rPr>
          <w:rFonts w:ascii="Times New Roman" w:eastAsia="方正仿宋_GBK" w:hAnsi="Times New Roman" w:hint="eastAsia"/>
          <w:sz w:val="32"/>
          <w:szCs w:val="32"/>
          <w:shd w:val="clear" w:color="auto" w:fill="FFFFFF"/>
        </w:rPr>
        <w:t>渠道政府信息公开申请</w:t>
      </w:r>
      <w:r>
        <w:rPr>
          <w:rFonts w:ascii="Times New Roman" w:eastAsia="方正仿宋_GBK" w:hAnsi="Times New Roman"/>
          <w:sz w:val="32"/>
          <w:szCs w:val="32"/>
          <w:shd w:val="clear" w:color="auto" w:fill="FFFFFF"/>
        </w:rPr>
        <w:t>情况</w:t>
      </w:r>
      <w:r>
        <w:rPr>
          <w:rFonts w:ascii="Times New Roman" w:eastAsia="方正仿宋_GBK" w:hAnsi="Times New Roman" w:hint="eastAsia"/>
          <w:sz w:val="32"/>
          <w:szCs w:val="32"/>
          <w:shd w:val="clear" w:color="auto" w:fill="FFFFFF"/>
        </w:rPr>
        <w:t>。202</w:t>
      </w:r>
      <w:r>
        <w:rPr>
          <w:rFonts w:ascii="Times New Roman" w:eastAsia="方正仿宋_GBK" w:hAnsi="Times New Roman"/>
          <w:sz w:val="32"/>
          <w:szCs w:val="32"/>
          <w:shd w:val="clear" w:color="auto" w:fill="FFFFFF"/>
        </w:rPr>
        <w:t>5</w:t>
      </w:r>
      <w:r>
        <w:rPr>
          <w:rFonts w:ascii="Times New Roman" w:eastAsia="方正仿宋_GBK" w:hAnsi="Times New Roman" w:hint="eastAsia"/>
          <w:sz w:val="32"/>
          <w:szCs w:val="32"/>
          <w:shd w:val="clear" w:color="auto" w:fill="FFFFFF"/>
        </w:rPr>
        <w:t>年</w:t>
      </w:r>
      <w:r>
        <w:rPr>
          <w:rFonts w:ascii="Times New Roman" w:eastAsia="方正仿宋_GBK" w:hAnsi="Times New Roman" w:hint="eastAsia"/>
          <w:sz w:val="32"/>
          <w:szCs w:val="32"/>
        </w:rPr>
        <w:t>未收到政府信息公开申请，未</w:t>
      </w:r>
      <w:r>
        <w:rPr>
          <w:rFonts w:ascii="Times New Roman" w:eastAsia="方正仿宋_GBK" w:hAnsi="Times New Roman"/>
          <w:sz w:val="32"/>
          <w:szCs w:val="32"/>
        </w:rPr>
        <w:t>发生</w:t>
      </w:r>
      <w:r>
        <w:rPr>
          <w:rFonts w:ascii="Times New Roman" w:eastAsia="方正仿宋_GBK" w:hAnsi="Times New Roman" w:hint="eastAsia"/>
          <w:sz w:val="32"/>
          <w:szCs w:val="32"/>
        </w:rPr>
        <w:t>因政府信息公开申请引发的行政复议</w:t>
      </w:r>
      <w:r>
        <w:rPr>
          <w:rFonts w:ascii="Times New Roman" w:eastAsia="方正仿宋_GBK" w:hAnsi="Times New Roman"/>
          <w:sz w:val="32"/>
          <w:szCs w:val="32"/>
        </w:rPr>
        <w:t>、</w:t>
      </w:r>
      <w:r>
        <w:rPr>
          <w:rFonts w:ascii="Times New Roman" w:eastAsia="方正仿宋_GBK" w:hAnsi="Times New Roman" w:hint="eastAsia"/>
          <w:sz w:val="32"/>
          <w:szCs w:val="32"/>
        </w:rPr>
        <w:t>诉讼</w:t>
      </w:r>
      <w:r>
        <w:rPr>
          <w:rFonts w:ascii="Times New Roman" w:eastAsia="方正仿宋_GBK" w:hAnsi="Times New Roman"/>
          <w:sz w:val="32"/>
          <w:szCs w:val="32"/>
        </w:rPr>
        <w:t>。</w:t>
      </w:r>
    </w:p>
    <w:p>
      <w:pPr>
        <w:pStyle w:val="34"/>
        <w:spacing w:line="560" w:lineRule="exact"/>
        <w:ind w:firstLineChars="200" w:firstLine="640"/>
        <w:rPr>
          <w:rFonts w:ascii="方正楷体_GBK" w:eastAsia="方正楷体_GBK" w:cs="方正仿宋_GBK"/>
          <w:b/>
          <w:szCs w:val="20"/>
        </w:rPr>
      </w:pPr>
      <w:r>
        <w:rPr>
          <w:rFonts w:ascii="方正楷体_GBK" w:eastAsia="方正楷体_GBK" w:cs="方正仿宋_GBK" w:hint="eastAsia"/>
          <w:b/>
          <w:szCs w:val="20"/>
        </w:rPr>
        <w:t>（三）政府信息管理</w:t>
      </w:r>
      <w:r>
        <w:rPr>
          <w:rFonts w:ascii="方正楷体_GBK" w:eastAsia="方正楷体_GBK" w:cs="方正仿宋_GBK"/>
          <w:b/>
          <w:szCs w:val="20"/>
        </w:rPr>
        <w:t>方面</w:t>
      </w:r>
      <w:r>
        <w:rPr>
          <w:rFonts w:ascii="方正楷体_GBK" w:eastAsia="方正楷体_GBK" w:cs="方正仿宋_GBK" w:hint="eastAsia"/>
          <w:b/>
          <w:szCs w:val="20"/>
        </w:rPr>
        <w:t>。</w:t>
      </w:r>
    </w:p>
    <w:p>
      <w:pPr>
        <w:pStyle w:val="35"/>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bCs/>
          <w:sz w:val="32"/>
          <w:szCs w:val="32"/>
        </w:rPr>
        <w:t>严格遵照《中华人民共和国政府信息公开条例》有关规定，</w:t>
      </w:r>
      <w:r>
        <w:rPr>
          <w:rFonts w:ascii="Times New Roman" w:eastAsia="方正仿宋_GBK" w:hAnsi="Times New Roman" w:hint="eastAsia"/>
          <w:sz w:val="32"/>
          <w:szCs w:val="32"/>
        </w:rPr>
        <w:t>压紧压实政府信息公开主管部门责任，</w:t>
      </w:r>
      <w:r>
        <w:rPr>
          <w:rFonts w:ascii="Times New Roman" w:eastAsia="方正仿宋_GBK" w:hAnsi="Times New Roman"/>
          <w:bCs/>
          <w:sz w:val="32"/>
          <w:szCs w:val="32"/>
        </w:rPr>
        <w:t>建立健全政府信息公开发布审查机制，明确</w:t>
      </w:r>
      <w:r>
        <w:rPr>
          <w:rFonts w:ascii="Times New Roman" w:eastAsia="方正仿宋_GBK" w:hAnsi="Times New Roman" w:hint="eastAsia"/>
          <w:bCs/>
          <w:sz w:val="32"/>
          <w:szCs w:val="32"/>
        </w:rPr>
        <w:t>“三审</w:t>
      </w:r>
      <w:r>
        <w:rPr>
          <w:rFonts w:ascii="Times New Roman" w:eastAsia="方正仿宋_GBK" w:hAnsi="Times New Roman"/>
          <w:bCs/>
          <w:sz w:val="32"/>
          <w:szCs w:val="32"/>
        </w:rPr>
        <w:t>三校</w:t>
      </w:r>
      <w:r>
        <w:rPr>
          <w:rFonts w:ascii="Times New Roman" w:eastAsia="方正仿宋_GBK" w:hAnsi="Times New Roman" w:hint="eastAsia"/>
          <w:bCs/>
          <w:sz w:val="32"/>
          <w:szCs w:val="32"/>
        </w:rPr>
        <w:t>”</w:t>
      </w:r>
      <w:r>
        <w:rPr>
          <w:rFonts w:ascii="Times New Roman" w:eastAsia="方正仿宋_GBK" w:hAnsi="Times New Roman"/>
          <w:bCs/>
          <w:sz w:val="32"/>
          <w:szCs w:val="32"/>
        </w:rPr>
        <w:t>工作</w:t>
      </w:r>
      <w:r>
        <w:rPr>
          <w:rFonts w:ascii="Times New Roman" w:eastAsia="方正仿宋_GBK" w:hAnsi="Times New Roman" w:hint="eastAsia"/>
          <w:sz w:val="32"/>
          <w:szCs w:val="32"/>
        </w:rPr>
        <w:t>流</w:t>
      </w:r>
      <w:r>
        <w:rPr>
          <w:rFonts w:ascii="Times New Roman" w:eastAsia="方正仿宋_GBK" w:hAnsi="Times New Roman" w:hint="eastAsia"/>
          <w:bCs/>
          <w:sz w:val="32"/>
          <w:szCs w:val="32"/>
        </w:rPr>
        <w:t>程，</w:t>
      </w:r>
      <w:r>
        <w:rPr>
          <w:rFonts w:ascii="Times New Roman" w:eastAsia="方正仿宋_GBK" w:hAnsi="Times New Roman"/>
          <w:sz w:val="32"/>
          <w:szCs w:val="32"/>
        </w:rPr>
        <w:t>做好相关审查资料存档和管理，</w:t>
      </w:r>
      <w:r>
        <w:rPr>
          <w:rFonts w:ascii="Times New Roman" w:eastAsia="方正仿宋_GBK" w:hAnsi="Times New Roman" w:hint="eastAsia"/>
          <w:bCs/>
          <w:sz w:val="32"/>
          <w:szCs w:val="32"/>
        </w:rPr>
        <w:t>加强政府信息动态监测，</w:t>
      </w:r>
      <w:r>
        <w:rPr>
          <w:rFonts w:ascii="Times New Roman" w:eastAsia="方正仿宋_GBK" w:hAnsi="Times New Roman"/>
          <w:sz w:val="32"/>
          <w:szCs w:val="32"/>
        </w:rPr>
        <w:t>务求信息发布精准、权威</w:t>
      </w:r>
      <w:r>
        <w:rPr>
          <w:rFonts w:ascii="Times New Roman" w:eastAsia="方正仿宋_GBK" w:hAnsi="Times New Roman" w:hint="eastAsia"/>
          <w:sz w:val="32"/>
          <w:szCs w:val="32"/>
        </w:rPr>
        <w:t>。</w:t>
      </w:r>
    </w:p>
    <w:p>
      <w:pPr>
        <w:pStyle w:val="25"/>
        <w:widowControl/>
        <w:shd w:val="clear" w:color="auto" w:fill="FFFFFF"/>
        <w:autoSpaceDN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b/>
          <w:bCs/>
          <w:sz w:val="32"/>
          <w:szCs w:val="32"/>
        </w:rPr>
        <w:t>（</w:t>
      </w:r>
      <w:r>
        <w:rPr>
          <w:rFonts w:ascii="Times New Roman" w:eastAsia="方正楷体_GBK" w:hAnsi="Times New Roman" w:hint="eastAsia"/>
          <w:b/>
          <w:bCs/>
          <w:sz w:val="32"/>
          <w:szCs w:val="32"/>
        </w:rPr>
        <w:t>四</w:t>
      </w:r>
      <w:r>
        <w:rPr>
          <w:rFonts w:ascii="Times New Roman" w:eastAsia="方正楷体_GBK" w:hAnsi="Times New Roman"/>
          <w:b/>
          <w:bCs/>
          <w:sz w:val="32"/>
          <w:szCs w:val="32"/>
        </w:rPr>
        <w:t>）</w:t>
      </w:r>
      <w:r>
        <w:rPr>
          <w:rFonts w:ascii="Times New Roman" w:eastAsia="方正楷体_GBK" w:hAnsi="Times New Roman" w:hint="eastAsia"/>
          <w:b/>
          <w:bCs/>
          <w:sz w:val="32"/>
          <w:szCs w:val="32"/>
        </w:rPr>
        <w:t>政府信息平台建设</w:t>
      </w:r>
      <w:r>
        <w:rPr>
          <w:rFonts w:ascii="Times New Roman" w:eastAsia="方正楷体_GBK" w:hAnsi="Times New Roman"/>
          <w:b/>
          <w:bCs/>
          <w:sz w:val="32"/>
          <w:szCs w:val="32"/>
        </w:rPr>
        <w:t>方面。</w:t>
      </w:r>
    </w:p>
    <w:p>
      <w:pPr>
        <w:pStyle w:val="25"/>
        <w:widowControl/>
        <w:shd w:val="clear" w:color="auto" w:fill="FFFFFF"/>
        <w:autoSpaceDN w:val="0"/>
        <w:spacing w:line="560" w:lineRule="exact"/>
        <w:ind w:firstLineChars="200" w:firstLine="640"/>
        <w:jc w:val="both"/>
        <w:rPr>
          <w:rFonts w:ascii="Times New Roman" w:eastAsia="方正仿宋_GBK" w:hAnsi="Times New Roman"/>
          <w:sz w:val="32"/>
          <w:szCs w:val="32"/>
          <w:shd w:val="clear" w:color="auto" w:fill="FFFFFF"/>
        </w:rPr>
      </w:pPr>
      <w:r>
        <w:rPr>
          <w:rFonts w:ascii="Times New Roman" w:eastAsia="方正仿宋_GBK" w:hAnsi="Times New Roman" w:hint="eastAsia"/>
          <w:sz w:val="32"/>
        </w:rPr>
        <w:t>一是</w:t>
      </w:r>
      <w:r>
        <w:rPr>
          <w:rFonts w:ascii="Times New Roman" w:eastAsia="方正仿宋_GBK" w:hAnsi="Times New Roman"/>
          <w:sz w:val="32"/>
        </w:rPr>
        <w:t>坚持以企业需求为导向，依托</w:t>
      </w:r>
      <w:r>
        <w:rPr>
          <w:rFonts w:ascii="Times New Roman" w:eastAsia="方正仿宋_GBK" w:hAnsi="Times New Roman" w:hint="eastAsia"/>
          <w:sz w:val="32"/>
        </w:rPr>
        <w:t>“关长联系企业”“关长送政策上门”等机制，</w:t>
      </w:r>
      <w:r>
        <w:rPr>
          <w:rFonts w:ascii="方正仿宋_GBK" w:eastAsia="方正仿宋_GBK" w:hint="eastAsia"/>
          <w:sz w:val="32"/>
          <w:szCs w:val="32"/>
        </w:rPr>
        <w:t>个性化制定“一企一策”服务方案，</w:t>
      </w:r>
      <w:r>
        <w:rPr>
          <w:rFonts w:ascii="Times New Roman" w:eastAsia="方正仿宋_GBK" w:hAnsi="Times New Roman"/>
          <w:sz w:val="32"/>
        </w:rPr>
        <w:t>送政策到企业71家次，召开</w:t>
      </w:r>
      <w:r>
        <w:rPr>
          <w:rFonts w:ascii="Times New Roman" w:eastAsia="方正仿宋_GBK" w:hAnsi="Times New Roman" w:hint="eastAsia"/>
          <w:sz w:val="32"/>
          <w:szCs w:val="32"/>
        </w:rPr>
        <w:t>政策宣贯会</w:t>
      </w:r>
      <w:r>
        <w:rPr>
          <w:rFonts w:ascii="Times New Roman" w:eastAsia="方正仿宋_GBK" w:hAnsi="Times New Roman"/>
          <w:sz w:val="32"/>
          <w:szCs w:val="32"/>
        </w:rPr>
        <w:t>5</w:t>
      </w:r>
      <w:r>
        <w:rPr>
          <w:rFonts w:ascii="Times New Roman" w:eastAsia="方正仿宋_GBK" w:hAnsi="Times New Roman" w:hint="eastAsia"/>
          <w:sz w:val="32"/>
          <w:szCs w:val="32"/>
        </w:rPr>
        <w:t>次</w:t>
      </w:r>
      <w:r>
        <w:rPr>
          <w:rFonts w:ascii="Times New Roman" w:eastAsia="方正仿宋_GBK" w:hAnsi="Times New Roman"/>
          <w:sz w:val="32"/>
          <w:szCs w:val="32"/>
        </w:rPr>
        <w:t>，</w:t>
      </w:r>
      <w:r>
        <w:rPr>
          <w:rFonts w:ascii="Times New Roman" w:eastAsia="方正仿宋_GBK" w:hAnsi="Times New Roman"/>
          <w:sz w:val="32"/>
        </w:rPr>
        <w:t>宣讲原产地政策、商品归类、减免税政策等海关政策</w:t>
      </w:r>
      <w:r>
        <w:rPr>
          <w:rFonts w:ascii="Times New Roman" w:eastAsia="方正仿宋_GBK" w:hAnsi="Times New Roman" w:hint="eastAsia"/>
          <w:sz w:val="32"/>
        </w:rPr>
        <w:t>，</w:t>
      </w:r>
      <w:r>
        <w:rPr>
          <w:rFonts w:ascii="Times New Roman" w:eastAsia="方正仿宋_GBK" w:hAnsi="Times New Roman"/>
          <w:sz w:val="32"/>
        </w:rPr>
        <w:t>期间共</w:t>
      </w:r>
      <w:r>
        <w:rPr>
          <w:rFonts w:ascii="Times New Roman" w:eastAsia="方正仿宋_GBK" w:hAnsi="Times New Roman" w:hint="eastAsia"/>
          <w:sz w:val="32"/>
        </w:rPr>
        <w:t>收集企业意见</w:t>
      </w:r>
      <w:r>
        <w:rPr>
          <w:rFonts w:ascii="Times New Roman" w:eastAsia="方正仿宋_GBK" w:hAnsi="Times New Roman"/>
          <w:sz w:val="32"/>
        </w:rPr>
        <w:t>建议6</w:t>
      </w:r>
      <w:r>
        <w:rPr>
          <w:rFonts w:ascii="Times New Roman" w:eastAsia="方正仿宋_GBK" w:hAnsi="Times New Roman" w:hint="eastAsia"/>
          <w:sz w:val="32"/>
        </w:rPr>
        <w:t>条，解决</w:t>
      </w:r>
      <w:r>
        <w:rPr>
          <w:rFonts w:ascii="Times New Roman" w:eastAsia="方正仿宋_GBK" w:hAnsi="Times New Roman"/>
          <w:sz w:val="32"/>
        </w:rPr>
        <w:t>问题70个，</w:t>
      </w:r>
      <w:r>
        <w:rPr>
          <w:rFonts w:ascii="方正仿宋_GBK" w:eastAsia="方正仿宋_GBK" w:hint="eastAsia"/>
          <w:sz w:val="32"/>
          <w:szCs w:val="32"/>
        </w:rPr>
        <w:t>签发出口原产地享惠金额</w:t>
      </w:r>
      <w:r>
        <w:rPr>
          <w:rFonts w:ascii="Times New Roman" w:eastAsia="方正仿宋_GBK" w:hAnsi="Times New Roman"/>
          <w:sz w:val="32"/>
          <w:szCs w:val="32"/>
        </w:rPr>
        <w:t>10.56</w:t>
      </w:r>
      <w:r>
        <w:rPr>
          <w:rFonts w:ascii="Times New Roman" w:eastAsia="方正仿宋_GBK" w:hAnsi="Times New Roman" w:hint="eastAsia"/>
          <w:sz w:val="32"/>
          <w:szCs w:val="32"/>
        </w:rPr>
        <w:t>亿元，同比增长</w:t>
      </w:r>
      <w:r>
        <w:rPr>
          <w:rFonts w:ascii="Times New Roman" w:eastAsia="方正仿宋_GBK" w:hAnsi="Times New Roman"/>
          <w:sz w:val="32"/>
          <w:szCs w:val="32"/>
        </w:rPr>
        <w:t>52.06%</w:t>
      </w:r>
      <w:r>
        <w:rPr>
          <w:rFonts w:ascii="方正仿宋_GBK" w:eastAsia="方正仿宋_GBK" w:hint="eastAsia"/>
          <w:sz w:val="32"/>
          <w:szCs w:val="32"/>
        </w:rPr>
        <w:t>。</w:t>
      </w:r>
      <w:r>
        <w:rPr>
          <w:rFonts w:ascii="方正仿宋_GBK" w:eastAsia="方正仿宋_GBK"/>
          <w:sz w:val="32"/>
          <w:szCs w:val="32"/>
        </w:rPr>
        <w:t>二是</w:t>
      </w:r>
      <w:r>
        <w:rPr>
          <w:rFonts w:ascii="方正仿宋_GBK" w:eastAsia="方正仿宋_GBK" w:hint="eastAsia"/>
          <w:sz w:val="32"/>
          <w:szCs w:val="32"/>
        </w:rPr>
        <w:t>加强特色产业帮扶力度，扎实开展“</w:t>
      </w:r>
      <w:r>
        <w:rPr>
          <w:rFonts w:ascii="Times New Roman" w:eastAsia="方正仿宋_GBK" w:hAnsi="Times New Roman"/>
          <w:sz w:val="32"/>
          <w:szCs w:val="32"/>
        </w:rPr>
        <w:t>1+N</w:t>
      </w:r>
      <w:r>
        <w:rPr>
          <w:rFonts w:ascii="方正仿宋_GBK" w:eastAsia="方正仿宋_GBK" w:hint="eastAsia"/>
          <w:sz w:val="32"/>
          <w:szCs w:val="32"/>
        </w:rPr>
        <w:t>”属地查检试点，扩大“远程查检”覆盖，研究危化品、农食产品批次查检改革，助力宠物食品出口实现“零的突破”，累计监管出口水</w:t>
      </w:r>
      <w:r>
        <w:rPr>
          <w:rFonts w:ascii="Times New Roman" w:eastAsia="方正仿宋_GBK" w:hAnsi="Times New Roman" w:hint="eastAsia"/>
          <w:sz w:val="32"/>
          <w:szCs w:val="32"/>
        </w:rPr>
        <w:t>果</w:t>
      </w:r>
      <w:r>
        <w:rPr>
          <w:rFonts w:ascii="Times New Roman" w:eastAsia="方正仿宋_GBK" w:hAnsi="Times New Roman"/>
          <w:sz w:val="32"/>
          <w:szCs w:val="32"/>
        </w:rPr>
        <w:t>2300.3</w:t>
      </w:r>
      <w:r>
        <w:rPr>
          <w:rFonts w:ascii="Times New Roman" w:eastAsia="方正仿宋_GBK" w:hAnsi="Times New Roman" w:hint="eastAsia"/>
          <w:sz w:val="32"/>
          <w:szCs w:val="32"/>
        </w:rPr>
        <w:t>吨、花卉苗木</w:t>
      </w:r>
      <w:r>
        <w:rPr>
          <w:rFonts w:ascii="Times New Roman" w:eastAsia="方正仿宋_GBK" w:hAnsi="Times New Roman"/>
          <w:sz w:val="32"/>
          <w:szCs w:val="32"/>
        </w:rPr>
        <w:t>671.9</w:t>
      </w:r>
      <w:r>
        <w:rPr>
          <w:rFonts w:ascii="Times New Roman" w:eastAsia="方正仿宋_GBK" w:hAnsi="Times New Roman" w:hint="eastAsia"/>
          <w:sz w:val="32"/>
          <w:szCs w:val="32"/>
        </w:rPr>
        <w:t>吨、竹木草制品</w:t>
      </w:r>
      <w:r>
        <w:rPr>
          <w:rFonts w:ascii="Times New Roman" w:eastAsia="方正仿宋_GBK" w:hAnsi="Times New Roman"/>
          <w:sz w:val="32"/>
          <w:szCs w:val="32"/>
        </w:rPr>
        <w:t>1437.6</w:t>
      </w:r>
      <w:r>
        <w:rPr>
          <w:rFonts w:ascii="Times New Roman" w:eastAsia="方正仿宋_GBK" w:hAnsi="Times New Roman" w:hint="eastAsia"/>
          <w:sz w:val="32"/>
          <w:szCs w:val="32"/>
        </w:rPr>
        <w:t>吨</w:t>
      </w:r>
      <w:r>
        <w:rPr>
          <w:rFonts w:ascii="方正仿宋_GBK" w:eastAsia="方正仿宋_GBK" w:hint="eastAsia"/>
          <w:sz w:val="32"/>
          <w:szCs w:val="32"/>
        </w:rPr>
        <w:t>。</w:t>
      </w:r>
      <w:r>
        <w:rPr>
          <w:rFonts w:ascii="Times New Roman" w:eastAsia="方正仿宋_GBK" w:hAnsi="Times New Roman" w:hint="eastAsia"/>
          <w:sz w:val="32"/>
        </w:rPr>
        <w:t>三是</w:t>
      </w:r>
      <w:r>
        <w:rPr>
          <w:rFonts w:ascii="Times New Roman" w:eastAsia="方正仿宋_GBK" w:hAnsi="Times New Roman"/>
          <w:sz w:val="32"/>
        </w:rPr>
        <w:t>结合实际扩大广州海关</w:t>
      </w:r>
      <w:r>
        <w:rPr>
          <w:rFonts w:ascii="Times New Roman" w:eastAsia="方正仿宋_GBK" w:hAnsi="Times New Roman" w:hint="eastAsia"/>
          <w:sz w:val="32"/>
        </w:rPr>
        <w:t>“</w:t>
      </w:r>
      <w:r>
        <w:rPr>
          <w:rFonts w:ascii="Times New Roman" w:eastAsia="方正仿宋_GBK" w:hAnsi="Times New Roman"/>
          <w:sz w:val="32"/>
        </w:rPr>
        <w:t>海关进企业、海关进社区、海关进校园</w:t>
      </w:r>
      <w:r>
        <w:rPr>
          <w:rFonts w:ascii="Times New Roman" w:eastAsia="方正仿宋_GBK" w:hAnsi="Times New Roman" w:hint="eastAsia"/>
          <w:sz w:val="32"/>
        </w:rPr>
        <w:t>”——“三进”品牌</w:t>
      </w:r>
      <w:r>
        <w:rPr>
          <w:rFonts w:ascii="Times New Roman" w:eastAsia="方正仿宋_GBK" w:hAnsi="Times New Roman"/>
          <w:sz w:val="32"/>
        </w:rPr>
        <w:t>服务效应</w:t>
      </w:r>
      <w:r>
        <w:rPr>
          <w:rFonts w:ascii="Times New Roman" w:eastAsia="方正仿宋_GBK" w:hAnsi="Times New Roman" w:hint="eastAsia"/>
          <w:sz w:val="32"/>
        </w:rPr>
        <w:t>，从化海关大湾区马产业“三进”品牌特色科普基地</w:t>
      </w:r>
      <w:r>
        <w:rPr>
          <w:rFonts w:ascii="方正仿宋_GBK" w:eastAsia="方正仿宋_GBK" w:hint="eastAsia"/>
          <w:sz w:val="32"/>
          <w:szCs w:val="32"/>
        </w:rPr>
        <w:t>服务大湾区马产业高质量发展</w:t>
      </w:r>
      <w:r>
        <w:rPr>
          <w:rFonts w:ascii="方正仿宋_GBK" w:eastAsia="方正仿宋_GBK"/>
          <w:sz w:val="32"/>
          <w:szCs w:val="32"/>
        </w:rPr>
        <w:t>，</w:t>
      </w:r>
      <w:r>
        <w:rPr>
          <w:rFonts w:ascii="方正仿宋_GBK" w:eastAsia="方正仿宋_GBK" w:hint="eastAsia"/>
          <w:sz w:val="32"/>
          <w:szCs w:val="32"/>
        </w:rPr>
        <w:t>获新华社、人民日报等</w:t>
      </w:r>
      <w:r>
        <w:rPr>
          <w:rFonts w:ascii="Times New Roman" w:eastAsia="方正仿宋_GBK" w:hAnsi="Times New Roman"/>
          <w:sz w:val="32"/>
          <w:szCs w:val="32"/>
        </w:rPr>
        <w:t>13</w:t>
      </w:r>
      <w:r>
        <w:rPr>
          <w:rFonts w:ascii="方正仿宋_GBK" w:eastAsia="方正仿宋_GBK"/>
          <w:sz w:val="32"/>
          <w:szCs w:val="32"/>
        </w:rPr>
        <w:t>家次</w:t>
      </w:r>
      <w:r>
        <w:rPr>
          <w:rFonts w:ascii="方正仿宋_GBK" w:eastAsia="方正仿宋_GBK" w:hint="eastAsia"/>
          <w:sz w:val="32"/>
          <w:szCs w:val="32"/>
        </w:rPr>
        <w:t>中央</w:t>
      </w:r>
      <w:r>
        <w:rPr>
          <w:rFonts w:ascii="方正仿宋_GBK" w:eastAsia="方正仿宋_GBK"/>
          <w:sz w:val="32"/>
          <w:szCs w:val="32"/>
        </w:rPr>
        <w:t>、省市区</w:t>
      </w:r>
      <w:r>
        <w:rPr>
          <w:rFonts w:ascii="方正仿宋_GBK" w:eastAsia="方正仿宋_GBK" w:hint="eastAsia"/>
          <w:sz w:val="32"/>
          <w:szCs w:val="32"/>
        </w:rPr>
        <w:t>主流媒体报道。</w:t>
      </w:r>
    </w:p>
    <w:p>
      <w:pPr>
        <w:pStyle w:val="34"/>
        <w:autoSpaceDN w:val="0"/>
        <w:spacing w:line="560" w:lineRule="exact"/>
        <w:ind w:left="630"/>
        <w:rPr>
          <w:rFonts w:eastAsia="方正楷体_GBK"/>
          <w:b/>
          <w:bCs/>
          <w:szCs w:val="32"/>
        </w:rPr>
      </w:pPr>
      <w:r>
        <w:rPr>
          <w:rFonts w:eastAsia="方正楷体_GBK"/>
          <w:b/>
          <w:bCs/>
          <w:szCs w:val="32"/>
        </w:rPr>
        <w:t>（</w:t>
      </w:r>
      <w:r>
        <w:rPr>
          <w:rFonts w:eastAsia="方正楷体_GBK" w:hint="eastAsia"/>
          <w:b/>
          <w:bCs/>
          <w:szCs w:val="32"/>
        </w:rPr>
        <w:t>五</w:t>
      </w:r>
      <w:r>
        <w:rPr>
          <w:rFonts w:eastAsia="方正楷体_GBK"/>
          <w:b/>
          <w:bCs/>
          <w:szCs w:val="32"/>
        </w:rPr>
        <w:t>）</w:t>
      </w:r>
      <w:r>
        <w:rPr>
          <w:rFonts w:eastAsia="方正楷体_GBK" w:hint="eastAsia"/>
          <w:b/>
          <w:bCs/>
          <w:szCs w:val="32"/>
        </w:rPr>
        <w:t>强化监督保障</w:t>
      </w:r>
      <w:r>
        <w:rPr>
          <w:rFonts w:eastAsia="方正楷体_GBK"/>
          <w:b/>
          <w:bCs/>
          <w:szCs w:val="32"/>
        </w:rPr>
        <w:t>方面。</w:t>
      </w:r>
    </w:p>
    <w:p>
      <w:pPr>
        <w:pStyle w:val="31"/>
        <w:autoSpaceDN w:val="0"/>
        <w:spacing w:line="560" w:lineRule="exact"/>
        <w:ind w:firstLine="643"/>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bCs/>
          <w:sz w:val="32"/>
          <w:szCs w:val="32"/>
        </w:rPr>
        <w:t>锚定企业服务与公众需求导向，以</w:t>
      </w:r>
      <w:r>
        <w:rPr>
          <w:rFonts w:ascii="Times New Roman" w:eastAsia="方正仿宋_GBK" w:cs="Times New Roman" w:hAnsi="Times New Roman" w:hint="eastAsia"/>
          <w:bCs/>
          <w:sz w:val="32"/>
          <w:szCs w:val="32"/>
        </w:rPr>
        <w:t>“关长接待日”等形式常态化</w:t>
      </w:r>
      <w:r>
        <w:rPr>
          <w:rFonts w:ascii="Times New Roman" w:eastAsia="方正仿宋_GBK" w:cs="Times New Roman" w:hAnsi="Times New Roman"/>
          <w:bCs/>
          <w:sz w:val="32"/>
          <w:szCs w:val="32"/>
        </w:rPr>
        <w:t>与企业公众</w:t>
      </w:r>
      <w:r>
        <w:rPr>
          <w:rFonts w:ascii="Times New Roman" w:eastAsia="方正仿宋_GBK" w:cs="Times New Roman" w:hAnsi="Times New Roman" w:hint="eastAsia"/>
          <w:bCs/>
          <w:sz w:val="32"/>
          <w:szCs w:val="32"/>
        </w:rPr>
        <w:t>“面对面”</w:t>
      </w:r>
      <w:r>
        <w:rPr>
          <w:rFonts w:ascii="Times New Roman" w:eastAsia="方正仿宋_GBK" w:cs="Times New Roman" w:hAnsi="Times New Roman"/>
          <w:bCs/>
          <w:sz w:val="32"/>
          <w:szCs w:val="32"/>
        </w:rPr>
        <w:t>沟通交流，</w:t>
      </w:r>
      <w:r>
        <w:rPr>
          <w:rFonts w:ascii="Times New Roman" w:eastAsia="方正仿宋_GBK" w:hAnsi="Times New Roman"/>
          <w:sz w:val="32"/>
          <w:szCs w:val="32"/>
        </w:rPr>
        <w:t>主动接受</w:t>
      </w:r>
      <w:r>
        <w:rPr>
          <w:rFonts w:ascii="Times New Roman" w:eastAsia="方正仿宋_GBK" w:hAnsi="Times New Roman" w:hint="eastAsia"/>
          <w:sz w:val="32"/>
          <w:szCs w:val="32"/>
        </w:rPr>
        <w:t>社会监督</w:t>
      </w:r>
      <w:r>
        <w:rPr>
          <w:rFonts w:ascii="Times New Roman" w:eastAsia="方正仿宋_GBK" w:hAnsi="Times New Roman"/>
          <w:sz w:val="32"/>
          <w:szCs w:val="32"/>
        </w:rPr>
        <w:t>，</w:t>
      </w:r>
      <w:r>
        <w:rPr>
          <w:rFonts w:ascii="Times New Roman" w:eastAsia="方正仿宋_GBK" w:cs="Times New Roman" w:hAnsi="Times New Roman"/>
          <w:bCs/>
          <w:sz w:val="32"/>
          <w:szCs w:val="32"/>
        </w:rPr>
        <w:t>发挥政务公开示范引领作用。安排专人落实每日安全监测、每周网站和政务新媒体自查、每季度网络安全检查，主动对接上级政务信息公开主管部门监督指导，</w:t>
      </w:r>
      <w:r>
        <w:rPr>
          <w:rFonts w:ascii="Times New Roman" w:eastAsia="方正仿宋_GBK" w:cs="Times New Roman" w:hAnsi="Times New Roman" w:hint="eastAsia"/>
          <w:bCs/>
          <w:sz w:val="32"/>
          <w:szCs w:val="32"/>
        </w:rPr>
        <w:t>重点</w:t>
      </w:r>
      <w:r>
        <w:rPr>
          <w:rFonts w:ascii="Times New Roman" w:eastAsia="方正仿宋_GBK" w:cs="Times New Roman" w:hAnsi="Times New Roman"/>
          <w:bCs/>
          <w:sz w:val="32"/>
          <w:szCs w:val="32"/>
        </w:rPr>
        <w:t>围绕</w:t>
      </w:r>
      <w:r>
        <w:rPr>
          <w:rFonts w:ascii="Times New Roman" w:eastAsia="方正仿宋_GBK" w:cs="Times New Roman" w:hAnsi="Times New Roman" w:hint="eastAsia"/>
          <w:bCs/>
          <w:sz w:val="32"/>
          <w:szCs w:val="32"/>
        </w:rPr>
        <w:t>机构信息、预决算</w:t>
      </w:r>
      <w:r>
        <w:rPr>
          <w:rFonts w:ascii="Times New Roman" w:eastAsia="方正仿宋_GBK" w:cs="Times New Roman" w:hAnsi="Times New Roman"/>
          <w:bCs/>
          <w:sz w:val="32"/>
          <w:szCs w:val="32"/>
        </w:rPr>
        <w:t>信息</w:t>
      </w:r>
      <w:r>
        <w:rPr>
          <w:rFonts w:ascii="Times New Roman" w:eastAsia="方正仿宋_GBK" w:cs="Times New Roman" w:hAnsi="Times New Roman" w:hint="eastAsia"/>
          <w:bCs/>
          <w:sz w:val="32"/>
          <w:szCs w:val="32"/>
        </w:rPr>
        <w:t>、行政执法信息等</w:t>
      </w:r>
      <w:r>
        <w:rPr>
          <w:rFonts w:ascii="Times New Roman" w:eastAsia="方正仿宋_GBK" w:cs="Times New Roman" w:hAnsi="Times New Roman"/>
          <w:bCs/>
          <w:sz w:val="32"/>
          <w:szCs w:val="32"/>
        </w:rPr>
        <w:t>公开内容</w:t>
      </w:r>
      <w:r>
        <w:rPr>
          <w:rFonts w:ascii="Times New Roman" w:eastAsia="方正仿宋_GBK" w:cs="Times New Roman" w:hAnsi="Times New Roman" w:hint="eastAsia"/>
          <w:bCs/>
          <w:sz w:val="32"/>
          <w:szCs w:val="32"/>
        </w:rPr>
        <w:t>开展自查</w:t>
      </w:r>
      <w:r>
        <w:rPr>
          <w:rFonts w:ascii="Times New Roman" w:eastAsia="方正仿宋_GBK" w:cs="Times New Roman" w:hAnsi="Times New Roman"/>
          <w:bCs/>
          <w:sz w:val="32"/>
          <w:szCs w:val="32"/>
        </w:rPr>
        <w:t>整改</w:t>
      </w:r>
      <w:r>
        <w:rPr>
          <w:rFonts w:ascii="Times New Roman" w:eastAsia="方正仿宋_GBK" w:cs="Times New Roman" w:hAnsi="Times New Roman" w:hint="eastAsia"/>
          <w:bCs/>
          <w:sz w:val="32"/>
          <w:szCs w:val="32"/>
        </w:rPr>
        <w:t>，</w:t>
      </w:r>
      <w:r>
        <w:rPr>
          <w:rFonts w:ascii="Times New Roman" w:eastAsia="方正仿宋_GBK" w:cs="Times New Roman" w:hAnsi="Times New Roman"/>
          <w:bCs/>
          <w:sz w:val="32"/>
          <w:szCs w:val="32"/>
        </w:rPr>
        <w:t>建立问题整改台账，确保信息更新到位</w:t>
      </w:r>
      <w:r>
        <w:rPr>
          <w:rFonts w:ascii="Times New Roman" w:eastAsia="方正仿宋_GBK" w:cs="Times New Roman" w:hAnsi="Times New Roman" w:hint="eastAsia"/>
          <w:bCs/>
          <w:sz w:val="32"/>
          <w:szCs w:val="32"/>
        </w:rPr>
        <w:t>。</w:t>
      </w:r>
    </w:p>
    <w:p>
      <w:pPr>
        <w:pStyle w:val="21"/>
        <w:adjustRightInd w:val="0"/>
        <w:snapToGrid w:val="0"/>
        <w:spacing w:beforeLines="50" w:before="218" w:afterLines="50" w:after="218"/>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0"/>
              <w:widowControl/>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0"/>
              <w:widowControl/>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0"/>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0"/>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0"/>
              <w:widowControl/>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9"/>
              <w:jc w:val="center"/>
              <w:rPr>
                <w:rFonts w:eastAsia="方正仿宋_GBK" w:cs="宋体"/>
                <w:sz w:val="24"/>
                <w:szCs w:val="24"/>
              </w:rPr>
            </w:pPr>
            <w:r>
              <w:rPr>
                <w:rFonts w:eastAsia="方正仿宋_GBK" w:cs="宋体"/>
                <w:sz w:val="24"/>
                <w:szCs w:val="24"/>
              </w:rPr>
              <w:t>1</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0"/>
              <w:widowControl/>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
              <w:ind w:left="0"/>
              <w:jc w:val="center"/>
            </w:pPr>
            <w:r>
              <w:rPr>
                <w:rFonts w:cs="宋体"/>
                <w:sz w:val="24"/>
                <w:szCs w:val="24"/>
              </w:rPr>
              <w:t>4</w:t>
            </w:r>
            <w:bookmarkStart w:id="2" w:name="_GoBack"/>
            <w:bookmarkEnd w:id="2"/>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
              <w:jc w:val="center"/>
              <w:rPr>
                <w:rFonts w:eastAsia="方正仿宋_GBK" w:cs="宋体"/>
                <w:sz w:val="24"/>
                <w:szCs w:val="24"/>
              </w:rPr>
            </w:pPr>
            <w:r>
              <w:rPr>
                <w:rFonts w:eastAsia="方正仿宋_GBK" w:cs="宋体"/>
                <w:sz w:val="24"/>
                <w:szCs w:val="24"/>
              </w:rPr>
              <w:t>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0"/>
              <w:widowControl/>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0"/>
              <w:jc w:val="center"/>
              <w:rPr>
                <w:rFonts w:eastAsia="方正仿宋_GBK" w:cs="宋体"/>
                <w:sz w:val="24"/>
                <w:szCs w:val="24"/>
              </w:rPr>
            </w:pPr>
            <w:r>
              <w:rPr>
                <w:rFonts w:eastAsia="方正仿宋_GBK" w:cs="宋体"/>
                <w:sz w:val="24"/>
                <w:szCs w:val="24"/>
              </w:rPr>
              <w:t>0</w:t>
            </w:r>
          </w:p>
        </w:tc>
      </w:tr>
    </w:tbl>
    <w:p>
      <w:pPr>
        <w:pStyle w:val="164"/>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pPr>
        <w:pStyle w:val="19"/>
        <w:widowControl/>
        <w:shd w:val="clear" w:color="auto" w:fill="FFFFFF"/>
        <w:adjustRightInd w:val="0"/>
        <w:snapToGrid w:val="0"/>
        <w:spacing w:afterLines="50" w:after="218"/>
        <w:ind w:firstLineChars="200" w:firstLine="640"/>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0"/>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0"/>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6"/>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7"/>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0"/>
              <w:widowControl/>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0"/>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14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14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15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5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5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15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54"/>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0"/>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15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15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15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5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5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16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61"/>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0"/>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jc w:val="center"/>
              <w:rPr>
                <w:rFonts w:eastAsia="方正仿宋_GBK"/>
                <w:sz w:val="24"/>
                <w:szCs w:val="24"/>
              </w:rPr>
            </w:pPr>
            <w:r>
              <w:rPr>
                <w:rFonts w:eastAsia="方正仿宋_GBK"/>
                <w:sz w:val="24"/>
                <w:szCs w:val="24"/>
              </w:rPr>
              <w:t>0</w:t>
            </w:r>
          </w:p>
        </w:tc>
      </w:tr>
    </w:tbl>
    <w:p>
      <w:pPr>
        <w:pStyle w:val="19"/>
        <w:widowControl/>
        <w:shd w:val="clear" w:color="auto" w:fill="FFFFFF"/>
        <w:spacing w:beforeLines="50" w:before="218" w:after="120"/>
        <w:ind w:firstLineChars="200" w:firstLine="640"/>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
              <w:widowControl/>
              <w:jc w:val="center"/>
              <w:rPr>
                <w:kern w:val="0"/>
                <w:sz w:val="28"/>
                <w:szCs w:val="28"/>
              </w:rPr>
            </w:pPr>
            <w:r>
              <w:rPr>
                <w:kern w:val="0"/>
                <w:sz w:val="28"/>
                <w:szCs w:val="28"/>
              </w:rPr>
              <w:t>0</w:t>
            </w:r>
          </w:p>
        </w:tc>
      </w:tr>
    </w:tbl>
    <w:p>
      <w:pPr>
        <w:pStyle w:val="19"/>
        <w:widowControl/>
        <w:shd w:val="clear" w:color="auto" w:fill="FFFFFF"/>
        <w:spacing w:beforeAutospacing="0" w:afterAutospacing="0" w:line="560" w:lineRule="exact"/>
        <w:ind w:firstLineChars="200" w:firstLine="640"/>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24"/>
        <w:adjustRightInd w:val="0"/>
        <w:snapToGrid w:val="0"/>
        <w:ind w:firstLineChars="200" w:firstLine="624"/>
        <w:rPr>
          <w:rFonts w:ascii="方正楷体_GBK" w:eastAsia="方正楷体_GBK"/>
          <w:b/>
          <w:bCs/>
        </w:rPr>
      </w:pPr>
      <w:r>
        <w:rPr>
          <w:rFonts w:ascii="方正楷体_GBK" w:eastAsia="方正楷体_GBK" w:hint="eastAsia"/>
          <w:b/>
          <w:bCs/>
        </w:rPr>
        <w:t>（一）202</w:t>
      </w:r>
      <w:r>
        <w:rPr>
          <w:rFonts w:ascii="方正楷体_GBK" w:eastAsia="方正楷体_GBK"/>
          <w:b/>
          <w:bCs/>
        </w:rPr>
        <w:t>4</w:t>
      </w:r>
      <w:r>
        <w:rPr>
          <w:rFonts w:ascii="方正楷体_GBK" w:eastAsia="方正楷体_GBK" w:hint="eastAsia"/>
          <w:b/>
          <w:bCs/>
        </w:rPr>
        <w:t>年年报中所提问题整改情况。</w:t>
      </w:r>
    </w:p>
    <w:p>
      <w:pPr>
        <w:pStyle w:val="24"/>
        <w:adjustRightInd w:val="0"/>
        <w:snapToGrid w:val="0"/>
        <w:ind w:firstLineChars="200" w:firstLine="624"/>
        <w:rPr>
          <w:szCs w:val="32"/>
        </w:rPr>
      </w:pPr>
      <w:r>
        <w:rPr>
          <w:rFonts w:hint="eastAsia"/>
        </w:rPr>
        <w:t>从化海关202</w:t>
      </w:r>
      <w:r>
        <w:t>4</w:t>
      </w:r>
      <w:r>
        <w:rPr>
          <w:rFonts w:hint="eastAsia"/>
        </w:rPr>
        <w:t>年年报中提出以下问题：</w:t>
      </w:r>
      <w:r>
        <w:rPr>
          <w:szCs w:val="32"/>
        </w:rPr>
        <w:t>针</w:t>
      </w:r>
      <w:r>
        <w:rPr>
          <w:rFonts w:hint="eastAsia"/>
          <w:szCs w:val="32"/>
        </w:rPr>
        <w:t>对新法新规和企业群众关心关注的海关政策</w:t>
      </w:r>
      <w:r>
        <w:rPr>
          <w:szCs w:val="32"/>
        </w:rPr>
        <w:t>，需进一步提升</w:t>
      </w:r>
      <w:r>
        <w:rPr>
          <w:rFonts w:hint="eastAsia"/>
          <w:szCs w:val="32"/>
        </w:rPr>
        <w:t>宣传解读的主动性、时效性</w:t>
      </w:r>
      <w:r>
        <w:rPr>
          <w:szCs w:val="32"/>
        </w:rPr>
        <w:t>。</w:t>
      </w:r>
    </w:p>
    <w:p>
      <w:pPr>
        <w:pStyle w:val="163"/>
        <w:adjustRightInd w:val="0"/>
        <w:snapToGrid w:val="0"/>
        <w:ind w:firstLineChars="200" w:firstLine="624"/>
      </w:pPr>
      <w:r>
        <w:rPr>
          <w:rFonts w:hint="eastAsia"/>
        </w:rPr>
        <w:t>上述问题在202</w:t>
      </w:r>
      <w:r>
        <w:t>5</w:t>
      </w:r>
      <w:r>
        <w:rPr>
          <w:rFonts w:hint="eastAsia"/>
        </w:rPr>
        <w:t>年</w:t>
      </w:r>
      <w:r>
        <w:t>已采取措施</w:t>
      </w:r>
      <w:r>
        <w:rPr>
          <w:rFonts w:hint="eastAsia"/>
        </w:rPr>
        <w:t>完成整改：</w:t>
      </w:r>
      <w:r>
        <w:rPr>
          <w:rFonts w:hint="eastAsia"/>
          <w:b/>
          <w:bCs/>
        </w:rPr>
        <w:t>一是</w:t>
      </w:r>
      <w:r>
        <w:rPr>
          <w:rFonts w:cs="方正仿宋_GBK"/>
          <w:bCs/>
          <w:color w:val="000000"/>
          <w:szCs w:val="32"/>
        </w:rPr>
        <w:t>通过关企即时通讯群、电话、走访等方式，</w:t>
      </w:r>
      <w:r>
        <w:rPr>
          <w:rFonts w:cs="方正仿宋_GBK" w:hint="eastAsia"/>
          <w:bCs/>
          <w:color w:val="000000"/>
          <w:szCs w:val="32"/>
        </w:rPr>
        <w:t>及时解答企业</w:t>
      </w:r>
      <w:r>
        <w:rPr>
          <w:rFonts w:cs="方正仿宋_GBK"/>
          <w:bCs/>
          <w:color w:val="000000"/>
          <w:szCs w:val="32"/>
        </w:rPr>
        <w:t>关于</w:t>
      </w:r>
      <w:r>
        <w:rPr>
          <w:rFonts w:cs="方正仿宋_GBK" w:hint="eastAsia"/>
          <w:bCs/>
          <w:color w:val="000000"/>
          <w:szCs w:val="32"/>
        </w:rPr>
        <w:t>系统操作</w:t>
      </w:r>
      <w:r>
        <w:rPr>
          <w:rFonts w:cs="方正仿宋_GBK"/>
          <w:bCs/>
          <w:color w:val="000000"/>
          <w:szCs w:val="32"/>
        </w:rPr>
        <w:t>、原产地享惠</w:t>
      </w:r>
      <w:r>
        <w:rPr>
          <w:rFonts w:cs="方正仿宋_GBK" w:hint="eastAsia"/>
          <w:bCs/>
          <w:color w:val="000000"/>
          <w:szCs w:val="32"/>
        </w:rPr>
        <w:t>等方面的疑问，</w:t>
      </w:r>
      <w:r>
        <w:rPr>
          <w:rFonts w:cs="方正仿宋_GBK"/>
          <w:bCs/>
          <w:color w:val="000000"/>
          <w:szCs w:val="32"/>
        </w:rPr>
        <w:t>实地</w:t>
      </w:r>
      <w:r>
        <w:rPr>
          <w:rFonts w:ascii="方正仿宋_GBK" w:hint="eastAsia"/>
          <w:szCs w:val="32"/>
        </w:rPr>
        <w:t>走访企业</w:t>
      </w:r>
      <w:r>
        <w:rPr>
          <w:szCs w:val="32"/>
        </w:rPr>
        <w:t>71</w:t>
      </w:r>
      <w:r>
        <w:rPr>
          <w:rFonts w:hint="eastAsia"/>
          <w:szCs w:val="32"/>
        </w:rPr>
        <w:t>家次，解决企业实际问题困难</w:t>
      </w:r>
      <w:r>
        <w:rPr>
          <w:szCs w:val="32"/>
        </w:rPr>
        <w:t>70</w:t>
      </w:r>
      <w:r>
        <w:rPr>
          <w:rFonts w:hint="eastAsia"/>
          <w:szCs w:val="32"/>
        </w:rPr>
        <w:t>个</w:t>
      </w:r>
      <w:r>
        <w:rPr>
          <w:szCs w:val="32"/>
        </w:rPr>
        <w:t>。</w:t>
      </w:r>
      <w:r>
        <w:rPr>
          <w:rFonts w:hint="eastAsia"/>
          <w:b/>
          <w:bCs/>
        </w:rPr>
        <w:t>二是</w:t>
      </w:r>
      <w:r>
        <w:rPr>
          <w:rFonts w:hint="eastAsia"/>
        </w:rPr>
        <w:t>完善</w:t>
      </w:r>
      <w:r>
        <w:t>基层</w:t>
      </w:r>
      <w:r>
        <w:rPr>
          <w:rFonts w:hint="eastAsia"/>
        </w:rPr>
        <w:t>政务公开专区，在标准</w:t>
      </w:r>
      <w:r>
        <w:t>化规范化</w:t>
      </w:r>
      <w:r>
        <w:rPr>
          <w:rFonts w:hint="eastAsia"/>
        </w:rPr>
        <w:t>建设基础上，</w:t>
      </w:r>
      <w:r>
        <w:t>及时</w:t>
      </w:r>
      <w:r>
        <w:rPr>
          <w:rFonts w:hint="eastAsia"/>
        </w:rPr>
        <w:t>更新</w:t>
      </w:r>
      <w:r>
        <w:t>维护</w:t>
      </w:r>
      <w:r>
        <w:rPr>
          <w:rFonts w:hint="eastAsia"/>
        </w:rPr>
        <w:t>便民服务区、自助办理区等区域设施设备，对标识、资料、功能进行</w:t>
      </w:r>
      <w:r>
        <w:t>优化</w:t>
      </w:r>
      <w:r>
        <w:rPr>
          <w:rFonts w:hint="eastAsia"/>
        </w:rPr>
        <w:t>布置</w:t>
      </w:r>
      <w:r>
        <w:rPr>
          <w:szCs w:val="32"/>
        </w:rPr>
        <w:t>。</w:t>
      </w:r>
    </w:p>
    <w:p>
      <w:pPr>
        <w:pStyle w:val="22"/>
        <w:adjustRightInd w:val="0"/>
        <w:snapToGrid w:val="0"/>
        <w:ind w:firstLineChars="200" w:firstLine="624"/>
        <w:rPr>
          <w:rFonts w:ascii="方正楷体_GBK" w:eastAsia="方正楷体_GBK"/>
          <w:b/>
          <w:bCs/>
        </w:rPr>
      </w:pPr>
      <w:r>
        <w:rPr>
          <w:rFonts w:ascii="方正楷体_GBK" w:eastAsia="方正楷体_GBK" w:hint="eastAsia"/>
          <w:b/>
          <w:bCs/>
        </w:rPr>
        <w:t>（二）目前存在问题。</w:t>
      </w:r>
    </w:p>
    <w:p>
      <w:pPr>
        <w:pStyle w:val="22"/>
        <w:adjustRightInd w:val="0"/>
        <w:snapToGrid w:val="0"/>
        <w:ind w:firstLineChars="200" w:firstLine="624"/>
      </w:pPr>
      <w:r>
        <w:t>企业公众关注的重要政策宣贯力度不够，政策解读形式还需更加多元化。</w:t>
      </w:r>
    </w:p>
    <w:p>
      <w:pPr>
        <w:pStyle w:val="19"/>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1"/>
    </w:p>
    <w:p>
      <w:pPr>
        <w:pStyle w:val="162"/>
        <w:adjustRightInd w:val="0"/>
        <w:snapToGrid w:val="0"/>
        <w:ind w:firstLineChars="200" w:firstLine="624"/>
        <w:rPr>
          <w:rFonts w:hint="eastAsia"/>
        </w:rPr>
      </w:pPr>
      <w:r>
        <w:rPr>
          <w:rFonts w:hint="eastAsia"/>
        </w:rPr>
        <w:t>从化海关严格按照《国务院办公厅关于印发〈政府信息公开信息处理费管理办法〉的通知》，</w:t>
      </w:r>
      <w:r>
        <w:t>规范</w:t>
      </w:r>
      <w:r>
        <w:rPr>
          <w:rFonts w:hint="eastAsia"/>
        </w:rPr>
        <w:t>政府信息公开信息处理费收取工作，202</w:t>
      </w:r>
      <w:r>
        <w:t>5</w:t>
      </w:r>
      <w:r>
        <w:rPr>
          <w:rFonts w:hint="eastAsia"/>
        </w:rPr>
        <w:t>年未收取政府信息公开信息处理费。</w:t>
      </w: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- 7 -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- 4 -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bordersDoNotSurroundHeader/>
  <w:bordersDoNotSurroundFooter/>
  <w:trackRevisions/>
  <w:defaultTabStop w:val="420"/>
  <w:drawingGridHorizontalSpacing w:val="18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styleId="18">
    <w:name w:val="toc 2"/>
    <w:basedOn w:val="0"/>
    <w:autoRedefine/>
    <w:next w:val="0"/>
    <w:pPr>
      <w:ind w:left="420"/>
    </w:pPr>
    <w:rPr>
      <w:rFonts w:ascii="Times New Roman" w:eastAsia="方正仿宋_GBK" w:hAnsi="Times New Roman"/>
      <w:sz w:val="32"/>
    </w:rPr>
  </w:style>
  <w:style w:type="paragraph" w:styleId="19">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0">
    <w:name w:val="样式 小三"/>
    <w:next w:val="18"/>
    <w:pPr>
      <w:widowControl w:val="0"/>
      <w:jc w:val="both"/>
    </w:pPr>
    <w:rPr>
      <w:rFonts w:ascii="Times New Roman" w:eastAsia="宋体" w:cs="Times New Roman" w:hAnsi="Times New Roman"/>
      <w:kern w:val="2"/>
      <w:sz w:val="30"/>
      <w:szCs w:val="30"/>
      <w:lang w:val="en-US" w:eastAsia="zh-CN" w:bidi="ar-SA"/>
    </w:rPr>
  </w:style>
  <w:style w:type="paragraph" w:customStyle="1" w:styleId="21">
    <w:name w:val="样式 50 三号"/>
    <w:next w:val="16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2">
    <w:name w:val="样式 13 三号"/>
    <w:next w:val="16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3">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4">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5">
    <w:name w:val="样式 小四"/>
    <w:next w:val="27"/>
    <w:pPr>
      <w:widowControl w:val="0"/>
    </w:pPr>
    <w:rPr>
      <w:rFonts w:ascii="宋体" w:eastAsia="宋体" w:cs="Times New Roman"/>
      <w:kern w:val="2"/>
      <w:sz w:val="24"/>
      <w:lang w:val="en-US" w:eastAsia="zh-CN" w:bidi="ar-SA"/>
    </w:rPr>
  </w:style>
  <w:style w:type="paragraph" w:customStyle="1" w:styleId="26">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27">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28">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30">
    <w:name w:val="样式 17 小三"/>
    <w:pPr>
      <w:widowControl w:val="0"/>
      <w:jc w:val="both"/>
    </w:pPr>
    <w:rPr>
      <w:rFonts w:ascii="Times New Roman" w:eastAsia="宋体" w:cs="Times New Roman" w:hAnsi="Times New Roman"/>
      <w:kern w:val="2"/>
      <w:sz w:val="30"/>
      <w:szCs w:val="30"/>
      <w:lang w:val="en-US" w:eastAsia="zh-CN" w:bidi="ar-SA"/>
    </w:rPr>
  </w:style>
  <w:style w:type="paragraph" w:styleId="31">
    <w:name w:val="Plain Text"/>
    <w:next w:val="167"/>
    <w:pPr>
      <w:widowControl w:val="0"/>
      <w:jc w:val="both"/>
    </w:pPr>
    <w:rPr>
      <w:rFonts w:ascii="宋体" w:eastAsia="宋体" w:cs="Courier New"/>
      <w:kern w:val="2"/>
      <w:sz w:val="21"/>
      <w:szCs w:val="21"/>
      <w:lang w:val="en-US" w:eastAsia="zh-CN" w:bidi="ar-SA"/>
    </w:rPr>
  </w:style>
  <w:style w:type="paragraph" w:customStyle="1" w:styleId="32">
    <w:name w:val="样式 1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3">
    <w:name w:val="样式 26 三号"/>
    <w:next w:val="168"/>
    <w:pPr>
      <w:widowControl w:val="0"/>
      <w:jc w:val="both"/>
    </w:pPr>
    <w:rPr>
      <w:rFonts w:ascii="Times New Roman" w:eastAsia="方正仿宋_GBK" w:cs="Times New Roman" w:hAnsi="Times New Roman"/>
      <w:kern w:val="2"/>
      <w:sz w:val="32"/>
      <w:szCs w:val="32"/>
      <w:lang w:val="en-US" w:eastAsia="zh-CN" w:bidi="ar-SA"/>
    </w:rPr>
  </w:style>
  <w:style w:type="paragraph" w:customStyle="1" w:styleId="34">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5">
    <w:name w:val="样式 4 小四"/>
    <w:pPr>
      <w:widowControl w:val="0"/>
    </w:pPr>
    <w:rPr>
      <w:rFonts w:ascii="宋体" w:eastAsia="宋体" w:cs="Times New Roman"/>
      <w:kern w:val="2"/>
      <w:sz w:val="24"/>
      <w:lang w:val="en-US" w:eastAsia="zh-CN" w:bidi="ar-SA"/>
    </w:rPr>
  </w:style>
  <w:style w:type="paragraph" w:customStyle="1" w:styleId="36">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37">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38">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39">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40">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41">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42">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43">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48">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49">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50">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75">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82">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84">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2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63">
    <w:name w:val="样式 2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64">
    <w:name w:val="样式 48 小四"/>
    <w:next w:val="169"/>
    <w:pPr>
      <w:widowControl w:val="0"/>
      <w:spacing w:before="100" w:beforeAutospacing="1" w:after="100" w:afterAutospacing="1"/>
    </w:pPr>
    <w:rPr>
      <w:rFonts w:ascii="Times New Roman" w:eastAsia="宋体" w:cs="Times New Roman" w:hAnsi="Times New Roman"/>
      <w:sz w:val="24"/>
      <w:szCs w:val="24"/>
      <w:lang w:val="en-US" w:eastAsia="zh-CN" w:bidi="ar-SA"/>
    </w:rPr>
  </w:style>
  <w:style w:type="paragraph" w:styleId="165">
    <w:name w:val="annotation text"/>
    <w:basedOn w:val="0"/>
    <w:pPr>
      <w:jc w:val="left"/>
    </w:pPr>
    <w:rPr>
      <w:rFonts w:ascii="Times New Roman" w:eastAsia="方正仿宋_GBK" w:hAnsi="Times New Roman"/>
      <w:sz w:val="32"/>
    </w:rPr>
  </w:style>
  <w:style w:type="paragraph" w:styleId="166">
    <w:name w:val="index 6"/>
    <w:basedOn w:val="0"/>
    <w:autoRedefine/>
    <w:next w:val="0"/>
    <w:pPr>
      <w:ind w:leftChars="1000" w:left="1000"/>
    </w:pPr>
  </w:style>
  <w:style w:type="paragraph" w:styleId="167">
    <w:name w:val="index 7"/>
    <w:basedOn w:val="0"/>
    <w:autoRedefine/>
    <w:next w:val="0"/>
    <w:pPr>
      <w:ind w:leftChars="1200" w:left="1200"/>
    </w:pPr>
  </w:style>
  <w:style w:type="paragraph" w:styleId="168">
    <w:name w:val="toc 7"/>
    <w:basedOn w:val="0"/>
    <w:autoRedefine/>
    <w:next w:val="0"/>
    <w:pPr>
      <w:ind w:leftChars="1200" w:left="1200"/>
    </w:pPr>
  </w:style>
  <w:style w:type="paragraph" w:styleId="169">
    <w:name w:val="envelope return"/>
    <w:basedOn w:val="0"/>
    <w:pPr>
      <w:snapToGrid w:val="0"/>
    </w:pPr>
    <w:rPr>
      <w:rFonts w:ascii="Cambria" w:eastAsia="宋体" w:cs="Times New Roman" w:hAnsi="Cambria"/>
    </w:rPr>
  </w:style>
  <w:style w:type="paragraph" w:styleId="170">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353</TotalTime>
  <Application>Yozo_Office</Application>
  <Pages>7</Pages>
  <Words>2687</Words>
  <Characters>2816</Characters>
  <Lines>444</Lines>
  <Paragraphs>313</Paragraphs>
  <CharactersWithSpaces>2816</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Microsoft</cp:lastModifiedBy>
  <cp:revision>4</cp:revision>
  <dcterms:created xsi:type="dcterms:W3CDTF">2017-11-20T02:14:00Z</dcterms:created>
  <dcterms:modified xsi:type="dcterms:W3CDTF">2026-01-26T09:00:37Z</dcterms:modified>
</cp:coreProperties>
</file>