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pacing w:line="580" w:lineRule="exact"/>
        <w:ind w:left="0"/>
        <w:jc w:val="center"/>
        <w:rPr>
          <w:rFonts w:ascii="方正小标宋_GBK" w:eastAsia="方正小标宋_GBK" w:cs="方正小标宋_GBK" w:hint="eastAsia"/>
          <w:color w:val="auto"/>
          <w:sz w:val="44"/>
          <w:szCs w:val="44"/>
          <w:lang w:bidi="ar-SA"/>
        </w:rPr>
      </w:pPr>
      <w:bookmarkStart w:id="0" w:name="_Hlk25540369"/>
      <w:bookmarkStart w:id="1" w:name="cogw__正文__file"/>
      <w:bookmarkStart w:id="2" w:name="_GoBack"/>
      <w:bookmarkEnd w:id="2"/>
      <w:r>
        <w:rPr>
          <w:rFonts w:ascii="方正小标宋_GBK" w:eastAsia="方正小标宋_GBK" w:cs="方正小标宋_GBK"/>
          <w:color w:val="auto"/>
          <w:sz w:val="44"/>
          <w:szCs w:val="44"/>
          <w:lang w:bidi="ar-SA"/>
        </w:rPr>
        <w:t>云浮</w:t>
      </w:r>
      <w:r>
        <w:rPr>
          <w:rFonts w:ascii="方正小标宋_GBK" w:eastAsia="方正小标宋_GBK" w:cs="方正小标宋_GBK" w:hint="eastAsia"/>
          <w:color w:val="auto"/>
          <w:sz w:val="44"/>
          <w:szCs w:val="44"/>
          <w:lang w:bidi="ar-SA"/>
        </w:rPr>
        <w:t>海关202</w:t>
      </w:r>
      <w:r>
        <w:rPr>
          <w:rFonts w:ascii="方正小标宋_GBK" w:eastAsia="方正小标宋_GBK" w:cs="方正小标宋_GBK"/>
          <w:color w:val="auto"/>
          <w:sz w:val="44"/>
          <w:szCs w:val="44"/>
          <w:lang w:bidi="ar-SA"/>
        </w:rPr>
        <w:t>5</w:t>
      </w:r>
      <w:r>
        <w:rPr>
          <w:rFonts w:ascii="方正小标宋_GBK" w:eastAsia="方正小标宋_GBK" w:cs="方正小标宋_GBK" w:hint="eastAsia"/>
          <w:color w:val="auto"/>
          <w:sz w:val="44"/>
          <w:szCs w:val="44"/>
          <w:lang w:bidi="ar-SA"/>
        </w:rPr>
        <w:t>年政府信息公开工作年度报告</w:t>
      </w:r>
      <w:bookmarkEnd w:id="0"/>
    </w:p>
    <w:p>
      <w:pPr>
        <w:pStyle w:val="25"/>
        <w:widowControl/>
        <w:shd w:val="clear" w:color="auto" w:fill="FFFFFF"/>
        <w:adjustRightInd w:val="0"/>
        <w:snapToGrid w:val="0"/>
        <w:spacing w:beforeAutospacing="0" w:afterAutospacing="0" w:line="560" w:lineRule="exact"/>
        <w:ind w:firstLine="0"/>
        <w:jc w:val="both"/>
        <w:rPr>
          <w:rFonts w:ascii="楷体_GB2312" w:eastAsia="楷体_GB2312" w:cs="楷体_GB2312" w:hint="eastAsia"/>
          <w:bCs/>
          <w:color w:val="auto"/>
          <w:sz w:val="32"/>
          <w:szCs w:val="32"/>
          <w:shd w:val="clear" w:color="auto" w:fill="FFFFFF"/>
          <w:lang w:bidi="ar-SA"/>
        </w:rPr>
      </w:pPr>
    </w:p>
    <w:p>
      <w:pPr>
        <w:pStyle w:val="29"/>
        <w:adjustRightInd w:val="0"/>
        <w:snapToGrid w:val="0"/>
        <w:spacing w:line="560" w:lineRule="exact"/>
        <w:ind w:firstLineChars="200" w:firstLine="640"/>
        <w:contextualSpacing w:val="0"/>
        <w:jc w:val="both"/>
        <w:rPr>
          <w:rFonts w:ascii="Times New Roman" w:eastAsia="方正仿宋_GBK" w:hAnsi="Times New Roman"/>
          <w:bCs/>
          <w:sz w:val="32"/>
          <w:szCs w:val="32"/>
        </w:rPr>
      </w:pPr>
      <w:r>
        <w:rPr>
          <w:rFonts w:ascii="Times New Roman" w:eastAsia="方正仿宋_GBK" w:hAnsi="Times New Roman"/>
          <w:bCs/>
          <w:sz w:val="32"/>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云浮海关2025年政府信息公开工作年报。年报中所列数据的统计期限，自2025年1月1日起至2025年12月31日止。如对本年报有疑问或有任何意见、建议，请联系云浮海关办公室。地址：广东省云浮市云城区世纪大道西117号，邮编：527300；电话：0766-8868919；电子邮箱：yfhgyw@customs.gov.cn。</w:t>
      </w: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hint="eastAsia"/>
          <w:bCs/>
          <w:color w:val="auto"/>
          <w:sz w:val="32"/>
          <w:szCs w:val="32"/>
          <w:lang w:bidi="ar-SA"/>
        </w:rPr>
      </w:pPr>
      <w:r>
        <w:rPr>
          <w:rFonts w:ascii="方正黑体_GBK" w:eastAsia="方正黑体_GBK" w:cs="楷体_GB2312" w:hint="eastAsia"/>
          <w:bCs/>
          <w:color w:val="auto"/>
          <w:sz w:val="32"/>
          <w:szCs w:val="32"/>
          <w:shd w:val="clear" w:color="auto" w:fill="FFFFFF"/>
          <w:lang w:bidi="ar-SA"/>
        </w:rPr>
        <w:t>一、总体情况</w:t>
      </w:r>
    </w:p>
    <w:p>
      <w:pPr>
        <w:pStyle w:val="7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2025年，云浮海关全面贯彻落实党的二十大和二十届历次全会精神，深入学习贯彻习近平总书记重要指示批示和给红其拉甫海关全体关员重要回信精神，严格执行《中华人民共和国政府信息公开条例》，进一步推进基层政务公开标准化规范化建设。现将工作情况报告如下：</w:t>
      </w:r>
    </w:p>
    <w:p>
      <w:pPr>
        <w:pStyle w:val="73"/>
        <w:spacing w:line="560" w:lineRule="exact"/>
        <w:ind w:firstLineChars="200" w:firstLine="640"/>
        <w:rPr>
          <w:rFonts w:ascii="方正楷体_GBK" w:eastAsia="方正楷体_GBK" w:hint="eastAsia"/>
          <w:b/>
          <w:bCs/>
          <w:sz w:val="32"/>
          <w:szCs w:val="32"/>
        </w:rPr>
      </w:pPr>
      <w:r>
        <w:rPr>
          <w:rFonts w:ascii="方正楷体_GBK" w:eastAsia="方正楷体_GBK" w:hint="eastAsia"/>
          <w:b/>
          <w:bCs/>
          <w:sz w:val="32"/>
          <w:szCs w:val="32"/>
        </w:rPr>
        <w:t>（一）主动公开情况。</w:t>
      </w:r>
    </w:p>
    <w:p>
      <w:pPr>
        <w:pStyle w:val="73"/>
        <w:spacing w:line="560" w:lineRule="exact"/>
        <w:ind w:firstLineChars="200" w:firstLine="640"/>
        <w:rPr>
          <w:rStyle w:val="0"/>
          <w:szCs w:val="32"/>
        </w:rPr>
      </w:pPr>
      <w:r>
        <w:rPr>
          <w:rStyle w:val="0"/>
          <w:szCs w:val="32"/>
        </w:rPr>
        <w:t>云浮海关严格按照政府信息公开有关要求，做好公开信息前置审核把关，及时通过广州海关互联网站、广州海关12360微信公众号公开政府信息公开工作年报、预决算、招投标、行政处罚等信息，方便群众及时查询了解。</w:t>
      </w:r>
    </w:p>
    <w:p>
      <w:pPr>
        <w:pStyle w:val="73"/>
        <w:spacing w:line="560" w:lineRule="exact"/>
        <w:ind w:firstLineChars="200" w:firstLine="640"/>
        <w:rPr>
          <w:rStyle w:val="0"/>
          <w:rFonts w:ascii="方正楷体_GBK" w:eastAsia="方正楷体_GBK" w:hint="eastAsia"/>
          <w:b/>
          <w:bCs/>
          <w:szCs w:val="32"/>
        </w:rPr>
      </w:pPr>
      <w:r>
        <w:rPr>
          <w:rFonts w:ascii="方正楷体_GBK" w:eastAsia="方正楷体_GBK" w:hint="eastAsia"/>
          <w:b/>
          <w:bCs/>
          <w:szCs w:val="32"/>
        </w:rPr>
        <w:t>（二）依</w:t>
      </w:r>
      <w:r>
        <w:rPr>
          <w:rStyle w:val="0"/>
          <w:rFonts w:ascii="方正楷体_GBK" w:eastAsia="方正楷体_GBK" w:hint="eastAsia"/>
          <w:b/>
          <w:bCs/>
          <w:szCs w:val="32"/>
        </w:rPr>
        <w:t>申请公开情况。</w:t>
      </w:r>
    </w:p>
    <w:p>
      <w:pPr>
        <w:pStyle w:val="73"/>
        <w:spacing w:line="560" w:lineRule="exact"/>
        <w:ind w:firstLineChars="200" w:firstLine="640"/>
        <w:rPr>
          <w:rStyle w:val="0"/>
          <w:szCs w:val="32"/>
        </w:rPr>
      </w:pPr>
      <w:r>
        <w:rPr>
          <w:rStyle w:val="231Char"/>
          <w:szCs w:val="32"/>
        </w:rPr>
        <w:t>为保障群众依法获取政府信息的权利，</w:t>
      </w:r>
      <w:r>
        <w:rPr>
          <w:rStyle w:val="0"/>
          <w:szCs w:val="32"/>
        </w:rPr>
        <w:t>云浮海关进一步规范依申请公开办理流程，强化经办人员业务能力，依法依规做好依申请公开答复。2025年，云浮海关收到政府信息公开申请2件，其中申请人撤销申请</w:t>
      </w:r>
      <w:r>
        <w:rPr>
          <w:rStyle w:val="228Char"/>
          <w:szCs w:val="32"/>
        </w:rPr>
        <w:t>1件</w:t>
      </w:r>
      <w:r>
        <w:rPr>
          <w:rStyle w:val="0"/>
          <w:szCs w:val="32"/>
        </w:rPr>
        <w:t>、予以公开1件，未发生因政府信息公开申请引发的行政复议、诉讼。</w:t>
      </w:r>
    </w:p>
    <w:p>
      <w:pPr>
        <w:pStyle w:val="73"/>
        <w:spacing w:line="560" w:lineRule="exact"/>
        <w:ind w:firstLineChars="200" w:firstLine="640"/>
        <w:rPr>
          <w:rStyle w:val="0"/>
          <w:rFonts w:ascii="方正楷体_GBK" w:eastAsia="方正楷体_GBK" w:hint="eastAsia"/>
          <w:b/>
          <w:bCs/>
          <w:szCs w:val="32"/>
        </w:rPr>
      </w:pPr>
      <w:r>
        <w:rPr>
          <w:rStyle w:val="0"/>
          <w:rFonts w:ascii="方正楷体_GBK" w:eastAsia="方正楷体_GBK" w:hint="eastAsia"/>
          <w:b/>
          <w:bCs/>
          <w:szCs w:val="32"/>
        </w:rPr>
        <w:t>（三）政府信息管理情况。</w:t>
      </w:r>
    </w:p>
    <w:p>
      <w:pPr>
        <w:pStyle w:val="73"/>
        <w:spacing w:line="560" w:lineRule="exact"/>
        <w:ind w:firstLineChars="200" w:firstLine="640"/>
        <w:rPr>
          <w:rStyle w:val="0"/>
          <w:rFonts w:hint="eastAsia"/>
          <w:szCs w:val="32"/>
        </w:rPr>
      </w:pPr>
      <w:r>
        <w:rPr>
          <w:rStyle w:val="0"/>
          <w:szCs w:val="32"/>
        </w:rPr>
        <w:t>云浮海关持续完善公开信息审核机制，对主动公开和依申请公开的信息均进行三级审核，同步做好保密审查，</w:t>
      </w:r>
      <w:r>
        <w:rPr>
          <w:rStyle w:val="233Char"/>
          <w:szCs w:val="32"/>
        </w:rPr>
        <w:t>定期组织对网站公开的信息进行自查，核查公开内容、时间等要素，</w:t>
      </w:r>
      <w:r>
        <w:rPr>
          <w:rStyle w:val="235Char"/>
          <w:szCs w:val="32"/>
        </w:rPr>
        <w:t>确保信息内容准确、规范。</w:t>
      </w:r>
    </w:p>
    <w:p>
      <w:pPr>
        <w:pStyle w:val="73"/>
        <w:spacing w:line="560" w:lineRule="exact"/>
        <w:ind w:firstLineChars="200" w:firstLine="640"/>
        <w:rPr>
          <w:rStyle w:val="0"/>
          <w:rFonts w:ascii="方正楷体_GBK" w:eastAsia="方正楷体_GBK" w:hint="eastAsia"/>
          <w:b/>
          <w:bCs/>
          <w:szCs w:val="32"/>
        </w:rPr>
      </w:pPr>
      <w:r>
        <w:rPr>
          <w:rStyle w:val="0"/>
          <w:rFonts w:ascii="方正楷体_GBK" w:eastAsia="方正楷体_GBK" w:hint="eastAsia"/>
          <w:b/>
          <w:bCs/>
          <w:szCs w:val="32"/>
        </w:rPr>
        <w:t>（四）公开平台建设情况。</w:t>
      </w:r>
    </w:p>
    <w:p>
      <w:pPr>
        <w:pStyle w:val="73"/>
        <w:spacing w:line="560" w:lineRule="exact"/>
        <w:ind w:firstLineChars="200" w:firstLine="640"/>
        <w:rPr>
          <w:rStyle w:val="0"/>
          <w:rFonts w:hint="eastAsia"/>
          <w:szCs w:val="32"/>
        </w:rPr>
      </w:pPr>
      <w:r>
        <w:rPr>
          <w:rStyle w:val="0"/>
          <w:szCs w:val="32"/>
        </w:rPr>
        <w:t>云浮海关深入推进</w:t>
      </w:r>
      <w:r>
        <w:rPr>
          <w:rStyle w:val="0"/>
          <w:rFonts w:hint="eastAsia"/>
          <w:szCs w:val="32"/>
        </w:rPr>
        <w:t>“</w:t>
      </w:r>
      <w:r>
        <w:rPr>
          <w:rStyle w:val="0"/>
          <w:szCs w:val="32"/>
        </w:rPr>
        <w:t>海关进企业、海关进社区、海关进校园</w:t>
      </w:r>
      <w:r>
        <w:rPr>
          <w:rStyle w:val="0"/>
          <w:rFonts w:hint="eastAsia"/>
          <w:szCs w:val="32"/>
        </w:rPr>
        <w:t>”——“三进”品牌建设，</w:t>
      </w:r>
      <w:r>
        <w:rPr>
          <w:rStyle w:val="0"/>
          <w:szCs w:val="32"/>
        </w:rPr>
        <w:t>大力推进海关政策宣讲力度，形成</w:t>
      </w:r>
      <w:r>
        <w:rPr>
          <w:rStyle w:val="0"/>
          <w:rFonts w:hint="eastAsia"/>
          <w:szCs w:val="32"/>
        </w:rPr>
        <w:t>“口岸+乡镇+商会”的多点</w:t>
      </w:r>
      <w:r>
        <w:rPr>
          <w:rStyle w:val="0"/>
          <w:szCs w:val="32"/>
        </w:rPr>
        <w:t>政策</w:t>
      </w:r>
      <w:r>
        <w:rPr>
          <w:rStyle w:val="0"/>
          <w:rFonts w:hint="eastAsia"/>
          <w:szCs w:val="32"/>
        </w:rPr>
        <w:t>宣讲格局</w:t>
      </w:r>
      <w:r>
        <w:rPr>
          <w:rStyle w:val="0"/>
          <w:szCs w:val="32"/>
        </w:rPr>
        <w:t>。在口岸，面向报关企业、重点进出口企业讲解</w:t>
      </w:r>
      <w:r>
        <w:rPr>
          <w:rStyle w:val="0"/>
          <w:rFonts w:hint="eastAsia"/>
          <w:szCs w:val="32"/>
        </w:rPr>
        <w:t>“</w:t>
      </w:r>
      <w:r>
        <w:rPr>
          <w:rStyle w:val="0"/>
          <w:szCs w:val="32"/>
        </w:rPr>
        <w:t>内河运费扣减</w:t>
      </w:r>
      <w:r>
        <w:rPr>
          <w:rStyle w:val="0"/>
          <w:rFonts w:hint="eastAsia"/>
          <w:szCs w:val="32"/>
        </w:rPr>
        <w:t>”“</w:t>
      </w:r>
      <w:r>
        <w:rPr>
          <w:rStyle w:val="0"/>
          <w:szCs w:val="32"/>
        </w:rPr>
        <w:t>船边直提</w:t>
      </w:r>
      <w:r>
        <w:rPr>
          <w:rStyle w:val="0"/>
          <w:rFonts w:hint="eastAsia"/>
          <w:szCs w:val="32"/>
        </w:rPr>
        <w:t>”“抵港直</w:t>
      </w:r>
      <w:r>
        <w:rPr>
          <w:rStyle w:val="0"/>
          <w:szCs w:val="32"/>
        </w:rPr>
        <w:t>装</w:t>
      </w:r>
      <w:r>
        <w:rPr>
          <w:rStyle w:val="0"/>
          <w:rFonts w:hint="eastAsia"/>
          <w:szCs w:val="32"/>
        </w:rPr>
        <w:t>”等</w:t>
      </w:r>
      <w:r>
        <w:rPr>
          <w:rStyle w:val="0"/>
          <w:szCs w:val="32"/>
        </w:rPr>
        <w:t>便利化通关措施，方便企业更便捷、更高效地办理口岸通关业务。在乡镇，开展</w:t>
      </w:r>
      <w:r>
        <w:rPr>
          <w:rStyle w:val="0"/>
          <w:rFonts w:hint="eastAsia"/>
          <w:szCs w:val="32"/>
        </w:rPr>
        <w:t>“RCEP政策宣讲</w:t>
      </w:r>
      <w:r>
        <w:rPr>
          <w:rStyle w:val="0"/>
          <w:szCs w:val="32"/>
        </w:rPr>
        <w:t>乡镇行、企业行</w:t>
      </w:r>
      <w:r>
        <w:rPr>
          <w:rStyle w:val="0"/>
          <w:rFonts w:hint="eastAsia"/>
          <w:szCs w:val="32"/>
        </w:rPr>
        <w:t>”活动，深入外贸企业集中的乡镇讲解RCEP等</w:t>
      </w:r>
      <w:r>
        <w:rPr>
          <w:rStyle w:val="0"/>
          <w:szCs w:val="32"/>
        </w:rPr>
        <w:t>税收优惠政策，指导企业开拓RCEP国家市场。在商会，组织开展针对单一商品的专项政策宣讲会，细化监管流程和具体要求，提高企业守法意识。同时，</w:t>
      </w:r>
      <w:r>
        <w:rPr>
          <w:rStyle w:val="0"/>
          <w:rFonts w:hint="eastAsia"/>
          <w:szCs w:val="32"/>
          <w:lang w:val="en-US" w:eastAsia="zh-CN"/>
        </w:rPr>
        <w:t>开展跨境电商海关宣讲“进校园”活动</w:t>
      </w:r>
      <w:r>
        <w:rPr>
          <w:rStyle w:val="0"/>
          <w:szCs w:val="32"/>
          <w:lang w:val="en-US" w:eastAsia="zh-CN"/>
        </w:rPr>
        <w:t>，</w:t>
      </w:r>
      <w:r>
        <w:rPr>
          <w:rStyle w:val="0"/>
          <w:rFonts w:hint="eastAsia"/>
          <w:szCs w:val="32"/>
          <w:lang w:val="en-US" w:eastAsia="zh-CN"/>
        </w:rPr>
        <w:t>为本地大中专院校跨境电商专业学生现场授课，</w:t>
      </w:r>
      <w:r>
        <w:rPr>
          <w:rStyle w:val="0"/>
          <w:szCs w:val="32"/>
          <w:lang w:val="en-US" w:eastAsia="zh-CN"/>
        </w:rPr>
        <w:t>助力本地外贸人才培育。</w:t>
      </w:r>
    </w:p>
    <w:p>
      <w:pPr>
        <w:pStyle w:val="73"/>
        <w:spacing w:line="560" w:lineRule="exact"/>
        <w:ind w:firstLineChars="200" w:firstLine="640"/>
        <w:rPr>
          <w:rStyle w:val="0"/>
          <w:rFonts w:ascii="方正楷体_GBK" w:eastAsia="方正楷体_GBK"/>
          <w:b/>
          <w:bCs/>
          <w:szCs w:val="32"/>
        </w:rPr>
      </w:pPr>
      <w:r>
        <w:rPr>
          <w:rStyle w:val="0"/>
          <w:rFonts w:ascii="方正楷体_GBK" w:eastAsia="方正楷体_GBK" w:hint="eastAsia"/>
          <w:b/>
          <w:bCs/>
          <w:szCs w:val="32"/>
        </w:rPr>
        <w:t>（五）监督保障情况。</w:t>
      </w:r>
    </w:p>
    <w:p>
      <w:pPr>
        <w:pStyle w:val="73"/>
        <w:spacing w:line="560" w:lineRule="exact"/>
        <w:ind w:firstLineChars="200" w:firstLine="640"/>
        <w:rPr>
          <w:rStyle w:val="0"/>
          <w:szCs w:val="32"/>
        </w:rPr>
      </w:pPr>
      <w:r>
        <w:rPr>
          <w:rStyle w:val="0"/>
          <w:szCs w:val="32"/>
        </w:rPr>
        <w:t>关领导高度重视政府信息公开工作，定期听取公开情况报告，对公开工作进行指导，布置政府信息公开专区优化工作。在与特约监督员沟通过程中，听取其对政府信息公开的意见，多渠道征集公众意见，持续改进政府信息公开工作。</w:t>
      </w:r>
    </w:p>
    <w:p>
      <w:pPr>
        <w:pStyle w:val="33"/>
        <w:adjustRightInd w:val="0"/>
        <w:snapToGrid w:val="0"/>
        <w:ind w:firstLineChars="200" w:firstLine="624"/>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本年</w:t>
            </w:r>
            <w:r>
              <w:rPr>
                <w:color w:val="auto"/>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本年废止件</w:t>
            </w:r>
            <w:r>
              <w:rPr>
                <w:color w:val="auto"/>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widowControl/>
              <w:jc w:val="center"/>
              <w:rPr>
                <w:color w:val="auto"/>
                <w:sz w:val="24"/>
                <w:szCs w:val="24"/>
              </w:rPr>
            </w:pPr>
            <w:r>
              <w:rPr>
                <w:rFonts w:ascii="宋体" w:cs="宋体" w:hint="eastAsia"/>
                <w:color w:val="auto"/>
                <w:kern w:val="0"/>
                <w:sz w:val="24"/>
                <w:szCs w:val="24"/>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color w:val="auto"/>
                <w:sz w:val="24"/>
                <w:szCs w:val="24"/>
              </w:rPr>
            </w:pPr>
            <w:r>
              <w:rPr>
                <w:rFonts w:ascii="宋体" w:cs="宋体" w:hint="eastAsia"/>
                <w:kern w:val="0"/>
                <w:sz w:val="24"/>
                <w:szCs w:val="24"/>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jc w:val="center"/>
              <w:rPr>
                <w:rFonts w:eastAsia="方正仿宋_GBK" w:cs="宋体"/>
                <w:sz w:val="24"/>
                <w:szCs w:val="24"/>
                <w:lang w:bidi="ar-SA"/>
              </w:rPr>
            </w:pPr>
            <w:r>
              <w:rPr>
                <w:rFonts w:eastAsia="方正仿宋_GBK" w:cs="宋体"/>
                <w:sz w:val="24"/>
                <w:szCs w:val="24"/>
                <w:lang w:bidi="ar-SA"/>
              </w:rPr>
              <w:t>0</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color w:val="auto"/>
                <w:sz w:val="24"/>
                <w:szCs w:val="24"/>
              </w:rPr>
            </w:pPr>
            <w:r>
              <w:rPr>
                <w:rFonts w:ascii="宋体" w:cs="宋体" w:hint="eastAsia"/>
                <w:kern w:val="0"/>
                <w:sz w:val="24"/>
                <w:szCs w:val="24"/>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
              <w:ind w:left="0" w:firstLine="0"/>
              <w:jc w:val="center"/>
            </w:pPr>
            <w:r>
              <w:rPr>
                <w:rFonts w:eastAsia="方正仿宋_GBK" w:cs="宋体"/>
                <w:sz w:val="24"/>
                <w:szCs w:val="24"/>
                <w:lang w:bidi="ar-SA"/>
              </w:rPr>
              <w:t>33</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4"/>
              <w:jc w:val="center"/>
              <w:rPr>
                <w:rFonts w:eastAsia="方正仿宋_GBK" w:cs="宋体"/>
                <w:sz w:val="24"/>
                <w:szCs w:val="24"/>
                <w:lang w:bidi="ar-SA"/>
              </w:rPr>
            </w:pPr>
            <w:r>
              <w:rPr>
                <w:rFonts w:eastAsia="方正仿宋_GBK" w:cs="宋体"/>
                <w:sz w:val="24"/>
                <w:szCs w:val="24"/>
                <w:lang w:bidi="ar-SA"/>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color w:val="auto"/>
                <w:sz w:val="24"/>
                <w:szCs w:val="24"/>
              </w:rPr>
            </w:pPr>
            <w:r>
              <w:rPr>
                <w:rFonts w:ascii="宋体" w:cs="宋体" w:hint="eastAsia"/>
                <w:kern w:val="0"/>
                <w:sz w:val="24"/>
                <w:szCs w:val="24"/>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9"/>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pPr>
            <w:r>
              <w:rPr>
                <w:rFonts w:ascii="宋体" w:cs="宋体" w:hint="eastAsia"/>
                <w:color w:val="auto"/>
                <w:kern w:val="0"/>
                <w:sz w:val="24"/>
                <w:szCs w:val="24"/>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8"/>
              <w:jc w:val="center"/>
              <w:rPr>
                <w:rFonts w:eastAsia="方正仿宋_GBK" w:cs="宋体"/>
                <w:sz w:val="24"/>
                <w:szCs w:val="24"/>
                <w:lang w:bidi="ar-SA"/>
              </w:rPr>
            </w:pPr>
            <w:r>
              <w:rPr>
                <w:rFonts w:eastAsia="方正仿宋_GBK" w:cs="宋体"/>
                <w:sz w:val="24"/>
                <w:szCs w:val="24"/>
                <w:lang w:bidi="ar-SA"/>
              </w:rPr>
              <w:t>0</w:t>
            </w:r>
          </w:p>
        </w:tc>
      </w:tr>
    </w:tbl>
    <w:p>
      <w:pPr>
        <w:pStyle w:val="16"/>
        <w:tabs>
          <w:tab w:val="center" w:pos="4153"/>
          <w:tab w:val="right" w:pos="8306"/>
        </w:tabs>
        <w:adjustRightInd/>
        <w:snapToGrid w:val="0"/>
        <w:contextualSpacing w:val="0"/>
      </w:pPr>
    </w:p>
    <w:p>
      <w:pPr>
        <w:pStyle w:val="25"/>
        <w:widowControl/>
        <w:shd w:val="clear" w:color="auto" w:fill="FFFFFF"/>
        <w:adjustRightInd w:val="0"/>
        <w:snapToGrid w:val="0"/>
        <w:spacing w:beforeAutospacing="0" w:afterLines="50" w:after="218" w:afterAutospacing="0" w:line="560" w:lineRule="exact"/>
        <w:ind w:left="0"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ascii="宋体" w:cs="宋体" w:hint="eastAsia"/>
                <w:color w:val="auto"/>
                <w:kern w:val="0"/>
                <w:sz w:val="20"/>
                <w:szCs w:val="20"/>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jc w:val="left"/>
              <w:rPr>
                <w:color w:val="auto"/>
                <w:sz w:val="24"/>
                <w:szCs w:val="24"/>
              </w:rPr>
            </w:pPr>
            <w:r>
              <w:rPr>
                <w:rFonts w:ascii="宋体" w:cs="宋体" w:hint="eastAsia"/>
                <w:color w:val="auto"/>
                <w:kern w:val="0"/>
                <w:sz w:val="24"/>
                <w:szCs w:val="24"/>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3"/>
              <w:jc w:val="center"/>
              <w:rPr>
                <w:rFonts w:eastAsia="方正仿宋_GBK"/>
                <w:sz w:val="24"/>
                <w:szCs w:val="24"/>
              </w:rPr>
            </w:pPr>
            <w:r>
              <w:rPr>
                <w:rFonts w:eastAsia="方正仿宋_GBK"/>
                <w:sz w:val="24"/>
                <w:szCs w:val="24"/>
              </w:rPr>
              <w:t>2</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jc w:val="left"/>
              <w:rPr>
                <w:color w:val="auto"/>
                <w:sz w:val="24"/>
                <w:szCs w:val="24"/>
              </w:rPr>
            </w:pPr>
            <w:r>
              <w:rPr>
                <w:rFonts w:ascii="宋体" w:cs="宋体" w:hint="eastAsia"/>
                <w:color w:val="auto"/>
                <w:kern w:val="0"/>
                <w:sz w:val="24"/>
                <w:szCs w:val="24"/>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4"/>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left"/>
              <w:rPr>
                <w:color w:val="auto"/>
                <w:sz w:val="24"/>
                <w:szCs w:val="24"/>
              </w:rPr>
            </w:pPr>
            <w:r>
              <w:rPr>
                <w:rFonts w:ascii="楷体" w:eastAsia="楷体" w:cs="楷体" w:hint="eastAsia"/>
                <w:color w:val="auto"/>
                <w:kern w:val="0"/>
                <w:sz w:val="24"/>
                <w:szCs w:val="24"/>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7"/>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5"/>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left"/>
              <w:rPr>
                <w:color w:val="auto"/>
                <w:sz w:val="24"/>
                <w:szCs w:val="24"/>
              </w:rPr>
            </w:pPr>
            <w:r>
              <w:rPr>
                <w:rFonts w:ascii="楷体" w:eastAsia="楷体" w:cs="楷体" w:hint="eastAsia"/>
                <w:color w:val="auto"/>
                <w:kern w:val="0"/>
                <w:sz w:val="24"/>
                <w:szCs w:val="24"/>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6"/>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6"/>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ascii="楷体" w:eastAsia="楷体" w:cs="楷体" w:hint="eastAsia"/>
                <w:kern w:val="0"/>
                <w:sz w:val="24"/>
                <w:szCs w:val="24"/>
                <w:lang w:bidi="ar-SA"/>
              </w:rPr>
            </w:pPr>
            <w:r>
              <w:rPr>
                <w:rFonts w:ascii="楷体" w:eastAsia="楷体" w:cs="楷体" w:hint="eastAsia"/>
                <w:kern w:val="0"/>
                <w:sz w:val="24"/>
                <w:szCs w:val="24"/>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ascii="楷体" w:eastAsia="楷体" w:cs="楷体" w:hint="eastAsia"/>
                <w:kern w:val="0"/>
                <w:sz w:val="24"/>
                <w:szCs w:val="24"/>
                <w:lang w:bidi="ar-SA"/>
              </w:rPr>
            </w:pPr>
            <w:r>
              <w:rPr>
                <w:rFonts w:ascii="楷体" w:eastAsia="楷体" w:cs="楷体" w:hint="eastAsia"/>
                <w:kern w:val="0"/>
                <w:sz w:val="24"/>
                <w:szCs w:val="24"/>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8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12"/>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ascii="楷体" w:eastAsia="楷体" w:cs="楷体" w:hint="eastAsia"/>
                <w:kern w:val="0"/>
                <w:sz w:val="24"/>
                <w:szCs w:val="24"/>
                <w:lang w:bidi="ar-SA"/>
              </w:rPr>
            </w:pPr>
            <w:r>
              <w:rPr>
                <w:rFonts w:ascii="楷体" w:eastAsia="楷体" w:cs="楷体" w:hint="eastAsia"/>
                <w:kern w:val="0"/>
                <w:sz w:val="24"/>
                <w:szCs w:val="24"/>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9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9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9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9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13"/>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ascii="楷体" w:eastAsia="楷体" w:cs="楷体" w:hint="eastAsia"/>
                <w:kern w:val="0"/>
                <w:sz w:val="24"/>
                <w:szCs w:val="24"/>
                <w:lang w:bidi="ar-SA"/>
              </w:rPr>
            </w:pPr>
            <w:r>
              <w:rPr>
                <w:rFonts w:ascii="楷体" w:eastAsia="楷体" w:cs="楷体" w:hint="eastAsia"/>
                <w:kern w:val="0"/>
                <w:sz w:val="24"/>
                <w:szCs w:val="24"/>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9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9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9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9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14"/>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ascii="楷体" w:eastAsia="楷体" w:cs="楷体" w:hint="eastAsia"/>
                <w:color w:val="auto"/>
                <w:kern w:val="0"/>
                <w:sz w:val="24"/>
                <w:szCs w:val="24"/>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jc w:val="center"/>
              <w:rPr>
                <w:rFonts w:eastAsia="方正仿宋_GBK"/>
                <w:sz w:val="24"/>
                <w:szCs w:val="24"/>
              </w:rPr>
            </w:pPr>
            <w:r>
              <w:rPr>
                <w:rFonts w:eastAsia="方正仿宋_GBK"/>
                <w:sz w:val="24"/>
                <w:szCs w:val="24"/>
              </w:rPr>
              <w:t>2</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left"/>
              <w:rPr>
                <w:color w:val="auto"/>
              </w:rPr>
            </w:pPr>
            <w:r>
              <w:rPr>
                <w:rFonts w:ascii="宋体" w:cs="宋体" w:hint="eastAsia"/>
                <w:color w:val="auto"/>
                <w:kern w:val="0"/>
                <w:sz w:val="24"/>
                <w:szCs w:val="24"/>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jc w:val="center"/>
              <w:rPr>
                <w:rFonts w:eastAsia="方正仿宋_GBK"/>
                <w:sz w:val="24"/>
                <w:szCs w:val="24"/>
              </w:rPr>
            </w:pPr>
            <w:r>
              <w:rPr>
                <w:rFonts w:eastAsia="方正仿宋_GBK"/>
                <w:sz w:val="24"/>
                <w:szCs w:val="24"/>
              </w:rPr>
              <w:t>0</w:t>
            </w:r>
          </w:p>
        </w:tc>
      </w:tr>
    </w:tbl>
    <w:p>
      <w:pPr>
        <w:pStyle w:val="25"/>
        <w:widowControl/>
        <w:shd w:val="clear" w:color="auto" w:fill="FFFFFF"/>
        <w:spacing w:beforeLines="50" w:before="218" w:beforeAutospacing="0" w:after="120" w:afterAutospacing="0"/>
        <w:ind w:firstLineChars="200" w:firstLine="640"/>
        <w:jc w:val="both"/>
        <w:rPr>
          <w:rFonts w:ascii="宋体" w:cs="宋体" w:hint="eastAsia"/>
          <w:color w:val="auto"/>
          <w:szCs w:val="24"/>
          <w:lang w:bidi="ar-SA"/>
        </w:rPr>
      </w:pPr>
      <w:r>
        <w:rPr>
          <w:rFonts w:ascii="方正黑体_GBK" w:eastAsia="方正黑体_GBK" w:cs="楷体_GB2312" w:hint="eastAsia"/>
          <w:bCs/>
          <w:color w:val="auto"/>
          <w:sz w:val="32"/>
          <w:szCs w:val="32"/>
          <w:shd w:val="clear" w:color="auto" w:fill="FFFFFF"/>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ascii="宋体" w:cs="宋体" w:hint="eastAsia"/>
                <w:color w:val="auto"/>
                <w:kern w:val="0"/>
                <w:sz w:val="24"/>
                <w:szCs w:val="24"/>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kern w:val="0"/>
                <w:sz w:val="28"/>
                <w:szCs w:val="28"/>
              </w:rPr>
            </w:pPr>
            <w:r>
              <w:rPr>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五、存在的主要问题及改进情况</w:t>
      </w:r>
    </w:p>
    <w:p>
      <w:pPr>
        <w:pStyle w:val="41"/>
        <w:adjustRightInd w:val="0"/>
        <w:snapToGrid w:val="0"/>
        <w:ind w:firstLineChars="200" w:firstLine="624"/>
        <w:rPr>
          <w:rFonts w:ascii="方正楷体_GBK" w:eastAsia="方正楷体_GBK"/>
          <w:b/>
          <w:bCs/>
        </w:rPr>
      </w:pPr>
      <w:r>
        <w:rPr>
          <w:rFonts w:ascii="方正楷体_GBK" w:eastAsia="方正楷体_GBK" w:hint="eastAsia"/>
          <w:b/>
          <w:bCs/>
        </w:rPr>
        <w:t>（一）202</w:t>
      </w:r>
      <w:r>
        <w:rPr>
          <w:rFonts w:ascii="方正楷体_GBK" w:eastAsia="方正楷体_GBK"/>
          <w:b/>
          <w:bCs/>
        </w:rPr>
        <w:t>4</w:t>
      </w:r>
      <w:r>
        <w:rPr>
          <w:rFonts w:ascii="方正楷体_GBK" w:eastAsia="方正楷体_GBK" w:hint="eastAsia"/>
          <w:b/>
          <w:bCs/>
        </w:rPr>
        <w:t>年年报中所提问题整改情况。</w:t>
      </w:r>
    </w:p>
    <w:p>
      <w:pPr>
        <w:pStyle w:val="41"/>
        <w:adjustRightInd w:val="0"/>
        <w:snapToGrid w:val="0"/>
        <w:ind w:firstLineChars="200" w:firstLine="624"/>
      </w:pPr>
      <w:r>
        <w:t>云浮海关2024年年报中提出以下问题：政策解读深度有待进一步加强，为企业提供定制化海关政策服务质效有待进一步提升。</w:t>
      </w:r>
    </w:p>
    <w:p>
      <w:pPr>
        <w:pStyle w:val="41"/>
        <w:adjustRightInd w:val="0"/>
        <w:snapToGrid w:val="0"/>
        <w:ind w:firstLineChars="200" w:firstLine="624"/>
      </w:pPr>
      <w:r>
        <w:t>上述问题在2025年均已采取措施完成整改：一是将政策解读与赴企调研相结合，深入落实</w:t>
      </w:r>
      <w:r>
        <w:rPr>
          <w:rFonts w:hint="eastAsia"/>
        </w:rPr>
        <w:t>“关长</w:t>
      </w:r>
      <w:r>
        <w:t>送政策上门</w:t>
      </w:r>
      <w:r>
        <w:rPr>
          <w:rFonts w:hint="eastAsia"/>
        </w:rPr>
        <w:t>”</w:t>
      </w:r>
      <w:r>
        <w:t>工作，在调研了解企业外贸情况同时，做好海关政策解读，一对一解答企业疑难，形成政务服务</w:t>
      </w:r>
      <w:r>
        <w:rPr>
          <w:rFonts w:hint="eastAsia"/>
        </w:rPr>
        <w:t>“点菜模式”</w:t>
      </w:r>
      <w:r>
        <w:t>。二是将政策解读与企业需求相结合，联合地方商会，分类别为企业送上专业化政策宣讲，例如举办了石材产业专项政策宣讲会，向石材进出口企业解读石材通关要求、石材常见违法类型及防范措施等，收到良好的政策宣传效果。</w:t>
      </w:r>
    </w:p>
    <w:p>
      <w:pPr>
        <w:pStyle w:val="34"/>
        <w:adjustRightInd w:val="0"/>
        <w:snapToGrid w:val="0"/>
        <w:ind w:firstLineChars="200" w:firstLine="624"/>
        <w:rPr>
          <w:rFonts w:ascii="方正楷体_GBK" w:eastAsia="方正楷体_GBK"/>
          <w:b/>
          <w:bCs/>
        </w:rPr>
      </w:pPr>
      <w:r>
        <w:rPr>
          <w:rFonts w:ascii="方正楷体_GBK" w:eastAsia="方正楷体_GBK" w:hint="eastAsia"/>
          <w:b/>
          <w:bCs/>
        </w:rPr>
        <w:t>（二）目前存在问题。</w:t>
      </w:r>
    </w:p>
    <w:p>
      <w:pPr>
        <w:pStyle w:val="41"/>
        <w:adjustRightInd w:val="0"/>
        <w:snapToGrid w:val="0"/>
        <w:ind w:firstLineChars="200" w:firstLine="624"/>
        <w:rPr>
          <w:rFonts w:cs="楷体_GB2312"/>
          <w:bCs/>
          <w:lang w:bidi="ar-SA"/>
        </w:rPr>
      </w:pPr>
      <w:r>
        <w:rPr>
          <w:rFonts w:cs="楷体_GB2312"/>
          <w:bCs/>
          <w:lang w:bidi="ar-SA"/>
        </w:rPr>
        <w:t>政府信息公开经办人员对相关政策理解不到位，出现信息公开时限方面问题，政府信息公开规范性仍有提升空间。</w:t>
      </w:r>
    </w:p>
    <w:p>
      <w:pPr>
        <w:pStyle w:val="25"/>
        <w:widowControl/>
        <w:shd w:val="clear" w:color="auto" w:fill="FFFFFF"/>
        <w:spacing w:beforeAutospacing="0" w:afterAutospacing="0" w:line="560" w:lineRule="exact"/>
        <w:ind w:firstLineChars="200" w:firstLine="640"/>
        <w:jc w:val="both"/>
        <w:rPr>
          <w:rFonts w:ascii="方正黑体_GBK" w:eastAsia="方正黑体_GBK" w:cs="楷体_GB2312" w:hint="eastAsia"/>
          <w:bCs/>
          <w:color w:val="auto"/>
          <w:sz w:val="32"/>
          <w:szCs w:val="32"/>
          <w:shd w:val="clear" w:color="auto" w:fill="FFFFFF"/>
          <w:lang w:bidi="ar-SA"/>
        </w:rPr>
      </w:pPr>
      <w:r>
        <w:rPr>
          <w:rFonts w:ascii="方正黑体_GBK" w:eastAsia="方正黑体_GBK" w:cs="楷体_GB2312" w:hint="eastAsia"/>
          <w:bCs/>
          <w:color w:val="auto"/>
          <w:sz w:val="32"/>
          <w:szCs w:val="32"/>
          <w:shd w:val="clear" w:color="auto" w:fill="FFFFFF"/>
          <w:lang w:bidi="ar-SA"/>
        </w:rPr>
        <w:t>六、其他需要报告的事项</w:t>
      </w:r>
      <w:bookmarkEnd w:id="1"/>
    </w:p>
    <w:p>
      <w:pPr>
        <w:pStyle w:val="41"/>
        <w:adjustRightInd w:val="0"/>
        <w:snapToGrid w:val="0"/>
        <w:ind w:firstLineChars="200" w:firstLine="624"/>
        <w:rPr>
          <w:rStyle w:val="0"/>
          <w:szCs w:val="20"/>
        </w:rPr>
      </w:pPr>
      <w:r>
        <w:rPr>
          <w:rStyle w:val="0"/>
          <w:szCs w:val="20"/>
        </w:rPr>
        <w:t>云浮海关严格按照《国务院办公厅关于印发〈政府信息公开信息处理费管理办法〉的通知》，规范政府信息公开信息处理费收取工作，2025年未收取政府信息公开信息处理费。</w:t>
      </w:r>
    </w:p>
    <w:p>
      <w:pPr>
        <w:pStyle w:val="41"/>
        <w:adjustRightInd w:val="0"/>
        <w:snapToGrid w:val="0"/>
        <w:ind w:firstLineChars="200" w:firstLine="624"/>
        <w:rPr>
          <w:rStyle w:val="0"/>
          <w:szCs w:val="20"/>
        </w:rPr>
      </w:pPr>
    </w:p>
    <w:p>
      <w:pPr>
        <w:pStyle w:val="16"/>
        <w:tabs>
          <w:tab w:val="center" w:pos="4153"/>
          <w:tab w:val="right" w:pos="8306"/>
        </w:tabs>
      </w:pP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楷体">
    <w:altName w:val="方正楷体_GBK"/>
    <w:panose1 w:val="02010609060101010101"/>
    <w:charset w:val="86"/>
    <w:family w:val="auto"/>
    <w:pitch w:val="variable"/>
    <w:sig w:usb0="800002BF" w:usb1="38CF7CFA" w:usb2="00000016" w:usb3="00000000" w:csb0="00040001" w:csb1="00000000"/>
  </w:font>
  <w:font w:name="黑体">
    <w:altName w:val="方正黑体_GBK"/>
    <w:panose1 w:val="00000000000000000000"/>
    <w:charset w:val="00"/>
    <w:family w:val="auto"/>
    <w:pitch w:val="variable"/>
    <w:sig w:usb0="00000000" w:usb1="00000000" w:usb2="00000000" w:usb3="00000000" w:csb0="00000000" w:csb1="00000000"/>
  </w:font>
  <w:font w:name="Calibri">
    <w:panose1 w:val="020F0502020204030204"/>
    <w:charset w:val="00"/>
    <w:family w:val="auto"/>
    <w:pitch w:val="variable"/>
    <w:sig w:usb0="E00002FF" w:usb1="4000ACFF" w:usb2="00000001" w:usb3="00000000" w:csb0="2000019F"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17"/>
      </w:rPr>
      <w:fldChar w:fldCharType="begin"/>
    </w:r>
    <w:r>
      <w:rPr>
        <w:rStyle w:val="17"/>
      </w:rPr>
      <w:instrText>Page</w:instrText>
    </w:r>
    <w:r>
      <w:rPr>
        <w:rStyle w:val="17"/>
      </w:rPr>
      <w:fldChar w:fldCharType="separate"/>
    </w:r>
    <w:r>
      <w:rPr>
        <w:rStyle w:val="17"/>
      </w:rPr>
      <w:t>- 1 -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17"/>
      </w:rPr>
      <w:fldChar w:fldCharType="begin"/>
    </w:r>
    <w:r>
      <w:rPr>
        <w:rStyle w:val="17"/>
      </w:rPr>
      <w:instrText>Page</w:instrText>
    </w:r>
    <w:r>
      <w:rPr>
        <w:rStyle w:val="17"/>
      </w:rPr>
      <w:fldChar w:fldCharType="separate"/>
    </w:r>
    <w:r>
      <w:rPr>
        <w:rStyle w:val="17"/>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0461ABA"/>
    <w:multiLevelType w:val="singleLevel"/>
    <w:tmpl w:val="00000000"/>
    <w:lvl w:ilvl="0">
      <w:start w:val="1"/>
      <w:numFmt w:val="decimal"/>
      <w:lvlRestart w:val="0"/>
      <w:pStyle w:val="52"/>
      <w:lvlText w:val="%1."/>
      <w:lvlJc w:val="left"/>
      <w:pPr>
        <w:tabs>
          <w:tab w:val="num" w:pos="780"/>
        </w:tabs>
        <w:ind w:left="780" w:hanging="360"/>
      </w:pPr>
    </w:lvl>
  </w:abstractNum>
  <w:abstractNum w:abstractNumId="1">
    <w:nsid w:val="3310ACDF"/>
    <w:multiLevelType w:val="singleLevel"/>
    <w:tmpl w:val="00000000"/>
    <w:lvl w:ilvl="0">
      <w:start w:val="1"/>
      <w:numFmt w:val="bullet"/>
      <w:lvlRestart w:val="0"/>
      <w:pStyle w:val="48"/>
      <w:lvlText w:val=""/>
      <w:lvlJc w:val="left"/>
      <w:pPr>
        <w:tabs>
          <w:tab w:val="num" w:pos="360"/>
        </w:tabs>
        <w:ind w:left="360" w:hanging="360"/>
      </w:pPr>
      <w:rPr>
        <w:rFonts w:ascii="Wingdings" w:hAnsi="Wingdings" w:hint="default"/>
      </w:rPr>
    </w:lvl>
  </w:abstractNum>
  <w:abstractNum w:abstractNumId="2">
    <w:nsid w:val="75B3518E"/>
    <w:multiLevelType w:val="singleLevel"/>
    <w:tmpl w:val="00000000"/>
    <w:lvl w:ilvl="0">
      <w:start w:val="1"/>
      <w:numFmt w:val="decimal"/>
      <w:lvlRestart w:val="0"/>
      <w:pStyle w:val="49"/>
      <w:lvlText w:val="%1."/>
      <w:lvlJc w:val="left"/>
      <w:pPr>
        <w:tabs>
          <w:tab w:val="num" w:pos="360"/>
        </w:tabs>
        <w:ind w:left="360" w:hanging="36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19">
    <w:name w:val="index 5"/>
    <w:basedOn w:val="0"/>
    <w:autoRedefine/>
    <w:next w:val="0"/>
    <w:pPr>
      <w:ind w:left="1680"/>
    </w:pPr>
    <w:rPr>
      <w:rFonts w:ascii="Times New Roman" w:eastAsia="宋体" w:cs="Times New Roman" w:hAnsi="Times New Roman"/>
      <w:lang w:val="en-US" w:eastAsia="zh-CN" w:bidi="ar-SA"/>
    </w:r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6">
    <w:name w:val="样式 1 三号"/>
    <w:next w:val="2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bdr w:val="none" w:sz="0" w:space="0" w:color="auto"/>
      <w:vertAlign w:val="baseline"/>
      <w:em w:val="none"/>
      <w:lang w:val="en-US" w:eastAsia="zh-CN" w:bidi="ar-SA"/>
    </w:rPr>
  </w:style>
  <w:style w:type="paragraph" w:customStyle="1" w:styleId="30">
    <w:name w:val="样式 6 小四"/>
    <w:next w:val="0"/>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1">
    <w:name w:val="样式 20 小四"/>
    <w:next w:val="19"/>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2">
    <w:name w:val="样式 12 三号"/>
    <w:next w:val="2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5">
    <w:name w:val="样式 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bdr w:val="none" w:sz="0" w:space="0" w:color="auto"/>
      <w:vertAlign w:val="baseline"/>
      <w:em w:val="none"/>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3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bdr w:val="none" w:sz="0" w:space="0" w:color="auto"/>
      <w:vertAlign w:val="baseline"/>
      <w:em w:val="none"/>
      <w:lang w:val="en-US" w:eastAsia="zh-CN" w:bidi="ar-SA"/>
    </w:rPr>
  </w:style>
  <w:style w:type="paragraph" w:styleId="51">
    <w:name w:val="List Number 2"/>
    <w:basedOn w:val="0"/>
    <w:pPr>
      <w:numPr>
        <w:ilvl w:val="0"/>
        <w:numId w:val="1"/>
      </w:numPr>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69">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22 小三"/>
    <w:pPr>
      <w:widowControl w:val="0"/>
      <w:jc w:val="both"/>
    </w:pPr>
    <w:rPr>
      <w:rFonts w:ascii="Times New Roman" w:eastAsia="宋体" w:cs="Times New Roman" w:hAnsi="Times New Roman"/>
      <w:kern w:val="2"/>
      <w:sz w:val="30"/>
      <w:szCs w:val="30"/>
      <w:lang w:val="en-US" w:eastAsia="zh-CN" w:bidi="ar-SA"/>
    </w:rPr>
  </w:style>
  <w:style w:type="paragraph" w:styleId="71">
    <w:name w:val="List Bullet"/>
    <w:basedOn w:val="0"/>
    <w:pPr>
      <w:numPr>
        <w:ilvl w:val="0"/>
        <w:numId w:val="2"/>
      </w:numPr>
    </w:pPr>
  </w:style>
  <w:style w:type="paragraph" w:styleId="72">
    <w:name w:val="List Number"/>
    <w:basedOn w:val="0"/>
    <w:pPr>
      <w:numPr>
        <w:ilvl w:val="0"/>
        <w:numId w:val="3"/>
      </w:numPr>
    </w:pPr>
  </w:style>
  <w:style w:type="paragraph" w:customStyle="1" w:styleId="73">
    <w:name w:val="样式 17 三号"/>
    <w:next w:val="7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4">
    <w:name w:val="样式 18 三号"/>
    <w:next w:val="72"/>
    <w:pPr>
      <w:widowControl w:val="0"/>
      <w:jc w:val="both"/>
    </w:pPr>
    <w:rPr>
      <w:rFonts w:ascii="Times New Roman" w:eastAsia="方正仿宋_GBK" w:cs="Times New Roman" w:hAnsi="Times New Roman"/>
      <w:kern w:val="2"/>
      <w:sz w:val="32"/>
      <w:szCs w:val="22"/>
      <w:lang w:val="en-US" w:eastAsia="zh-CN" w:bidi="ar-SA"/>
    </w:rPr>
  </w:style>
  <w:style w:type="paragraph" w:customStyle="1" w:styleId="75">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1 三号"/>
    <w:link w:val="228Char"/>
    <w:pPr>
      <w:widowControl w:val="0"/>
      <w:jc w:val="both"/>
    </w:pPr>
    <w:rPr>
      <w:rFonts w:ascii="Times New Roman" w:eastAsia="方正仿宋_GBK" w:cs="Times New Roman" w:hAnsi="Times New Roman"/>
      <w:kern w:val="2"/>
      <w:sz w:val="32"/>
      <w:szCs w:val="22"/>
      <w:lang w:val="en-US" w:eastAsia="zh-CN" w:bidi="ar-SA"/>
    </w:rPr>
  </w:style>
  <w:style w:type="character" w:customStyle="1" w:styleId="228Char">
    <w:name w:val="样式 11 三号 Char"/>
    <w:basedOn w:val="10"/>
    <w:link w:val="228"/>
    <w:rPr>
      <w:rFonts w:ascii="Times New Roman" w:eastAsia="方正仿宋_GBK" w:cs="Times New Roman" w:hAnsi="Times New Roman"/>
      <w:kern w:val="2"/>
      <w:sz w:val="32"/>
      <w:szCs w:val="22"/>
      <w:lang w:val="en-US" w:eastAsia="zh-CN" w:bidi="ar-SA"/>
    </w:rPr>
  </w:style>
  <w:style w:type="paragraph" w:customStyle="1" w:styleId="229">
    <w:name w:val="样式 14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0">
    <w:name w:val="样式 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231">
    <w:name w:val="样式 15 三号"/>
    <w:link w:val="231Char"/>
    <w:pPr>
      <w:widowControl w:val="0"/>
      <w:jc w:val="both"/>
    </w:pPr>
    <w:rPr>
      <w:rFonts w:ascii="Times New Roman" w:eastAsia="方正仿宋_GBK" w:cs="Times New Roman" w:hAnsi="Times New Roman"/>
      <w:kern w:val="2"/>
      <w:sz w:val="32"/>
      <w:szCs w:val="22"/>
      <w:lang w:val="en-US" w:eastAsia="zh-CN" w:bidi="ar-SA"/>
    </w:rPr>
  </w:style>
  <w:style w:type="character" w:customStyle="1" w:styleId="231Char">
    <w:name w:val="样式 15 三号 Char"/>
    <w:basedOn w:val="10"/>
    <w:link w:val="231"/>
    <w:rPr>
      <w:rFonts w:ascii="Times New Roman" w:eastAsia="方正仿宋_GBK" w:cs="Times New Roman" w:hAnsi="Times New Roman"/>
      <w:kern w:val="2"/>
      <w:sz w:val="32"/>
      <w:szCs w:val="22"/>
      <w:lang w:val="en-US" w:eastAsia="zh-CN" w:bidi="ar-SA"/>
    </w:rPr>
  </w:style>
  <w:style w:type="paragraph" w:customStyle="1" w:styleId="232">
    <w:name w:val="样式 16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3">
    <w:name w:val="样式 19 三号"/>
    <w:link w:val="233Char"/>
    <w:pPr>
      <w:widowControl w:val="0"/>
      <w:jc w:val="both"/>
    </w:pPr>
    <w:rPr>
      <w:rFonts w:ascii="Times New Roman" w:eastAsia="方正仿宋_GBK" w:cs="Times New Roman" w:hAnsi="Times New Roman"/>
      <w:kern w:val="2"/>
      <w:sz w:val="32"/>
      <w:szCs w:val="22"/>
      <w:lang w:val="en-US" w:eastAsia="zh-CN" w:bidi="ar-SA"/>
    </w:rPr>
  </w:style>
  <w:style w:type="character" w:customStyle="1" w:styleId="233Char">
    <w:name w:val="样式 19 三号 Char"/>
    <w:basedOn w:val="10"/>
    <w:link w:val="233"/>
    <w:rPr>
      <w:rFonts w:ascii="Times New Roman" w:eastAsia="方正仿宋_GBK" w:cs="Times New Roman" w:hAnsi="Times New Roman"/>
      <w:kern w:val="2"/>
      <w:sz w:val="32"/>
      <w:szCs w:val="22"/>
      <w:lang w:val="en-US" w:eastAsia="zh-CN" w:bidi="ar-SA"/>
    </w:rPr>
  </w:style>
  <w:style w:type="paragraph" w:customStyle="1" w:styleId="234">
    <w:name w:val="样式 20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35">
    <w:name w:val="样式 21 三号"/>
    <w:link w:val="235Char"/>
    <w:pPr>
      <w:widowControl w:val="0"/>
      <w:jc w:val="both"/>
    </w:pPr>
    <w:rPr>
      <w:rFonts w:ascii="Times New Roman" w:eastAsia="方正仿宋_GBK" w:cs="Times New Roman" w:hAnsi="Times New Roman"/>
      <w:kern w:val="2"/>
      <w:sz w:val="32"/>
      <w:szCs w:val="22"/>
      <w:lang w:val="en-US" w:eastAsia="zh-CN" w:bidi="ar-SA"/>
    </w:rPr>
  </w:style>
  <w:style w:type="character" w:customStyle="1" w:styleId="235Char">
    <w:name w:val="样式 21 三号 Char"/>
    <w:basedOn w:val="10"/>
    <w:link w:val="235"/>
    <w:rPr>
      <w:rFonts w:ascii="Times New Roman" w:eastAsia="方正仿宋_GBK" w:cs="Times New Roman" w:hAnsi="Times New Roman"/>
      <w:kern w:val="2"/>
      <w:sz w:val="32"/>
      <w:szCs w:val="22"/>
      <w:lang w:val="en-US" w:eastAsia="zh-CN" w:bidi="ar-SA"/>
    </w:rPr>
  </w:style>
  <w:style w:type="paragraph" w:customStyle="1" w:styleId="236">
    <w:name w:val="样式 22 三号"/>
    <w:pPr>
      <w:widowControl w:val="0"/>
      <w:spacing w:line="240" w:lineRule="auto"/>
      <w:jc w:val="both"/>
    </w:pPr>
    <w:rPr>
      <w:rFonts w:ascii="Times New Roman" w:eastAsia="方正仿宋_GBK" w:cs="Times New Roman" w:hAnsi="Times New Roman"/>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940</TotalTime>
  <Application>Yozo_Office</Application>
  <Pages>7</Pages>
  <Words>2474</Words>
  <Characters>2580</Characters>
  <Lines>436</Lines>
  <Paragraphs>312</Paragraphs>
  <CharactersWithSpaces>2580</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58</cp:revision>
  <cp:lastPrinted>2020-01-22T00:43:00Z</cp:lastPrinted>
  <dcterms:created xsi:type="dcterms:W3CDTF">2008-05-09T07:46:00Z</dcterms:created>
  <dcterms:modified xsi:type="dcterms:W3CDTF">2026-01-26T01:10:34Z</dcterms:modified>
</cp:coreProperties>
</file>