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djustRightInd w:val="0"/>
        <w:snapToGrid w:val="0"/>
        <w:spacing w:line="360" w:lineRule="auto"/>
        <w:rPr>
          <w:rFonts w:ascii="宋体" w:hint="eastAsia"/>
          <w:sz w:val="24"/>
          <w:szCs w:val="24"/>
        </w:rPr>
      </w:pPr>
      <w:r>
        <w:rPr>
          <w:rFonts w:ascii="宋体" w:hint="eastAsia"/>
          <w:sz w:val="24"/>
          <w:szCs w:val="24"/>
        </w:rPr>
        <w:t>附件5</w:t>
      </w:r>
    </w:p>
    <w:p>
      <w:pPr>
        <w:adjustRightInd w:val="0"/>
        <w:snapToGrid w:val="0"/>
        <w:spacing w:line="360" w:lineRule="auto"/>
        <w:rPr>
          <w:rFonts w:ascii="宋体" w:hint="eastAsia"/>
          <w:sz w:val="24"/>
          <w:szCs w:val="24"/>
        </w:rPr>
      </w:pPr>
      <w:r>
        <w:rPr>
          <w:rFonts w:ascii="宋体" w:hint="eastAsia"/>
          <w:sz w:val="24"/>
          <w:szCs w:val="24"/>
        </w:rPr>
        <w:t xml:space="preserve"> </w:t>
      </w:r>
    </w:p>
    <w:p>
      <w:pPr>
        <w:adjustRightInd w:val="0"/>
        <w:snapToGrid w:val="0"/>
        <w:spacing w:line="360" w:lineRule="auto"/>
        <w:jc w:val="center"/>
        <w:rPr>
          <w:rFonts w:ascii="宋体" w:hint="eastAsia"/>
          <w:b/>
          <w:sz w:val="24"/>
          <w:szCs w:val="24"/>
        </w:rPr>
      </w:pPr>
      <w:r>
        <w:rPr>
          <w:rFonts w:ascii="宋体" w:hint="eastAsia"/>
          <w:b/>
          <w:sz w:val="24"/>
          <w:szCs w:val="24"/>
        </w:rPr>
        <w:t>出入境特殊物品卫生检疫审批申请单样表</w:t>
      </w:r>
    </w:p>
    <w:p>
      <w:pPr>
        <w:adjustRightInd w:val="0"/>
        <w:snapToGrid w:val="0"/>
        <w:spacing w:line="360" w:lineRule="auto"/>
        <w:rPr>
          <w:rFonts w:ascii="宋体" w:hint="eastAsia"/>
          <w:sz w:val="24"/>
          <w:szCs w:val="24"/>
        </w:rPr>
      </w:pPr>
      <w:r>
        <w:rPr>
          <w:rFonts w:ascii="宋体" w:hint="eastAsia"/>
          <w:sz w:val="24"/>
          <w:szCs w:val="24"/>
        </w:rPr>
        <w:t xml:space="preserve"> </w:t>
      </w:r>
    </w:p>
    <w:p>
      <w:pPr>
        <w:adjustRightInd w:val="0"/>
        <w:snapToGrid w:val="0"/>
        <w:spacing w:line="360" w:lineRule="auto"/>
        <w:rPr>
          <w:rFonts w:ascii="宋体" w:hint="eastAsia"/>
          <w:b/>
          <w:sz w:val="24"/>
          <w:szCs w:val="24"/>
        </w:rPr>
      </w:pPr>
      <w:r>
        <w:rPr>
          <w:rFonts w:ascii="宋体" w:hint="eastAsia"/>
          <w:sz w:val="24"/>
          <w:szCs w:val="24"/>
        </w:rPr>
        <w:drawing>
          <wp:inline distT="0" distB="0" distL="114298" distR="114298">
            <wp:extent cx="5276850" cy="2600325"/>
            <wp:effectExtent l="0" t="0" r="0" b="0"/>
            <wp:docPr id="1" name="图片 1"/>
            <wp:cNvGraphicFramePr>
              <a:graphicFrameLocks noChangeAspect="1"/>
            </wp:cNvGraphicFramePr>
            <a:graphic>
              <a:graphicData uri="http://schemas.openxmlformats.org/drawingml/2006/picture">
                <pic:pic>
                  <pic:nvPicPr>
                    <pic:cNvPr id="3" name="图片 3"/>
                    <pic:cNvPicPr/>
                  </pic:nvPicPr>
                  <pic:blipFill>
                    <a:blip r:embed="rId3"/>
                    <a:stretch>
                      <a:fillRect/>
                    </a:stretch>
                  </pic:blipFill>
                  <pic:spPr>
                    <a:xfrm rot="0">
                      <a:off x="0" y="0"/>
                      <a:ext cx="5276850" cy="2600325"/>
                    </a:xfrm>
                    <a:prstGeom prst="rect"/>
                    <a:noFill/>
                    <a:ln w="9525" cmpd="sng" cap="flat">
                      <a:noFill/>
                      <a:prstDash val="solid"/>
                      <a:miter/>
                    </a:ln>
                  </pic:spPr>
                </pic:pic>
              </a:graphicData>
            </a:graphic>
          </wp:inline>
        </w:drawing>
      </w:r>
      <w:r>
        <w:rPr>
          <w:rFonts w:ascii="宋体" w:hint="eastAsia"/>
          <w:sz w:val="24"/>
          <w:szCs w:val="24"/>
        </w:rPr>
        <w:t xml:space="preserve">  </w:t>
      </w:r>
      <w:r>
        <w:rPr>
          <w:rFonts w:ascii="宋体" w:hint="eastAsia"/>
          <w:b/>
          <w:sz w:val="24"/>
          <w:szCs w:val="24"/>
        </w:rPr>
        <w:t xml:space="preserve">    填写说明：</w:t>
      </w:r>
    </w:p>
    <w:p>
      <w:pPr>
        <w:adjustRightInd w:val="0"/>
        <w:snapToGrid w:val="0"/>
        <w:spacing w:line="360" w:lineRule="auto"/>
        <w:rPr>
          <w:rFonts w:ascii="宋体" w:hint="eastAsia"/>
          <w:sz w:val="24"/>
          <w:szCs w:val="24"/>
        </w:rPr>
      </w:pPr>
      <w:r>
        <w:rPr>
          <w:rFonts w:ascii="宋体" w:hint="eastAsia"/>
          <w:sz w:val="24"/>
          <w:szCs w:val="24"/>
        </w:rPr>
        <w:t xml:space="preserve">    根据网站申请表必填项提示及下拉菜单，填写或选择申请内容，根据进出口产品种类选择相应的随附文件。</w:t>
      </w:r>
    </w:p>
    <w:p>
      <w:pPr>
        <w:adjustRightInd w:val="0"/>
        <w:snapToGrid w:val="0"/>
        <w:spacing w:line="360" w:lineRule="auto"/>
        <w:ind w:firstLineChars="150" w:firstLine="519"/>
        <w:rPr>
          <w:rFonts w:ascii="宋体" w:hint="eastAsia"/>
          <w:sz w:val="24"/>
          <w:szCs w:val="24"/>
        </w:rPr>
      </w:pPr>
      <w:r>
        <w:rPr>
          <w:rFonts w:ascii="宋体" w:hint="eastAsia"/>
          <w:sz w:val="24"/>
          <w:szCs w:val="24"/>
        </w:rPr>
        <w:t>“数量”指特殊物品的最小包装单位数量，如疫苗的最小包装单位为“支”，细胞的最小单位为“株”，选择下拉菜单的相应内容，如下拉菜单中无对应单位可选“其他”并在备注中详细说明。</w:t>
      </w:r>
    </w:p>
    <w:p>
      <w:pPr>
        <w:adjustRightInd w:val="0"/>
        <w:snapToGrid w:val="0"/>
        <w:spacing w:line="360" w:lineRule="auto"/>
        <w:ind w:firstLineChars="150" w:firstLine="519"/>
        <w:rPr>
          <w:rFonts w:ascii="宋体" w:hint="eastAsia"/>
          <w:sz w:val="24"/>
          <w:szCs w:val="24"/>
        </w:rPr>
      </w:pPr>
      <w:r>
        <w:rPr>
          <w:rFonts w:ascii="宋体" w:hint="eastAsia"/>
          <w:sz w:val="24"/>
          <w:szCs w:val="24"/>
        </w:rPr>
        <w:t>“总货值”以美元计算，如该批货物的价值是以其它币种，请以申报日汇率折算成美元；如该批货物为非贸易性质，则在该栏中填“0”。</w:t>
      </w:r>
    </w:p>
    <w:p>
      <w:pPr>
        <w:adjustRightInd w:val="0"/>
        <w:snapToGrid w:val="0"/>
        <w:spacing w:line="360" w:lineRule="auto"/>
        <w:ind w:firstLineChars="200" w:firstLine="692"/>
        <w:rPr>
          <w:rFonts w:ascii="宋体" w:hint="eastAsia"/>
          <w:sz w:val="24"/>
          <w:szCs w:val="24"/>
        </w:rPr>
      </w:pPr>
      <w:r>
        <w:rPr>
          <w:rFonts w:ascii="宋体" w:hint="eastAsia"/>
          <w:sz w:val="24"/>
          <w:szCs w:val="24"/>
        </w:rPr>
        <w:t>由于“出入境口岸”有临时变动的可能，此项在核销时填写。若为出境则选择办理出境特殊物品申报的隶属海关，若为入境则选择首次抵达地的隶属海关。</w:t>
      </w:r>
    </w:p>
    <w:p>
      <w:pPr>
        <w:adjustRightInd w:val="0"/>
        <w:snapToGrid w:val="0"/>
        <w:spacing w:line="360" w:lineRule="auto"/>
        <w:ind w:firstLineChars="200" w:firstLine="692"/>
        <w:rPr>
          <w:rFonts w:ascii="宋体" w:hint="eastAsia"/>
          <w:sz w:val="24"/>
          <w:szCs w:val="24"/>
        </w:rPr>
      </w:pPr>
      <w:r>
        <w:rPr>
          <w:rFonts w:ascii="宋体" w:hint="eastAsia"/>
          <w:sz w:val="24"/>
          <w:szCs w:val="24"/>
        </w:rPr>
        <w:t>如果D级产品药监局证书截止日期为红色，代表该产品已过期，注册证已过期的产品，如生产日期在注册证有效期内的，仍可申报审批。</w:t>
      </w:r>
    </w:p>
    <w:p>
      <w:pPr>
        <w:adjustRightInd w:val="0"/>
        <w:snapToGrid w:val="0"/>
        <w:spacing w:line="360" w:lineRule="auto"/>
        <w:ind w:firstLineChars="200" w:firstLine="692"/>
        <w:rPr>
          <w:rFonts w:ascii="宋体" w:hint="eastAsia"/>
          <w:b/>
          <w:sz w:val="24"/>
          <w:szCs w:val="24"/>
        </w:rPr>
      </w:pPr>
      <w:r>
        <w:rPr>
          <w:rFonts w:ascii="宋体" w:hint="eastAsia"/>
          <w:b/>
          <w:kern w:val="0"/>
          <w:sz w:val="24"/>
          <w:szCs w:val="24"/>
        </w:rPr>
        <w:t>错误示例：</w:t>
      </w:r>
    </w:p>
    <w:p>
      <w:pPr>
        <w:widowControl/>
        <w:adjustRightInd w:val="0"/>
        <w:snapToGrid w:val="0"/>
        <w:spacing w:line="360" w:lineRule="auto"/>
        <w:ind w:firstLineChars="200" w:firstLine="692"/>
        <w:jc w:val="left"/>
        <w:rPr>
          <w:rFonts w:ascii="宋体" w:cs="黑体" w:hint="eastAsia"/>
          <w:sz w:val="24"/>
          <w:szCs w:val="24"/>
        </w:rPr>
      </w:pPr>
      <w:r>
        <w:rPr>
          <w:rFonts w:ascii="宋体" w:hint="eastAsia"/>
          <w:kern w:val="0"/>
          <w:sz w:val="24"/>
          <w:szCs w:val="24"/>
        </w:rPr>
        <w:t>1.按要求应上传的文件未上传。</w:t>
      </w:r>
      <w:r>
        <w:rPr>
          <w:rFonts w:ascii="宋体" w:cs="黑体" w:hint="eastAsia"/>
          <w:sz w:val="24"/>
          <w:szCs w:val="24"/>
        </w:rPr>
        <w:t>例如: 出境科研合作用途的人血清样本应上传人类遗传资源管理部门出具的批准文件，未上传。</w:t>
      </w:r>
    </w:p>
    <w:p>
      <w:pPr>
        <w:widowControl/>
        <w:adjustRightInd w:val="0"/>
        <w:snapToGrid w:val="0"/>
        <w:spacing w:line="360" w:lineRule="auto"/>
        <w:ind w:firstLineChars="200" w:firstLine="692"/>
        <w:jc w:val="left"/>
        <w:rPr>
          <w:rFonts w:ascii="宋体" w:cs="黑体" w:hint="eastAsia"/>
          <w:sz w:val="24"/>
          <w:szCs w:val="24"/>
        </w:rPr>
      </w:pPr>
      <w:r>
        <w:rPr>
          <w:rFonts w:ascii="宋体" w:hint="eastAsia"/>
          <w:kern w:val="0"/>
          <w:sz w:val="24"/>
          <w:szCs w:val="24"/>
        </w:rPr>
        <w:t>2.出入境特殊物品描述性材料不完整、不详细或不准确，导致审批人员无法识别产品风险。</w:t>
      </w:r>
      <w:r>
        <w:rPr>
          <w:rFonts w:ascii="宋体" w:cs="黑体" w:hint="eastAsia"/>
          <w:sz w:val="24"/>
          <w:szCs w:val="24"/>
        </w:rPr>
        <w:t>例如：用途仅写科研，科研方向、科研内容、科研目的等不明确；产品略去了核心生物成份等。</w:t>
      </w:r>
    </w:p>
    <w:p>
      <w:pPr>
        <w:widowControl/>
        <w:adjustRightInd w:val="0"/>
        <w:snapToGrid w:val="0"/>
        <w:spacing w:line="360" w:lineRule="auto"/>
        <w:ind w:firstLineChars="200" w:firstLine="692"/>
        <w:jc w:val="left"/>
        <w:rPr>
          <w:rFonts w:ascii="宋体" w:hint="eastAsia"/>
          <w:kern w:val="0"/>
          <w:sz w:val="24"/>
          <w:szCs w:val="24"/>
        </w:rPr>
      </w:pPr>
      <w:r>
        <w:rPr>
          <w:rFonts w:ascii="宋体" w:hint="eastAsia"/>
          <w:kern w:val="0"/>
          <w:sz w:val="24"/>
          <w:szCs w:val="24"/>
        </w:rPr>
        <w:t>3.单位信息有变更，未及时更新。</w:t>
      </w:r>
      <w:r>
        <w:rPr>
          <w:rFonts w:ascii="宋体" w:cs="黑体" w:hint="eastAsia"/>
          <w:sz w:val="24"/>
          <w:szCs w:val="24"/>
        </w:rPr>
        <w:t>例如：更换了联系人、单位地址等。</w:t>
      </w:r>
    </w:p>
    <w:p>
      <w:pPr>
        <w:widowControl/>
        <w:adjustRightInd w:val="0"/>
        <w:snapToGrid w:val="0"/>
        <w:spacing w:line="360" w:lineRule="auto"/>
        <w:ind w:firstLineChars="200" w:firstLine="692"/>
        <w:jc w:val="left"/>
        <w:rPr>
          <w:rFonts w:ascii="宋体" w:hint="eastAsia"/>
          <w:kern w:val="0"/>
          <w:sz w:val="24"/>
          <w:szCs w:val="24"/>
        </w:rPr>
      </w:pPr>
      <w:r>
        <w:rPr>
          <w:rFonts w:ascii="宋体" w:hint="eastAsia"/>
          <w:b/>
          <w:sz w:val="24"/>
          <w:szCs w:val="24"/>
        </w:rPr>
        <w:t>常见问题解答</w:t>
      </w:r>
    </w:p>
    <w:p>
      <w:pPr>
        <w:adjustRightInd w:val="0"/>
        <w:snapToGrid w:val="0"/>
        <w:spacing w:line="360" w:lineRule="auto"/>
        <w:ind w:firstLineChars="200" w:firstLine="692"/>
        <w:rPr>
          <w:rFonts w:ascii="宋体" w:hint="eastAsia"/>
          <w:kern w:val="0"/>
          <w:sz w:val="24"/>
          <w:szCs w:val="24"/>
        </w:rPr>
      </w:pPr>
      <w:r>
        <w:rPr>
          <w:rFonts w:ascii="宋体" w:hint="eastAsia"/>
          <w:kern w:val="0"/>
          <w:sz w:val="24"/>
          <w:szCs w:val="24"/>
        </w:rPr>
        <w:t>1.哪些属于特殊物品，出入境前需要提前办理审批单？</w:t>
      </w:r>
    </w:p>
    <w:p>
      <w:pPr>
        <w:adjustRightInd w:val="0"/>
        <w:snapToGrid w:val="0"/>
        <w:spacing w:line="360" w:lineRule="auto"/>
        <w:ind w:firstLineChars="200" w:firstLine="692"/>
        <w:rPr>
          <w:rFonts w:ascii="宋体" w:hint="eastAsia"/>
          <w:sz w:val="24"/>
          <w:szCs w:val="24"/>
        </w:rPr>
      </w:pPr>
      <w:r>
        <w:rPr>
          <w:rFonts w:ascii="宋体" w:hint="eastAsia"/>
          <w:sz w:val="24"/>
          <w:szCs w:val="24"/>
        </w:rPr>
        <w:t>答：特殊物品包括微生物、人体组织、生物制品、血液及其制品四大类别。微生物是指病毒、细菌、真菌、放线菌、立克次氏体、螺旋体、衣原体、支原体等医学微生物菌（毒）种及样本以及寄生虫、环保微生物菌剂。人体组织是指人体细胞、细胞系、胚胎、器官、组织、骨髓、分泌物、排泄物等。生物制品是指用于人类医学、生命科学相关领域的疫苗、抗毒素、诊断用试剂、细胞因子、酶及其制剂以及毒素、抗原、变态反应原、抗体、抗原-抗体复合物、核酸、免疫调节剂、微生态制剂等生物活性制剂。血液及其制品是指人类的全血、血浆成分和特殊血液成分及各种人类血浆蛋白制品。</w:t>
      </w:r>
    </w:p>
    <w:p>
      <w:pPr>
        <w:adjustRightInd w:val="0"/>
        <w:snapToGrid w:val="0"/>
        <w:spacing w:line="360" w:lineRule="auto"/>
        <w:ind w:firstLineChars="200" w:firstLine="692"/>
        <w:rPr>
          <w:rFonts w:ascii="宋体" w:hint="eastAsia"/>
          <w:kern w:val="0"/>
          <w:sz w:val="24"/>
          <w:szCs w:val="24"/>
        </w:rPr>
      </w:pPr>
      <w:r>
        <w:rPr>
          <w:rFonts w:ascii="宋体" w:hint="eastAsia"/>
          <w:kern w:val="0"/>
          <w:sz w:val="24"/>
          <w:szCs w:val="24"/>
        </w:rPr>
        <w:t>2.以携带方式出入境的特殊物品如何办理通关手续？</w:t>
      </w:r>
    </w:p>
    <w:p>
      <w:pPr>
        <w:adjustRightInd w:val="0"/>
        <w:snapToGrid w:val="0"/>
        <w:spacing w:line="360" w:lineRule="auto"/>
        <w:ind w:firstLineChars="200" w:firstLine="692"/>
        <w:rPr>
          <w:rFonts w:ascii="宋体" w:hint="eastAsia"/>
          <w:sz w:val="24"/>
          <w:szCs w:val="24"/>
        </w:rPr>
      </w:pPr>
      <w:r>
        <w:rPr>
          <w:rFonts w:ascii="宋体" w:hint="eastAsia"/>
          <w:sz w:val="24"/>
          <w:szCs w:val="24"/>
        </w:rPr>
        <w:t>答：携带特殊物品的旅客将提前取得的特殊物品审批单直接交给现场值班的海关关员即可，核查符合检验检疫要求的予以放行，未取得审批单或货证不符的现场将予以截留，截留期限不超过7天。若7天内未能特殊物品审批单或检疫查验不合格，将予以退运或销毁。</w:t>
      </w:r>
    </w:p>
    <w:p>
      <w:pPr>
        <w:adjustRightInd w:val="0"/>
        <w:snapToGrid w:val="0"/>
        <w:spacing w:line="360" w:lineRule="auto"/>
        <w:ind w:firstLineChars="200" w:firstLine="692"/>
        <w:rPr>
          <w:rFonts w:ascii="宋体" w:hint="eastAsia"/>
          <w:kern w:val="0"/>
          <w:sz w:val="24"/>
          <w:szCs w:val="24"/>
        </w:rPr>
      </w:pPr>
      <w:r>
        <w:rPr>
          <w:rFonts w:ascii="宋体" w:hint="eastAsia"/>
          <w:kern w:val="0"/>
          <w:sz w:val="24"/>
          <w:szCs w:val="24"/>
        </w:rPr>
        <w:t>携带自用且仅限于预防或者治疗疾病用的血液制品或者生物制品出入境的，不需办理卫生检疫审批手续，出入境时应当向海关出示医院的有关证明；允许携带量以处方或者说明书确定的一个疗程为限。</w:t>
      </w:r>
    </w:p>
    <w:p>
      <w:pPr>
        <w:adjustRightInd w:val="0"/>
        <w:snapToGrid w:val="0"/>
        <w:spacing w:line="360" w:lineRule="auto"/>
        <w:ind w:firstLineChars="200" w:firstLine="692"/>
        <w:rPr>
          <w:rFonts w:ascii="宋体" w:hint="eastAsia"/>
          <w:kern w:val="0"/>
          <w:sz w:val="24"/>
          <w:szCs w:val="24"/>
        </w:rPr>
      </w:pPr>
      <w:r>
        <w:rPr>
          <w:rFonts w:ascii="宋体" w:hint="eastAsia"/>
          <w:kern w:val="0"/>
          <w:sz w:val="24"/>
          <w:szCs w:val="24"/>
        </w:rPr>
        <w:t>3.特殊物品分为哪几个风险等级？</w:t>
      </w:r>
    </w:p>
    <w:p>
      <w:pPr>
        <w:adjustRightInd w:val="0"/>
        <w:snapToGrid w:val="0"/>
        <w:spacing w:line="360" w:lineRule="auto"/>
        <w:ind w:firstLineChars="200" w:firstLine="692"/>
        <w:rPr>
          <w:rFonts w:ascii="宋体" w:hint="eastAsia"/>
          <w:kern w:val="0"/>
          <w:sz w:val="24"/>
          <w:szCs w:val="24"/>
        </w:rPr>
      </w:pPr>
      <w:r>
        <w:rPr>
          <w:rFonts w:ascii="宋体" w:hint="eastAsia"/>
          <w:kern w:val="0"/>
          <w:sz w:val="24"/>
          <w:szCs w:val="24"/>
        </w:rPr>
        <w:t>答：特殊物品按照致病性、致病途径、使用方式和用途及可控性等风险因素，分为A、B、C、D四个风险等级。</w:t>
      </w:r>
    </w:p>
    <w:p>
      <w:pPr>
        <w:adjustRightInd w:val="0"/>
        <w:snapToGrid w:val="0"/>
        <w:spacing w:line="360" w:lineRule="auto"/>
        <w:rPr>
          <w:rFonts w:ascii="宋体" w:hint="eastAsia"/>
          <w:sz w:val="24"/>
          <w:szCs w:val="24"/>
        </w:rPr>
      </w:pPr>
      <w:r>
        <w:rPr>
          <w:rFonts w:ascii="宋体" w:hint="eastAsia"/>
          <w:sz w:val="24"/>
          <w:szCs w:val="24"/>
        </w:rPr>
        <w:t xml:space="preserve"> </w:t>
      </w:r>
    </w:p>
    <w:p>
      <w:pPr>
        <w:adjustRightInd w:val="0"/>
        <w:snapToGrid w:val="0"/>
        <w:spacing w:line="360" w:lineRule="auto"/>
        <w:rPr>
          <w:rFonts w:ascii="宋体" w:hint="eastAsia"/>
          <w:sz w:val="24"/>
          <w:szCs w:val="24"/>
        </w:rPr>
      </w:pPr>
      <w:r>
        <w:rPr>
          <w:rFonts w:ascii="宋体" w:hint="eastAsia"/>
          <w:sz w:val="24"/>
          <w:szCs w:val="24"/>
        </w:rPr>
        <w:t xml:space="preserve"> </w:t>
      </w:r>
    </w:p>
    <w:p>
      <w:pPr>
        <w:jc w:val="left"/>
      </w:pPr>
      <w:bookmarkStart w:id="0" w:name="_GoBack"/>
      <w:bookmarkEnd w:id="0"/>
    </w:p>
    <w:sectPr>
      <w:footerReference w:type="default" r:id="rId2"/>
      <w:pgSz w:w="11907" w:h="16840"/>
      <w:pgMar w:top="2098" w:right="1474" w:bottom="1985" w:left="1588" w:header="1814" w:footer="1474" w:gutter="0"/>
      <w:pgNumType w:start="0"/>
      <w:titlePg/>
      <w:docGrid w:type="linesAndChars" w:linePitch="580" w:charSpace="21686"/>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080E0000" w:usb2="00000000" w:usb3="00000000" w:csb0="00040001" w:csb1="00000000"/>
  </w:font>
  <w:font w:name="黑体">
    <w:panose1 w:val="02010600030101010101"/>
    <w:charset w:val="86"/>
    <w:family w:val="auto"/>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33"/>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1"/>
      <w:lang w:val="en-US" w:eastAsia="zh-CN" w:bidi="ar-SA"/>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32">
    <w:name w:val="header"/>
    <w:basedOn w:val="0"/>
    <w:pPr>
      <w:pBdr>
        <w:bottom w:val="single" w:sz="6" w:space="1" w:color="auto"/>
      </w:pBdr>
      <w:tabs>
        <w:tab w:val="center" w:pos="4153"/>
        <w:tab w:val="right" w:pos="8307"/>
      </w:tabs>
      <w:snapToGrid w:val="0"/>
      <w:jc w:val="center"/>
    </w:pPr>
    <w:rPr>
      <w:sz w:val="18"/>
    </w:rPr>
  </w:style>
  <w:style w:type="paragraph" w:styleId="33">
    <w:name w:val="footer"/>
    <w:basedOn w:val="0"/>
    <w:pPr>
      <w:tabs>
        <w:tab w:val="center" w:pos="4153"/>
        <w:tab w:val="right" w:pos="8307"/>
      </w:tabs>
      <w:snapToGrid w:val="0"/>
      <w:jc w:val="left"/>
    </w:pPr>
    <w:rPr>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png"/><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Application>
  <Pages>3</Pages>
  <Words>1106</Words>
  <Characters>1112</Characters>
  <Lines>60</Lines>
  <Paragraphs>20</Paragraphs>
  <CharactersWithSpaces>1127</CharactersWithSpaces>
  <Company>P R C</Company>
</Properties>
</file>

<file path=docProps/core.xml><?xml version="1.0" encoding="utf-8"?>
<cp:coreProperties xmlns:cp="http://schemas.openxmlformats.org/package/2006/metadata/core-properties" xmlns:dc="http://purl.org/dc/elements/1.1/" xmlns:dcterms="http://purl.org/dc/terms/" xmlns:xsi="http://www.w3.org/2001/XMLSchema-instance">
  <dc:creator>杨坤</dc:creator>
  <cp:lastModifiedBy>杨坤</cp:lastModifiedBy>
  <cp:revision>1</cp:revision>
  <dcterms:created xsi:type="dcterms:W3CDTF">2019-11-06T08:50:58Z</dcterms:created>
  <dcterms:modified xsi:type="dcterms:W3CDTF">2019-11-06T08:51:16Z</dcterms:modified>
</cp:coreProperties>
</file>