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92"/>
        <w:ind w:left="0"/>
        <w:jc w:val="center"/>
      </w:pPr>
      <w:r>
        <w:rPr>
          <w:rFonts w:ascii="方正小标宋_GBK" w:eastAsia="方正小标宋_GBK" w:hint="eastAsia"/>
          <w:sz w:val="44"/>
          <w:szCs w:val="44"/>
        </w:rPr>
        <w:t>昆明海关（本级机关）2019年政府信息公开工作年度报告</w:t>
      </w:r>
    </w:p>
    <w:p>
      <w:pPr>
        <w:pStyle w:val="92"/>
        <w:ind w:firstLineChars="200" w:firstLine="480"/>
      </w:pPr>
      <w:r>
        <w:t> </w:t>
      </w:r>
      <w:r>
        <w:rPr>
          <w:rFonts w:ascii="方正仿宋_gbk" w:eastAsia="方正仿宋_gbk" w:hint="eastAsia"/>
          <w:color w:val="auto"/>
          <w:sz w:val="32"/>
          <w:szCs w:val="32"/>
        </w:rPr>
        <w:t>本年报根据《中华人民共和国政府信息公开条例》(以下简称《条例》)和《中华人民共和国海关政府信息公开办法》(以下简称《办法》)，综合2019年昆明海关政府信息公开有关情况编制。</w:t>
      </w:r>
    </w:p>
    <w:p>
      <w:pPr>
        <w:pStyle w:val="92"/>
        <w:ind w:firstLineChars="200" w:firstLine="640"/>
      </w:pPr>
      <w:r>
        <w:rPr>
          <w:rFonts w:ascii="方正仿宋_gbk" w:eastAsia="方正仿宋_gbk" w:hint="eastAsia"/>
          <w:color w:val="auto"/>
          <w:sz w:val="32"/>
          <w:szCs w:val="32"/>
        </w:rPr>
        <w:t>本年报中所列数据的统计期限自2019年1月1日起至2019年12月31日。本年报主要内容包括：总体情况，主动公开政府信息情况，收到和处理政府信息公开申请情况，政府信息公开行政复议、行政诉讼情况，存在的主要问题及改进情况。</w:t>
      </w:r>
    </w:p>
    <w:p>
      <w:pPr>
        <w:pStyle w:val="92"/>
        <w:ind w:firstLineChars="200" w:firstLine="640"/>
      </w:pPr>
      <w:r>
        <w:rPr>
          <w:rFonts w:ascii="方正仿宋_gbk" w:eastAsia="方正仿宋_gbk" w:hint="eastAsia"/>
          <w:color w:val="auto"/>
          <w:sz w:val="32"/>
          <w:szCs w:val="32"/>
        </w:rPr>
        <w:t>本年报电子版可在“昆明海关门户网站”获取，网址：kunming.customs.gov.cn。</w:t>
      </w:r>
    </w:p>
    <w:p>
      <w:pPr>
        <w:pStyle w:val="92"/>
        <w:ind w:firstLineChars="200" w:firstLine="640"/>
      </w:pPr>
      <w:r>
        <w:rPr>
          <w:rFonts w:ascii="方正仿宋_gbk" w:eastAsia="方正仿宋_gbk" w:hint="eastAsia"/>
          <w:color w:val="auto"/>
          <w:sz w:val="32"/>
          <w:szCs w:val="32"/>
        </w:rPr>
        <w:t>如对本年报有疑问，请联系：昆明海关办公室。地址：云南省昆明市北京路618号昆明海关1002室；邮编：650051；电话：0871-63016317；传真：0871-63016311；电子邮箱：</w:t>
      </w:r>
      <w:r>
        <w:rPr>
          <w:rStyle w:val="85"/>
          <w:rFonts w:ascii="方正仿宋_gbk" w:eastAsia="方正仿宋_gbk" w:hint="eastAsia"/>
          <w:sz w:val="32"/>
          <w:szCs w:val="32"/>
        </w:rPr>
        <w:fldChar w:fldCharType="begin"/>
      </w:r>
      <w:r>
        <w:instrText>HYPERLINK "mailto:kmhg_gwgk@customs.gov.cn%E3%80%82"</w:instrText>
      </w:r>
      <w:r>
        <w:rPr>
          <w:rStyle w:val="85"/>
          <w:rFonts w:ascii="方正仿宋_gbk" w:eastAsia="方正仿宋_gbk" w:hint="eastAsia"/>
          <w:sz w:val="32"/>
          <w:szCs w:val="32"/>
        </w:rPr>
        <w:fldChar w:fldCharType="separate"/>
      </w:r>
      <w:r>
        <w:rPr>
          <w:rStyle w:val="85"/>
          <w:rFonts w:ascii="方正仿宋_gbk" w:eastAsia="方正仿宋_gbk" w:hint="eastAsia"/>
          <w:sz w:val="32"/>
          <w:szCs w:val="32"/>
        </w:rPr>
        <w:t>kmhg_gwgk@customs.gov.cn。</w:t>
      </w:r>
      <w:r>
        <w:rPr>
          <w:rStyle w:val="85"/>
          <w:rFonts w:ascii="方正仿宋_gbk" w:eastAsia="方正仿宋_gbk" w:hint="eastAsia"/>
          <w:sz w:val="32"/>
          <w:szCs w:val="32"/>
        </w:rPr>
        <w:fldChar w:fldCharType="end"/>
      </w:r>
    </w:p>
    <w:p>
      <w:pPr>
        <w:pStyle w:val="92"/>
        <w:ind w:left="0"/>
      </w:pPr>
      <w:r>
        <w:rPr>
          <w:rFonts w:ascii="方正黑体_gbk" w:eastAsia="方正黑体_gbk" w:hint="eastAsia"/>
          <w:color w:val="auto"/>
          <w:sz w:val="32"/>
          <w:szCs w:val="32"/>
        </w:rPr>
        <w:t>一、总体情况</w:t>
      </w:r>
    </w:p>
    <w:p>
      <w:pPr>
        <w:pStyle w:val="92"/>
        <w:ind w:firstLineChars="200" w:firstLine="640"/>
      </w:pPr>
      <w:r>
        <w:rPr>
          <w:rFonts w:ascii="方正仿宋_gbk" w:eastAsia="方正仿宋_gbk" w:hint="eastAsia"/>
          <w:color w:val="auto"/>
          <w:sz w:val="32"/>
          <w:szCs w:val="32"/>
        </w:rPr>
        <w:t> 2019年，昆明海关认真贯彻落实《中华人民共和国信息公开条例》，紧密围绕《</w:t>
      </w:r>
      <w:r>
        <w:rPr>
          <w:rFonts w:ascii="Times new roman" w:hAnsi="Times new roman"/>
          <w:color w:val="auto"/>
          <w:sz w:val="32"/>
          <w:szCs w:val="32"/>
        </w:rPr>
        <w:t>2019</w:t>
      </w:r>
      <w:r>
        <w:rPr>
          <w:rFonts w:ascii="方正仿宋_gbk" w:eastAsia="方正仿宋_gbk" w:hint="eastAsia"/>
          <w:color w:val="auto"/>
          <w:sz w:val="32"/>
          <w:szCs w:val="32"/>
        </w:rPr>
        <w:t>年海关政务公开工作要点》，完善政务公开制度，深入推进重点领域信息公开，及时解读回应，扩大公众参与，提高昆明海关工作的透明度，有效提升政务公开工作的质量和实效，切实增强社会公众的满意度和获得感，为建设中国特色社会主义新海关发挥积极作用。</w:t>
      </w:r>
    </w:p>
    <w:p>
      <w:pPr>
        <w:pStyle w:val="92"/>
        <w:ind w:firstLineChars="200" w:firstLine="640"/>
      </w:pPr>
      <w:r>
        <w:rPr>
          <w:rFonts w:ascii="方正楷体_gbk" w:eastAsia="方正楷体_gbk" w:hint="eastAsia"/>
          <w:color w:val="auto"/>
          <w:sz w:val="32"/>
          <w:szCs w:val="32"/>
        </w:rPr>
        <w:t>（一）加强组织领导，推进统筹协作</w:t>
      </w:r>
    </w:p>
    <w:p>
      <w:pPr>
        <w:pStyle w:val="92"/>
        <w:ind w:firstLineChars="200" w:firstLine="640"/>
      </w:pPr>
      <w:r>
        <w:rPr>
          <w:rFonts w:ascii="方正仿宋_gbk" w:eastAsia="方正仿宋_gbk" w:hint="eastAsia"/>
          <w:color w:val="auto"/>
          <w:sz w:val="32"/>
          <w:szCs w:val="32"/>
        </w:rPr>
        <w:t> 为切实加强政务公开工作的顶层规划和组织领导，昆明海关在办公室专门设立政务公开科，统筹全关区政务公开工作的组织协调、指导推进、监督检查等工作，进一步优化政务公开工作职能管理。同时加强政府信息公开工作的规范化、标准化、信息化管理，整合昆明海关互联网门户网站、</w:t>
      </w:r>
      <w:r>
        <w:rPr>
          <w:rFonts w:ascii="Times new roman" w:hAnsi="Times new roman"/>
          <w:color w:val="auto"/>
          <w:sz w:val="32"/>
          <w:szCs w:val="32"/>
        </w:rPr>
        <w:t>12360</w:t>
      </w:r>
      <w:r>
        <w:rPr>
          <w:rFonts w:ascii="方正仿宋_gbk" w:eastAsia="方正仿宋_gbk" w:hint="eastAsia"/>
          <w:color w:val="auto"/>
          <w:sz w:val="32"/>
          <w:szCs w:val="32"/>
        </w:rPr>
        <w:t>海关服务热线等平台和系统，形成统一、高效、规范的对外事事项受理“窗口”。并且不断完善政务公开办理流程，完善政务公开前台受理与后台办理的联动机制，强化对办理过程的督促和指导，严格事项办理的时限和要求，确保及时、有效回应社会关切。</w:t>
      </w:r>
    </w:p>
    <w:p>
      <w:pPr>
        <w:pStyle w:val="92"/>
        <w:ind w:firstLineChars="200" w:firstLine="640"/>
      </w:pPr>
      <w:r>
        <w:rPr>
          <w:rFonts w:ascii="方正楷体_gbk" w:eastAsia="方正楷体_gbk" w:hint="eastAsia"/>
          <w:color w:val="auto"/>
          <w:sz w:val="32"/>
          <w:szCs w:val="32"/>
        </w:rPr>
        <w:t>（二）扩大公开范围，增强公开实效</w:t>
      </w:r>
    </w:p>
    <w:p>
      <w:pPr>
        <w:pStyle w:val="92"/>
        <w:ind w:firstLineChars="200" w:firstLine="640"/>
      </w:pPr>
      <w:r>
        <w:rPr>
          <w:rFonts w:ascii="方正仿宋_gbk" w:eastAsia="方正仿宋_gbk" w:hint="eastAsia"/>
          <w:color w:val="auto"/>
          <w:sz w:val="32"/>
          <w:szCs w:val="32"/>
        </w:rPr>
        <w:t> 昆明海关严格按照《中华人民共和国政府信息公开条例》规定，坚持以公开为常态、不公开为例外，积极推进政府信息公开工作，围绕重点领域不断扩大公开范围，细化公开内容。依托昆明海关门户网站，编制并发布《昆明海关政府信息公开指南》、《昆明海关政务公开目录》，对涉及公共利益和公众权益的重大事项，主动向社会公布决策草案、决策依据、行政执法职责、执法依据、执法程序、监督途径和执法结果等信息，按月举办”关长接待日”活动，积极回应社会关切。主动公布财务预决算信息，公示各类经营服务型收费表，及时发布政府采购招标公告、中标（成交）公告等。全年通过门户网站共发布各类信息900余条，充分发挥政府信息对人民群众生产、生活和经济社会活动的服务作用。</w:t>
      </w:r>
    </w:p>
    <w:p>
      <w:pPr>
        <w:pStyle w:val="92"/>
        <w:ind w:firstLineChars="200" w:firstLine="640"/>
      </w:pPr>
      <w:r>
        <w:rPr>
          <w:rFonts w:ascii="方正楷体_gbk" w:eastAsia="方正楷体_gbk" w:hint="eastAsia"/>
          <w:color w:val="auto"/>
          <w:sz w:val="32"/>
          <w:szCs w:val="32"/>
        </w:rPr>
        <w:t>（三）增强业务能力，提升服务质量</w:t>
      </w:r>
    </w:p>
    <w:p>
      <w:pPr>
        <w:pStyle w:val="92"/>
        <w:ind w:firstLineChars="200" w:firstLine="640"/>
      </w:pPr>
      <w:r>
        <w:rPr>
          <w:rFonts w:ascii="方正仿宋_gbk" w:eastAsia="方正仿宋_gbk" w:hint="eastAsia"/>
          <w:color w:val="auto"/>
          <w:sz w:val="32"/>
          <w:szCs w:val="32"/>
        </w:rPr>
        <w:t> 昆明海关紧扣机构改革后新海关的职责任务，不断提升政务公开工作的能力和水平。严格落实政府信息发布审查制度，按照“谁发布，谁负责”的原则，建立三级审 查制度，明确保密和内容审查的职责和要求，确保信息发布及时、准确、合法。加强对新形势、新任务、新要求的分析和研判，及时发布公告、通知、业务办理指 引、办事指南等各类信息</w:t>
      </w:r>
      <w:r>
        <w:rPr>
          <w:rFonts w:ascii="Times new roman" w:hAnsi="Times new roman"/>
          <w:color w:val="auto"/>
          <w:sz w:val="32"/>
          <w:szCs w:val="32"/>
        </w:rPr>
        <w:t>103</w:t>
      </w:r>
      <w:r>
        <w:rPr>
          <w:rFonts w:ascii="方正仿宋_gbk" w:eastAsia="方正仿宋_gbk" w:hint="eastAsia"/>
          <w:color w:val="auto"/>
          <w:sz w:val="32"/>
          <w:szCs w:val="32"/>
        </w:rPr>
        <w:t>条。组织开展海关热线接线员业务和技能培训，编报热线工作动态</w:t>
      </w:r>
      <w:r>
        <w:rPr>
          <w:rFonts w:ascii="Times new roman" w:hAnsi="Times new roman"/>
          <w:color w:val="auto"/>
          <w:sz w:val="32"/>
          <w:szCs w:val="32"/>
        </w:rPr>
        <w:t>12</w:t>
      </w:r>
      <w:r>
        <w:rPr>
          <w:rFonts w:ascii="方正仿宋_gbk" w:eastAsia="方正仿宋_gbk" w:hint="eastAsia"/>
          <w:color w:val="auto"/>
          <w:sz w:val="32"/>
          <w:szCs w:val="32"/>
        </w:rPr>
        <w:t>期，有效提升</w:t>
      </w:r>
      <w:r>
        <w:rPr>
          <w:rFonts w:ascii="Times new roman" w:hAnsi="Times new roman"/>
          <w:color w:val="auto"/>
          <w:sz w:val="32"/>
          <w:szCs w:val="32"/>
        </w:rPr>
        <w:t>12360</w:t>
      </w:r>
      <w:r>
        <w:rPr>
          <w:rFonts w:ascii="方正仿宋_gbk" w:eastAsia="方正仿宋_gbk" w:hint="eastAsia"/>
          <w:color w:val="auto"/>
          <w:sz w:val="32"/>
          <w:szCs w:val="32"/>
        </w:rPr>
        <w:t>海关热线受理服务的针对性和准确性，</w:t>
      </w:r>
      <w:r>
        <w:rPr>
          <w:rFonts w:ascii="Times new roman" w:hAnsi="Times new roman"/>
          <w:color w:val="auto"/>
          <w:sz w:val="32"/>
          <w:szCs w:val="32"/>
        </w:rPr>
        <w:t>2019</w:t>
      </w:r>
      <w:r>
        <w:rPr>
          <w:rFonts w:ascii="方正仿宋_gbk" w:eastAsia="方正仿宋_gbk" w:hint="eastAsia"/>
          <w:color w:val="auto"/>
          <w:sz w:val="32"/>
          <w:szCs w:val="32"/>
        </w:rPr>
        <w:t>年</w:t>
      </w:r>
      <w:r>
        <w:rPr>
          <w:rFonts w:ascii="Times new roman" w:hAnsi="Times new roman"/>
          <w:color w:val="auto"/>
          <w:sz w:val="32"/>
          <w:szCs w:val="32"/>
        </w:rPr>
        <w:t>12360</w:t>
      </w:r>
      <w:r>
        <w:rPr>
          <w:rFonts w:ascii="方正仿宋_gbk" w:eastAsia="方正仿宋_gbk" w:hint="eastAsia"/>
          <w:color w:val="auto"/>
          <w:sz w:val="32"/>
          <w:szCs w:val="32"/>
        </w:rPr>
        <w:t>海关热线共接听热线电话</w:t>
      </w:r>
      <w:r>
        <w:rPr>
          <w:rFonts w:ascii="Times new roman" w:hAnsi="Times new roman"/>
          <w:color w:val="auto"/>
          <w:sz w:val="32"/>
          <w:szCs w:val="32"/>
        </w:rPr>
        <w:t xml:space="preserve">11715 </w:t>
      </w:r>
      <w:r>
        <w:rPr>
          <w:rFonts w:ascii="方正仿宋_gbk" w:eastAsia="方正仿宋_gbk" w:hint="eastAsia"/>
          <w:color w:val="auto"/>
          <w:sz w:val="32"/>
          <w:szCs w:val="32"/>
        </w:rPr>
        <w:t>个，接通率达</w:t>
      </w:r>
      <w:r>
        <w:rPr>
          <w:rFonts w:ascii="Times new roman" w:hAnsi="Times new roman"/>
          <w:color w:val="auto"/>
          <w:sz w:val="32"/>
          <w:szCs w:val="32"/>
        </w:rPr>
        <w:t>97.38%</w:t>
      </w:r>
      <w:r>
        <w:rPr>
          <w:rFonts w:ascii="方正仿宋_gbk" w:eastAsia="方正仿宋_gbk" w:hint="eastAsia"/>
          <w:color w:val="auto"/>
          <w:sz w:val="32"/>
          <w:szCs w:val="32"/>
        </w:rPr>
        <w:t>，当场答复率</w:t>
      </w:r>
      <w:r>
        <w:rPr>
          <w:rFonts w:ascii="Times new roman" w:hAnsi="Times new roman"/>
          <w:color w:val="auto"/>
          <w:sz w:val="32"/>
          <w:szCs w:val="32"/>
        </w:rPr>
        <w:t>96.4% </w:t>
      </w:r>
      <w:r>
        <w:rPr>
          <w:rFonts w:ascii="宋体" w:eastAsia="宋体" w:hint="eastAsia"/>
          <w:color w:val="auto"/>
          <w:sz w:val="32"/>
          <w:szCs w:val="32"/>
        </w:rPr>
        <w:t>。</w:t>
      </w:r>
      <w:r>
        <w:rPr>
          <w:rFonts w:ascii="方正仿宋_gbk" w:eastAsia="方正仿宋_gbk" w:hint="eastAsia"/>
          <w:color w:val="auto"/>
          <w:sz w:val="32"/>
          <w:szCs w:val="32"/>
        </w:rPr>
        <w:t>认真做好政府信息依申请公开的受理工作，加大对紧急、重大、管理相对人和群众反映强烈情事的跟踪督办工作，</w:t>
      </w:r>
      <w:r>
        <w:rPr>
          <w:rFonts w:ascii="Times new roman" w:hAnsi="Times new roman"/>
          <w:color w:val="auto"/>
          <w:sz w:val="32"/>
          <w:szCs w:val="32"/>
        </w:rPr>
        <w:t>2019</w:t>
      </w:r>
      <w:r>
        <w:rPr>
          <w:rFonts w:ascii="方正仿宋_gbk" w:eastAsia="方正仿宋_gbk" w:hint="eastAsia"/>
          <w:color w:val="auto"/>
          <w:sz w:val="32"/>
          <w:szCs w:val="32"/>
        </w:rPr>
        <w:t>年共受理依申请公开事项</w:t>
      </w:r>
      <w:r>
        <w:rPr>
          <w:rFonts w:ascii="Times new roman" w:hAnsi="Times new roman"/>
          <w:color w:val="auto"/>
          <w:sz w:val="32"/>
          <w:szCs w:val="32"/>
        </w:rPr>
        <w:t>5</w:t>
      </w:r>
      <w:r>
        <w:rPr>
          <w:rFonts w:ascii="方正仿宋_gbk" w:eastAsia="方正仿宋_gbk" w:hint="eastAsia"/>
          <w:color w:val="auto"/>
          <w:sz w:val="32"/>
          <w:szCs w:val="32"/>
        </w:rPr>
        <w:t>起，门户网站关长信箱、业务咨询等栏目答复各类建议、咨询</w:t>
      </w:r>
      <w:r>
        <w:rPr>
          <w:rFonts w:ascii="Times new roman" w:hAnsi="Times new roman"/>
          <w:color w:val="auto"/>
          <w:sz w:val="32"/>
          <w:szCs w:val="32"/>
        </w:rPr>
        <w:t>113</w:t>
      </w:r>
      <w:r>
        <w:rPr>
          <w:rFonts w:ascii="方正仿宋_gbk" w:eastAsia="方正仿宋_gbk" w:hint="eastAsia"/>
          <w:color w:val="auto"/>
          <w:sz w:val="32"/>
          <w:szCs w:val="32"/>
        </w:rPr>
        <w:t>条，答复率达</w:t>
      </w:r>
      <w:r>
        <w:rPr>
          <w:rFonts w:ascii="Times new roman" w:hAnsi="Times new roman"/>
          <w:color w:val="auto"/>
          <w:sz w:val="32"/>
          <w:szCs w:val="32"/>
        </w:rPr>
        <w:t>100%</w:t>
      </w:r>
      <w:r>
        <w:rPr>
          <w:rFonts w:ascii="方正仿宋_gbk" w:eastAsia="方正仿宋_gbk" w:hint="eastAsia"/>
          <w:color w:val="auto"/>
          <w:sz w:val="32"/>
          <w:szCs w:val="32"/>
        </w:rPr>
        <w:t>。</w:t>
      </w:r>
    </w:p>
    <w:p>
      <w:pPr>
        <w:pStyle w:val="92"/>
        <w:ind w:firstLineChars="200" w:firstLine="640"/>
      </w:pPr>
      <w:r>
        <w:rPr>
          <w:rFonts w:ascii="方正楷体_gbk" w:eastAsia="方正楷体_gbk" w:hint="eastAsia"/>
          <w:color w:val="auto"/>
          <w:sz w:val="32"/>
          <w:szCs w:val="32"/>
        </w:rPr>
        <w:t>（四）加强宣传力度，营造良好舆论氛围</w:t>
      </w:r>
    </w:p>
    <w:p>
      <w:pPr>
        <w:pStyle w:val="92"/>
        <w:ind w:firstLineChars="200" w:firstLine="640"/>
        <w:rPr>
          <w:rFonts w:ascii="方正黑体_gbk" w:eastAsia="方正黑体_gbk"/>
          <w:vanish w:val="0"/>
          <w:color w:val="auto"/>
          <w:sz w:val="32"/>
          <w:szCs w:val="32"/>
        </w:rPr>
      </w:pPr>
      <w:r>
        <w:rPr>
          <w:rFonts w:ascii="方正仿宋_gbk" w:eastAsia="方正仿宋_gbk" w:hint="eastAsia"/>
          <w:color w:val="auto"/>
          <w:sz w:val="32"/>
          <w:szCs w:val="32"/>
        </w:rPr>
        <w:t> 昆明海关立足新海关职责，全方位宣传海关系统坚决落实习近平总书记重要指示批示精神工作措施，围绕推进“五关建设”、打击洋垃圾及象牙等濒危物种及其制品走私、“不忘初心、牢记使命”主题教育、庆祝新中国成立</w:t>
      </w:r>
      <w:r>
        <w:rPr>
          <w:rFonts w:ascii="Times new roman" w:hAnsi="Times new roman"/>
          <w:color w:val="auto"/>
          <w:sz w:val="32"/>
          <w:szCs w:val="32"/>
        </w:rPr>
        <w:t>70</w:t>
      </w:r>
      <w:r>
        <w:rPr>
          <w:rFonts w:ascii="方正仿宋_gbk" w:eastAsia="方正仿宋_gbk" w:hint="eastAsia"/>
          <w:color w:val="auto"/>
          <w:sz w:val="32"/>
          <w:szCs w:val="32"/>
        </w:rPr>
        <w:t>周年等重点多次策划开展集中宣传报道，发布新闻460余篇，通过政务微信发布各类信息109条，关注观看人数超过94万人次。着力“多证合一”海关备案申报、进出口暂定税率调整、价格预裁定等海关政策，通过图文并茂、可视易懂方式向公众解疑释惑，回应关切，营造良好社会舆论氛围。</w:t>
      </w:r>
    </w:p>
    <w:p>
      <w:pPr>
        <w:pStyle w:val="92"/>
        <w:ind w:left="0"/>
      </w:pPr>
      <w:r>
        <w:rPr>
          <w:rFonts w:ascii="方正黑体_gbk" w:eastAsia="方正黑体_gbk" w:hint="eastAsia"/>
          <w:vanish w:val="0"/>
          <w:color w:val="auto"/>
          <w:sz w:val="32"/>
          <w:szCs w:val="32"/>
        </w:rPr>
        <w:t>二、主动公开政府信息情况</w:t>
      </w:r>
    </w:p>
    <w:tbl>
      <w:tblPr>
        <w:jc w:val="left"/>
        <w:tblW w:w="8625"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CellMar>
          <w:top w:w="0" w:type="dxa"/>
          <w:left w:w="0" w:type="dxa"/>
          <w:bottom w:w="0" w:type="dxa"/>
          <w:right w:w="0" w:type="dxa"/>
        </w:tblCellMar>
      </w:tblPr>
      <w:tblGrid>
        <w:gridCol w:w="2415"/>
        <w:gridCol w:w="1950"/>
        <w:gridCol w:w="2115"/>
        <w:gridCol w:w="2145"/>
      </w:tblGrid>
      <w:tr>
        <w:tc>
          <w:tcPr>
            <w:tcW w:w="8625" w:type="dxa"/>
            <w:gridSpan w:val="4"/>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第二十条第（一）项</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信息内容</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本年新制作数量</w:t>
            </w:r>
          </w:p>
        </w:tc>
        <w:tc>
          <w:tcPr>
            <w:tcW w:w="21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本年新公开数量</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对外公开总数量</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规章</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0</w:t>
            </w:r>
          </w:p>
        </w:tc>
        <w:tc>
          <w:tcPr>
            <w:tcW w:w="21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0</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0</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规范性文件</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2</w:t>
            </w:r>
          </w:p>
        </w:tc>
        <w:tc>
          <w:tcPr>
            <w:tcW w:w="21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2</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4</w:t>
            </w:r>
          </w:p>
        </w:tc>
      </w:tr>
      <w:tr>
        <w:tc>
          <w:tcPr>
            <w:tcW w:w="8625" w:type="dxa"/>
            <w:gridSpan w:val="4"/>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第二十条第（五）项</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信息内容</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上一年项目数量</w:t>
            </w:r>
          </w:p>
        </w:tc>
        <w:tc>
          <w:tcPr>
            <w:tcW w:w="21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本年增/减</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处理决定数量</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行政许可</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8</w:t>
            </w:r>
          </w:p>
        </w:tc>
        <w:tc>
          <w:tcPr>
            <w:tcW w:w="21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0</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893</w:t>
            </w:r>
          </w:p>
        </w:tc>
      </w:tr>
      <w:tr>
        <w:tc>
          <w:tcPr>
            <w:tcW w:w="8625" w:type="dxa"/>
            <w:gridSpan w:val="4"/>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第二十条第（六）项</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信息内容</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上一年项目数量</w:t>
            </w:r>
          </w:p>
        </w:tc>
        <w:tc>
          <w:tcPr>
            <w:tcW w:w="21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本年增/减</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处理决定数量</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行政处罚</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3</w:t>
            </w:r>
          </w:p>
        </w:tc>
        <w:tc>
          <w:tcPr>
            <w:tcW w:w="21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0</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5</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行政强制</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5</w:t>
            </w:r>
          </w:p>
        </w:tc>
        <w:tc>
          <w:tcPr>
            <w:tcW w:w="21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0</w:t>
            </w:r>
          </w:p>
        </w:tc>
        <w:tc>
          <w:tcPr>
            <w:tcW w:w="21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1</w:t>
            </w:r>
          </w:p>
        </w:tc>
      </w:tr>
      <w:tr>
        <w:tc>
          <w:tcPr>
            <w:tcW w:w="8625" w:type="dxa"/>
            <w:gridSpan w:val="4"/>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第二十条第（八）项</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信息内容</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上一年项目数量</w:t>
            </w:r>
          </w:p>
        </w:tc>
        <w:tc>
          <w:tcPr>
            <w:tcW w:w="4260" w:type="dxa"/>
            <w:gridSpan w:val="2"/>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本年增/减</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行政事业性收费</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0</w:t>
            </w:r>
          </w:p>
        </w:tc>
        <w:tc>
          <w:tcPr>
            <w:tcW w:w="4260" w:type="dxa"/>
            <w:gridSpan w:val="2"/>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0</w:t>
            </w:r>
          </w:p>
        </w:tc>
      </w:tr>
      <w:tr>
        <w:tc>
          <w:tcPr>
            <w:tcW w:w="8625" w:type="dxa"/>
            <w:gridSpan w:val="4"/>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第二十条第（九）项</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信息内容</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采购项目数量</w:t>
            </w:r>
          </w:p>
        </w:tc>
        <w:tc>
          <w:tcPr>
            <w:tcW w:w="4260" w:type="dxa"/>
            <w:gridSpan w:val="2"/>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采购总金额</w:t>
            </w:r>
          </w:p>
        </w:tc>
      </w:tr>
      <w:tr>
        <w:tc>
          <w:tcPr>
            <w:tcW w:w="241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政府集中采购</w:t>
            </w:r>
          </w:p>
        </w:tc>
        <w:tc>
          <w:tcPr>
            <w:tcW w:w="195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1231</w:t>
            </w:r>
          </w:p>
        </w:tc>
        <w:tc>
          <w:tcPr>
            <w:tcW w:w="4260" w:type="dxa"/>
            <w:gridSpan w:val="2"/>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_gbk" w:eastAsia="方正黑体_gbk" w:hint="eastAsia"/>
                <w:vanish w:val="0"/>
                <w:color w:val="auto"/>
                <w:sz w:val="21"/>
                <w:szCs w:val="21"/>
              </w:rPr>
              <w:t>46934748.98元</w:t>
            </w:r>
          </w:p>
        </w:tc>
      </w:tr>
    </w:tbl>
    <w:p>
      <w:pPr>
        <w:pStyle w:val="92"/>
        <w:pBdr>
          <w:top w:val="none" w:sz="0" w:space="0" w:color="auto"/>
          <w:left w:val="none" w:sz="0" w:space="0" w:color="auto"/>
          <w:bottom w:val="none" w:sz="0" w:space="0" w:color="auto"/>
          <w:right w:val="none" w:sz="0" w:space="0" w:color="auto"/>
        </w:pBdr>
        <w:rPr>
          <w:vanish w:val="0"/>
        </w:rPr>
      </w:pPr>
      <w:r>
        <w:rPr>
          <w:rFonts w:ascii="方正黑体_gbk" w:eastAsia="方正黑体_gbk" w:hint="eastAsia"/>
          <w:vanish w:val="0"/>
          <w:color w:val="auto"/>
          <w:sz w:val="32"/>
          <w:szCs w:val="32"/>
        </w:rPr>
        <w:t>三、收到和处理政府信息公开申请情况</w:t>
      </w:r>
    </w:p>
    <w:tbl>
      <w:tblPr>
        <w:jc w:val="left"/>
        <w:tblW w:w="9555"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CellMar>
          <w:top w:w="0" w:type="dxa"/>
          <w:left w:w="0" w:type="dxa"/>
          <w:bottom w:w="0" w:type="dxa"/>
          <w:right w:w="0" w:type="dxa"/>
        </w:tblCellMar>
      </w:tblPr>
      <w:tblGrid>
        <w:gridCol w:w="855"/>
        <w:gridCol w:w="1666"/>
        <w:gridCol w:w="2193"/>
        <w:gridCol w:w="645"/>
        <w:gridCol w:w="645"/>
        <w:gridCol w:w="645"/>
        <w:gridCol w:w="791"/>
        <w:gridCol w:w="791"/>
        <w:gridCol w:w="645"/>
        <w:gridCol w:w="680"/>
      </w:tblGrid>
      <w:tr>
        <w:tc>
          <w:tcPr>
            <w:tcW w:w="4713" w:type="dxa"/>
            <w:gridSpan w:val="3"/>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简体" w:eastAsia="方正黑体简体" w:hint="eastAsia"/>
                <w:vanish w:val="0"/>
                <w:color w:val="auto"/>
                <w:sz w:val="21"/>
                <w:szCs w:val="21"/>
              </w:rPr>
              <w:t>(本列数据的勾稽关系为：第一项加第二项之和，等于第三项加第四项之和)</w:t>
            </w:r>
          </w:p>
        </w:tc>
        <w:tc>
          <w:tcPr>
            <w:tcW w:w="4841" w:type="dxa"/>
            <w:gridSpan w:val="7"/>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申请人情况</w:t>
            </w:r>
          </w:p>
        </w:tc>
      </w:tr>
      <w:tr>
        <w:tc>
          <w:tcPr>
            <w:gridSpan w:val="3"/>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645"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自然人</w:t>
            </w:r>
          </w:p>
        </w:tc>
        <w:tc>
          <w:tcPr>
            <w:tcW w:w="3516" w:type="dxa"/>
            <w:gridSpan w:val="5"/>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法人或其他组织</w:t>
            </w:r>
          </w:p>
        </w:tc>
        <w:tc>
          <w:tcPr>
            <w:tcW w:w="680"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总计</w:t>
            </w:r>
          </w:p>
        </w:tc>
      </w:tr>
      <w:tr>
        <w:tc>
          <w:tcPr>
            <w:gridSpan w:val="3"/>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商业企业</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科研机构</w:t>
            </w: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社会公益组织</w:t>
            </w: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法律服务机构</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其他</w:t>
            </w: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r>
      <w:tr>
        <w:tc>
          <w:tcPr>
            <w:tcW w:w="4713" w:type="dxa"/>
            <w:gridSpan w:val="3"/>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一、本年新收政府信息公开申请数量</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简体" w:eastAsia="方正黑体简体" w:hint="eastAsia"/>
                <w:vanish w:val="0"/>
                <w:color w:val="auto"/>
                <w:sz w:val="21"/>
                <w:szCs w:val="21"/>
              </w:rPr>
              <w:t>5</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简体" w:eastAsia="方正黑体简体" w:hint="eastAsia"/>
                <w:vanish w:val="0"/>
                <w:color w:val="auto"/>
                <w:sz w:val="21"/>
                <w:szCs w:val="21"/>
              </w:rPr>
              <w:t>5</w:t>
            </w:r>
          </w:p>
        </w:tc>
      </w:tr>
      <w:tr>
        <w:tc>
          <w:tcPr>
            <w:tcW w:w="4713" w:type="dxa"/>
            <w:gridSpan w:val="3"/>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二、本年结转政府信息公开申请数量</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简体" w:eastAsia="方正黑体简体" w:hint="eastAsia"/>
                <w:vanish w:val="0"/>
                <w:color w:val="auto"/>
                <w:sz w:val="21"/>
                <w:szCs w:val="21"/>
              </w:rPr>
              <w:t>0</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简体" w:eastAsia="方正黑体简体" w:hint="eastAsia"/>
                <w:vanish w:val="0"/>
                <w:color w:val="auto"/>
                <w:sz w:val="21"/>
                <w:szCs w:val="21"/>
              </w:rPr>
              <w:t>0</w:t>
            </w:r>
          </w:p>
        </w:tc>
      </w:tr>
      <w:tr>
        <w:tc>
          <w:tcPr>
            <w:tcW w:w="854"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简体" w:eastAsia="方正黑体简体" w:hint="eastAsia"/>
                <w:vanish w:val="0"/>
                <w:color w:val="auto"/>
                <w:sz w:val="21"/>
                <w:szCs w:val="21"/>
              </w:rPr>
              <w:t>三、本年度办理结果</w:t>
            </w:r>
          </w:p>
        </w:tc>
        <w:tc>
          <w:tcPr>
            <w:tcW w:w="3859" w:type="dxa"/>
            <w:gridSpan w:val="2"/>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（一）予以公开</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3859" w:type="dxa"/>
            <w:gridSpan w:val="2"/>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（二）部分公开（区分处理的，只计这一情形，不计其他情形）</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1666"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（三）不予公开</w:t>
            </w: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1.属于国家秘密</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2.其他法律行政法规禁止公开</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3.危及“三安全一稳定”</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4.保护第三方合法权益</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5.属于三类内部事务信息</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6.属于四类过程性信息</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7.属于行政执法案卷</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8.属于行政查询事项</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1666"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（四）无法提供</w:t>
            </w: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1.本机关不掌握相关政府信息</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2</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2</w:t>
            </w: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2.没有现成信息需要另行制作</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3.补正后申请内容仍不明确</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1666"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（五）不予处理</w:t>
            </w: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1.信访举投诉类申请</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2.重复申请</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3.要求提供公开出版物</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4.无正当理由大量反复申请</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2193"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5.要求行政机关确认成重新出具已获取信息</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3859" w:type="dxa"/>
            <w:gridSpan w:val="2"/>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（六）其他处理</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3859" w:type="dxa"/>
            <w:gridSpan w:val="2"/>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60"/>
              <w:rPr>
                <w:vanish w:val="0"/>
              </w:rPr>
            </w:pPr>
            <w:r>
              <w:rPr>
                <w:rFonts w:ascii="方正楷体_gbk" w:eastAsia="方正楷体_gbk" w:hint="eastAsia"/>
                <w:vanish w:val="0"/>
                <w:color w:val="auto"/>
                <w:sz w:val="18"/>
                <w:szCs w:val="18"/>
              </w:rPr>
              <w:t>（七）总计</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r>
      <w:tr>
        <w:tc>
          <w:tcPr>
            <w:tcW w:w="4713" w:type="dxa"/>
            <w:gridSpan w:val="3"/>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方正黑体简体" w:eastAsia="方正黑体简体" w:hint="eastAsia"/>
                <w:vanish w:val="0"/>
                <w:color w:val="auto"/>
                <w:sz w:val="21"/>
                <w:szCs w:val="21"/>
              </w:rPr>
              <w:t>四、结转下年度继续办理</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华文中宋" w:eastAsia="华文中宋" w:hint="eastAsia"/>
                <w:vanish w:val="0"/>
                <w:color w:val="auto"/>
                <w:sz w:val="21"/>
                <w:szCs w:val="21"/>
              </w:rPr>
              <w:t>3</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791"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80"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华文中宋" w:eastAsia="华文中宋" w:hint="eastAsia"/>
                <w:vanish w:val="0"/>
                <w:color w:val="auto"/>
                <w:sz w:val="21"/>
                <w:szCs w:val="21"/>
              </w:rPr>
              <w:t>3</w:t>
            </w:r>
          </w:p>
        </w:tc>
      </w:tr>
    </w:tbl>
    <w:p>
      <w:pPr>
        <w:pStyle w:val="92"/>
        <w:pBdr>
          <w:top w:val="none" w:sz="0" w:space="0" w:color="auto"/>
          <w:left w:val="none" w:sz="0" w:space="0" w:color="auto"/>
          <w:bottom w:val="none" w:sz="0" w:space="0" w:color="auto"/>
          <w:right w:val="none" w:sz="0" w:space="0" w:color="auto"/>
        </w:pBdr>
        <w:rPr>
          <w:vanish w:val="0"/>
        </w:rPr>
      </w:pPr>
      <w:r>
        <w:rPr>
          <w:rFonts w:ascii="方正黑体_gbk" w:eastAsia="方正黑体_gbk" w:hint="eastAsia"/>
          <w:vanish w:val="0"/>
          <w:color w:val="auto"/>
          <w:sz w:val="32"/>
          <w:szCs w:val="32"/>
        </w:rPr>
        <w:t>四、政府信息公开行政复议、行政诉讼情况</w:t>
      </w:r>
    </w:p>
    <w:tbl>
      <w:tblPr>
        <w:jc w:val="left"/>
        <w:tblW w:w="9555"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CellMar>
          <w:top w:w="0" w:type="dxa"/>
          <w:left w:w="0" w:type="dxa"/>
          <w:bottom w:w="0" w:type="dxa"/>
          <w:right w:w="0" w:type="dxa"/>
        </w:tblCellMar>
      </w:tblPr>
      <w:tblGrid>
        <w:gridCol w:w="636"/>
        <w:gridCol w:w="636"/>
        <w:gridCol w:w="636"/>
        <w:gridCol w:w="636"/>
        <w:gridCol w:w="636"/>
        <w:gridCol w:w="636"/>
        <w:gridCol w:w="636"/>
        <w:gridCol w:w="636"/>
        <w:gridCol w:w="636"/>
        <w:gridCol w:w="636"/>
        <w:gridCol w:w="636"/>
        <w:gridCol w:w="636"/>
        <w:gridCol w:w="636"/>
        <w:gridCol w:w="636"/>
        <w:gridCol w:w="645"/>
      </w:tblGrid>
      <w:tr>
        <w:tc>
          <w:tcPr>
            <w:tcW w:w="3182" w:type="dxa"/>
            <w:gridSpan w:val="5"/>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行政复议</w:t>
            </w:r>
          </w:p>
        </w:tc>
        <w:tc>
          <w:tcPr>
            <w:tcW w:w="6373" w:type="dxa"/>
            <w:gridSpan w:val="10"/>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行政诉讼</w:t>
            </w:r>
          </w:p>
        </w:tc>
      </w:tr>
      <w:tr>
        <w:tc>
          <w:tcPr>
            <w:tcW w:w="636"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结果维持</w:t>
            </w:r>
          </w:p>
        </w:tc>
        <w:tc>
          <w:tcPr>
            <w:tcW w:w="636"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结果纠正</w:t>
            </w:r>
          </w:p>
        </w:tc>
        <w:tc>
          <w:tcPr>
            <w:tcW w:w="636"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其他结果</w:t>
            </w:r>
          </w:p>
        </w:tc>
        <w:tc>
          <w:tcPr>
            <w:tcW w:w="636"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尚未审结</w:t>
            </w:r>
          </w:p>
        </w:tc>
        <w:tc>
          <w:tcPr>
            <w:tcW w:w="636" w:type="dxa"/>
            <w:vMerge w:val="restart"/>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总</w:t>
            </w:r>
          </w:p>
          <w:p>
            <w:pPr>
              <w:pStyle w:val="92"/>
              <w:ind w:left="0" w:firstLineChars="200" w:firstLine="420"/>
              <w:rPr>
                <w:vanish w:val="0"/>
              </w:rPr>
            </w:pPr>
            <w:r>
              <w:rPr>
                <w:rFonts w:ascii="宋体" w:eastAsia="宋体" w:hint="eastAsia"/>
                <w:vanish w:val="0"/>
                <w:color w:val="auto"/>
                <w:sz w:val="21"/>
                <w:szCs w:val="21"/>
              </w:rPr>
              <w:t>计</w:t>
            </w:r>
          </w:p>
        </w:tc>
        <w:tc>
          <w:tcPr>
            <w:tcW w:w="3182" w:type="dxa"/>
            <w:gridSpan w:val="5"/>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未经复议直接起诉</w:t>
            </w:r>
          </w:p>
        </w:tc>
        <w:tc>
          <w:tcPr>
            <w:tcW w:w="3191" w:type="dxa"/>
            <w:gridSpan w:val="5"/>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复议后起诉</w:t>
            </w:r>
          </w:p>
        </w:tc>
      </w:tr>
      <w:tr>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vMerge/>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结果维持</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结果纠正</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其他结果</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尚未审结</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总</w:t>
            </w:r>
          </w:p>
          <w:p>
            <w:pPr>
              <w:pStyle w:val="92"/>
              <w:ind w:left="0" w:firstLineChars="200" w:firstLine="420"/>
              <w:rPr>
                <w:vanish w:val="0"/>
              </w:rPr>
            </w:pPr>
            <w:r>
              <w:rPr>
                <w:rFonts w:ascii="宋体" w:eastAsia="宋体" w:hint="eastAsia"/>
                <w:vanish w:val="0"/>
                <w:color w:val="auto"/>
                <w:sz w:val="21"/>
                <w:szCs w:val="21"/>
              </w:rPr>
              <w:t>计</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结果维持</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结果纠正</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其他结果</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尚未审结</w:t>
            </w: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420"/>
              <w:rPr>
                <w:vanish w:val="0"/>
              </w:rPr>
            </w:pPr>
            <w:r>
              <w:rPr>
                <w:rFonts w:ascii="宋体" w:eastAsia="宋体" w:hint="eastAsia"/>
                <w:vanish w:val="0"/>
                <w:color w:val="auto"/>
                <w:sz w:val="21"/>
                <w:szCs w:val="21"/>
              </w:rPr>
              <w:t>总计</w:t>
            </w:r>
          </w:p>
        </w:tc>
      </w:tr>
      <w:tr>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00"/>
              <w:rPr>
                <w:vanish w:val="0"/>
              </w:rPr>
            </w:pPr>
            <w:r>
              <w:rPr>
                <w:rFonts w:ascii="华文中宋" w:eastAsia="华文中宋" w:hint="eastAsia"/>
                <w:vanish w:val="0"/>
                <w:color w:val="auto"/>
                <w:sz w:val="15"/>
                <w:szCs w:val="15"/>
              </w:rPr>
              <w:t>2</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00"/>
              <w:rPr>
                <w:vanish w:val="0"/>
              </w:rPr>
            </w:pPr>
            <w:r>
              <w:rPr>
                <w:rFonts w:ascii="华文中宋" w:eastAsia="华文中宋" w:hint="eastAsia"/>
                <w:vanish w:val="0"/>
                <w:color w:val="auto"/>
                <w:sz w:val="15"/>
                <w:szCs w:val="15"/>
              </w:rPr>
              <w:t>2</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00"/>
              <w:rPr>
                <w:vanish w:val="0"/>
              </w:rPr>
            </w:pPr>
            <w:r>
              <w:rPr>
                <w:rFonts w:ascii="华文中宋" w:eastAsia="华文中宋" w:hint="eastAsia"/>
                <w:vanish w:val="0"/>
                <w:color w:val="auto"/>
                <w:sz w:val="15"/>
                <w:szCs w:val="15"/>
              </w:rPr>
              <w:t>0</w:t>
            </w: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36"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spacing w:before="100" w:beforeAutospacing="1" w:after="100" w:afterAutospacing="1"/>
              <w:ind w:left="0" w:firstLineChars="200" w:firstLine="480"/>
              <w:rPr>
                <w:vanish w:val="0"/>
              </w:rPr>
            </w:pPr>
          </w:p>
        </w:tc>
        <w:tc>
          <w:tcPr>
            <w:tcW w:w="645"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pPr>
              <w:pStyle w:val="92"/>
              <w:ind w:left="0" w:firstLineChars="200" w:firstLine="300"/>
              <w:rPr>
                <w:vanish w:val="0"/>
              </w:rPr>
            </w:pPr>
            <w:r>
              <w:rPr>
                <w:rFonts w:ascii="华文中宋" w:eastAsia="华文中宋" w:hint="eastAsia"/>
                <w:vanish w:val="0"/>
                <w:color w:val="auto"/>
                <w:sz w:val="15"/>
                <w:szCs w:val="15"/>
              </w:rPr>
              <w:t>0</w:t>
            </w:r>
          </w:p>
        </w:tc>
      </w:tr>
    </w:tbl>
    <w:p>
      <w:pPr>
        <w:pStyle w:val="92"/>
        <w:pBdr>
          <w:top w:val="none" w:sz="0" w:space="0" w:color="auto"/>
          <w:left w:val="none" w:sz="0" w:space="0" w:color="auto"/>
          <w:bottom w:val="none" w:sz="0" w:space="0" w:color="auto"/>
          <w:right w:val="none" w:sz="0" w:space="0" w:color="auto"/>
        </w:pBdr>
        <w:rPr>
          <w:vanish w:val="0"/>
        </w:rPr>
      </w:pPr>
      <w:r>
        <w:rPr>
          <w:rFonts w:ascii="方正黑体_gbk" w:eastAsia="方正黑体_gbk" w:hint="eastAsia"/>
          <w:vanish w:val="0"/>
          <w:color w:val="auto"/>
          <w:sz w:val="32"/>
          <w:szCs w:val="32"/>
        </w:rPr>
        <w:t>五、存在的主要问题及改进情况</w:t>
      </w:r>
    </w:p>
    <w:p>
      <w:pPr>
        <w:pStyle w:val="92"/>
        <w:ind w:firstLineChars="200" w:firstLine="640"/>
      </w:pPr>
      <w:r>
        <w:rPr>
          <w:rFonts w:ascii="方正仿宋_gbk" w:eastAsia="方正仿宋_gbk" w:hint="eastAsia"/>
          <w:color w:val="auto"/>
          <w:sz w:val="32"/>
          <w:szCs w:val="32"/>
        </w:rPr>
        <w:t> 昆明海关机关2019年政府信息公开工作取得了一定成效，但工作水平仍有提升空间。主要表现为：政府信息公开制度不够完善；政府信息公开从业人员专业能力有待提升。</w:t>
      </w:r>
    </w:p>
    <w:p>
      <w:pPr>
        <w:pStyle w:val="92"/>
        <w:ind w:firstLineChars="200" w:firstLine="640"/>
      </w:pPr>
      <w:r>
        <w:rPr>
          <w:rFonts w:ascii="方正仿宋_gbk" w:eastAsia="方正仿宋_gbk" w:hint="eastAsia"/>
          <w:color w:val="auto"/>
          <w:sz w:val="32"/>
          <w:szCs w:val="32"/>
        </w:rPr>
        <w:t>  2020年，昆明海关机关仍将继续按照相关要求，进一步推进昆明海关机关政府信息公开工作深入开展。</w:t>
      </w:r>
    </w:p>
    <w:p>
      <w:pPr>
        <w:pStyle w:val="92"/>
        <w:ind w:firstLineChars="200" w:firstLine="640"/>
      </w:pPr>
      <w:r>
        <w:rPr>
          <w:rFonts w:ascii="方正仿宋_gbk" w:eastAsia="方正仿宋_gbk" w:hint="eastAsia"/>
          <w:color w:val="auto"/>
          <w:sz w:val="32"/>
          <w:szCs w:val="32"/>
        </w:rPr>
        <w:t>（一）根据《中华人民共和国政府信息公开条例》，修订完善昆明海关政府信息公开相关规定，为标准化开展政府信息公开工作奠定基础。</w:t>
      </w:r>
    </w:p>
    <w:p>
      <w:pPr>
        <w:pStyle w:val="92"/>
        <w:ind w:firstLineChars="200" w:firstLine="640"/>
      </w:pPr>
      <w:r>
        <w:rPr>
          <w:rFonts w:ascii="方正仿宋_gbk" w:eastAsia="方正仿宋_gbk" w:hint="eastAsia"/>
          <w:color w:val="auto"/>
          <w:sz w:val="32"/>
          <w:szCs w:val="32"/>
        </w:rPr>
        <w:t>（二）有针对性开展政府信息公开工作教育培训，合理制定培训计划，科学安排培训内容，持续提升政府信息公开工作人员的业务能力和服务水平。</w:t>
      </w:r>
    </w:p>
    <w:p>
      <w:pPr>
        <w:pStyle w:val="92"/>
        <w:pBdr>
          <w:top w:val="none" w:sz="0" w:space="0" w:color="auto"/>
          <w:left w:val="none" w:sz="0" w:space="0" w:color="auto"/>
          <w:bottom w:val="none" w:sz="0" w:space="0" w:color="auto"/>
          <w:right w:val="none" w:sz="0" w:space="0" w:color="auto"/>
        </w:pBdr>
        <w:rPr>
          <w:vanish w:val="0"/>
        </w:rPr>
      </w:pPr>
      <w:r>
        <w:rPr>
          <w:rFonts w:ascii="方正黑体_gbk" w:eastAsia="方正黑体_gbk" w:hint="eastAsia"/>
          <w:vanish w:val="0"/>
          <w:color w:val="auto"/>
          <w:sz w:val="32"/>
          <w:szCs w:val="32"/>
        </w:rPr>
        <w:t>六、其他需要报告的事项</w:t>
      </w:r>
    </w:p>
    <w:p>
      <w:pPr>
        <w:pStyle w:val="92"/>
        <w:ind w:firstLineChars="200" w:firstLine="640"/>
      </w:pPr>
      <w:r>
        <w:rPr>
          <w:rFonts w:ascii="方正仿宋_gbk" w:eastAsia="方正仿宋_gbk" w:hint="eastAsia"/>
          <w:color w:val="auto"/>
          <w:sz w:val="32"/>
          <w:szCs w:val="32"/>
        </w:rPr>
        <w:t>  无。</w:t>
      </w:r>
    </w:p>
    <w:p>
      <w:pPr>
        <w:spacing w:before="100" w:beforeAutospacing="1" w:after="100" w:afterAutospacing="1"/>
        <w:ind w:firstLineChars="200" w:firstLine="480"/>
        <w:jc w:val="left"/>
      </w:pPr>
      <w:bookmarkStart w:id="0" w:name="_GoBack"/>
      <w:bookmarkEnd w:id="0"/>
    </w:p>
    <w:sectPr>
      <w:footerReference w:type="default" r:id="rId2"/>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仿宋_GBK">
    <w:altName w:val="Arial Unicode MS"/>
    <w:panose1 w:val="03000509000000000000"/>
    <w:charset w:val="86"/>
    <w:family w:val="script"/>
    <w:pitch w:val="variable"/>
    <w:sig w:usb0="00000001" w:usb1="080E0000" w:usb2="00000000" w:usb3="00000000" w:csb0="00040000" w:csb1="00000000"/>
  </w:font>
  <w:font w:name="方正黑体_gbk">
    <w:panose1 w:val="00000000000000000000"/>
    <w:charset w:val="00"/>
    <w:family w:val="auto"/>
    <w:pitch w:val="variable"/>
    <w:sig w:usb0="00000000" w:usb1="00000000" w:usb2="00000000" w:usb3="00000000" w:csb0="00000000" w:csb1="00000000"/>
  </w:font>
  <w:font w:name="Times New Roman">
    <w:panose1 w:val="02020603050405020304"/>
    <w:charset w:val="00"/>
    <w:family w:val="auto"/>
    <w:pitch w:val="variable"/>
    <w:sig w:usb0="00000A87" w:usb1="00000000" w:usb2="00000000" w:usb3="00000000" w:csb0="400001BF" w:csb1="DFF70000"/>
  </w:font>
  <w:font w:name="方正楷体_gbk">
    <w:panose1 w:val="00000000000000000000"/>
    <w:charset w:val="00"/>
    <w:family w:val="auto"/>
    <w:pitch w:val="variable"/>
    <w:sig w:usb0="00000000" w:usb1="00000000" w:usb2="00000000" w:usb3="00000000" w:csb0="00000000" w:csb1="00000000"/>
  </w:font>
  <w:font w:name="宋体">
    <w:panose1 w:val="02010600030101010101"/>
    <w:charset w:val="86"/>
    <w:family w:val="auto"/>
    <w:pitch w:val="variable"/>
    <w:sig w:usb0="00000003" w:usb1="080E0000" w:usb2="00000000" w:usb3="00000000" w:csb0="00040001" w:csb1="00000000"/>
  </w:font>
  <w:font w:name="方正黑体简体">
    <w:panose1 w:val="00000000000000000000"/>
    <w:charset w:val="00"/>
    <w:family w:val="auto"/>
    <w:pitch w:val="variable"/>
    <w:sig w:usb0="00000000" w:usb1="00000000" w:usb2="00000000" w:usb3="00000000" w:csb0="00000000" w:csb1="00000000"/>
  </w:font>
  <w:font w:name="华文中宋">
    <w:panose1 w:val="02010600040101010101"/>
    <w:charset w:val="86"/>
    <w:family w:val="auto"/>
    <w:pitch w:val="variable"/>
    <w:sig w:usb0="00000287" w:usb1="080F0000" w:usb2="00000000" w:usb3="00000000" w:csb0="0004009F" w:csb1="DFD7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33"/>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left"/>
    </w:pPr>
    <w:rPr>
      <w:rFonts w:ascii="宋体" w:eastAsia="宋体"/>
      <w:kern w:val="2"/>
      <w:sz w:val="24"/>
      <w:szCs w:val="21"/>
      <w:lang w:val="en-US" w:eastAsia="zh-CN"/>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32">
    <w:name w:val="header"/>
    <w:basedOn w:val="0"/>
    <w:pPr>
      <w:pBdr>
        <w:bottom w:val="single" w:sz="6" w:space="1" w:color="auto"/>
      </w:pBdr>
      <w:tabs>
        <w:tab w:val="center" w:pos="4153"/>
        <w:tab w:val="right" w:pos="8307"/>
      </w:tabs>
      <w:snapToGrid w:val="0"/>
      <w:jc w:val="center"/>
    </w:pPr>
    <w:rPr>
      <w:sz w:val="18"/>
    </w:rPr>
  </w:style>
  <w:style w:type="paragraph" w:styleId="33">
    <w:name w:val="footer"/>
    <w:basedOn w:val="0"/>
    <w:pPr>
      <w:tabs>
        <w:tab w:val="center" w:pos="4153"/>
        <w:tab w:val="right" w:pos="8307"/>
      </w:tabs>
      <w:snapToGrid w:val="0"/>
      <w:jc w:val="left"/>
    </w:pPr>
    <w:rPr>
      <w:sz w:val="18"/>
    </w:rPr>
  </w:style>
  <w:style w:type="character" w:styleId="85">
    <w:name w:val="Hyperlink"/>
    <w:rPr>
      <w:color w:val="0000FF"/>
      <w:u w:val="single"/>
    </w:rPr>
  </w:style>
  <w:style w:type="paragraph" w:styleId="92">
    <w:name w:val="Normal (Web)"/>
    <w:pPr>
      <w:widowControl w:val="0"/>
      <w:spacing w:before="100" w:beforeAutospacing="1" w:after="100" w:afterAutospacing="1"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3</TotalTime>
  <Application>Yozo_Office</Application>
  <Pages>6</Pages>
  <Words>2607</Words>
  <Characters>2789</Characters>
  <Lines>418</Lines>
  <Paragraphs>144</Paragraphs>
  <CharactersWithSpaces>2804</CharactersWithSpaces>
  <Company>P R C</Company>
</Properties>
</file>

<file path=docProps/core.xml><?xml version="1.0" encoding="utf-8"?>
<cp:coreProperties xmlns:cp="http://schemas.openxmlformats.org/package/2006/metadata/core-properties" xmlns:dc="http://purl.org/dc/elements/1.1/" xmlns:dcterms="http://purl.org/dc/terms/" xmlns:xsi="http://www.w3.org/2001/XMLSchema-instance">
  <dc:creator>资凡</dc:creator>
  <cp:lastModifiedBy>资凡</cp:lastModifiedBy>
  <cp:revision>1</cp:revision>
  <dcterms:created xsi:type="dcterms:W3CDTF">2023-04-04T09:45:09Z</dcterms:created>
  <dcterms:modified xsi:type="dcterms:W3CDTF">2023-04-04T09:48:21Z</dcterms:modified>
</cp:coreProperties>
</file>