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11"/>
        <w:spacing w:line="580" w:lineRule="exact"/>
        <w:rPr>
          <w:rFonts w:ascii="方正黑体_GBK" w:eastAsia="方正黑体_GBK" w:cs="方正小标宋_GBK" w:hint="eastAsia"/>
          <w:szCs w:val="32"/>
          <w:lang w:bidi="ar-SA"/>
        </w:rPr>
      </w:pPr>
      <w:bookmarkStart w:id="0" w:name="_Hlk25540369"/>
      <w:bookmarkStart w:id="1" w:name="cogw__正文__file"/>
      <w:r>
        <w:rPr>
          <w:rFonts w:ascii="方正黑体_GBK" w:eastAsia="方正黑体_GBK" w:cs="方正小标宋_GBK" w:hint="eastAsia"/>
          <w:sz w:val="32"/>
          <w:szCs w:val="32"/>
          <w:lang w:bidi="ar-SA"/>
        </w:rPr>
        <w:t>附件</w:t>
      </w:r>
    </w:p>
    <w:p>
      <w:pPr>
        <w:pStyle w:val="111"/>
        <w:spacing w:line="580" w:lineRule="exact"/>
        <w:jc w:val="center"/>
        <w:rPr>
          <w:rFonts w:ascii="方正小标宋_GBK" w:eastAsia="方正小标宋_GBK" w:cs="方正小标宋_GBK" w:hint="eastAsia"/>
          <w:sz w:val="44"/>
          <w:szCs w:val="44"/>
          <w:lang w:bidi="ar-SA"/>
        </w:rPr>
      </w:pPr>
    </w:p>
    <w:p>
      <w:pPr>
        <w:pStyle w:val="23"/>
        <w:spacing w:line="560"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汕头海关</w:t>
      </w:r>
      <w:r>
        <w:rPr>
          <w:rFonts w:ascii="方正小标宋_GBK" w:eastAsia="方正小标宋_GBK" w:cs="方正小标宋_GBK"/>
          <w:sz w:val="44"/>
          <w:szCs w:val="44"/>
        </w:rPr>
        <w:t>关区</w:t>
      </w:r>
      <w:r>
        <w:rPr>
          <w:rFonts w:ascii="方正小标宋_GBK" w:eastAsia="方正小标宋_GBK" w:cs="方正小标宋_GBK" w:hint="eastAsia"/>
          <w:sz w:val="44"/>
          <w:szCs w:val="44"/>
        </w:rPr>
        <w:t>20</w:t>
      </w:r>
      <w:r>
        <w:rPr>
          <w:rFonts w:ascii="方正小标宋_GBK" w:eastAsia="方正小标宋_GBK" w:cs="方正小标宋_GBK"/>
          <w:sz w:val="44"/>
          <w:szCs w:val="44"/>
        </w:rPr>
        <w:t>25</w:t>
      </w:r>
      <w:r>
        <w:rPr>
          <w:rFonts w:ascii="方正小标宋_GBK" w:eastAsia="方正小标宋_GBK" w:cs="方正小标宋_GBK" w:hint="eastAsia"/>
          <w:sz w:val="44"/>
          <w:szCs w:val="44"/>
        </w:rPr>
        <w:t>年政府信息公开</w:t>
      </w:r>
    </w:p>
    <w:p>
      <w:pPr>
        <w:pStyle w:val="23"/>
        <w:spacing w:line="560" w:lineRule="exact"/>
        <w:jc w:val="center"/>
        <w:rPr>
          <w:rFonts w:ascii="方正小标宋_GBK" w:eastAsia="方正小标宋_GBK" w:cs="方正小标宋_GBK" w:hint="eastAsia"/>
          <w:sz w:val="44"/>
          <w:szCs w:val="44"/>
        </w:rPr>
      </w:pPr>
      <w:r>
        <w:rPr>
          <w:rFonts w:ascii="方正小标宋_GBK" w:eastAsia="方正小标宋_GBK" w:cs="方正小标宋_GBK" w:hint="eastAsia"/>
          <w:sz w:val="44"/>
          <w:szCs w:val="44"/>
        </w:rPr>
        <w:t>工作年度报告</w:t>
      </w:r>
      <w:bookmarkEnd w:id="0"/>
    </w:p>
    <w:p>
      <w:pPr>
        <w:pStyle w:val="21"/>
        <w:widowControl/>
        <w:shd w:val="clear" w:color="auto" w:fill="FFFFFF"/>
        <w:adjustRightInd w:val="0"/>
        <w:snapToGrid w:val="0"/>
        <w:spacing w:beforeAutospacing="0" w:afterAutospacing="0" w:line="560" w:lineRule="exact"/>
        <w:jc w:val="both"/>
        <w:rPr>
          <w:rFonts w:ascii="楷体_GB2312" w:eastAsia="楷体_GB2312" w:cs="楷体_GB2312" w:hint="eastAsia"/>
          <w:bCs/>
          <w:sz w:val="32"/>
          <w:szCs w:val="32"/>
          <w:shd w:val="clear" w:color="auto" w:fill="FFFFFF"/>
        </w:rPr>
      </w:pPr>
    </w:p>
    <w:p>
      <w:pPr>
        <w:pStyle w:val="21"/>
        <w:widowControl/>
        <w:shd w:val="clear" w:color="auto" w:fill="FFFFFF"/>
        <w:adjustRightInd w:val="0"/>
        <w:snapToGrid w:val="0"/>
        <w:spacing w:beforeAutospacing="0" w:afterAutospacing="0" w:line="560" w:lineRule="exact"/>
        <w:ind w:firstLineChars="200" w:firstLine="624"/>
        <w:jc w:val="both"/>
        <w:rPr>
          <w:rFonts w:eastAsia="方正仿宋_GBK" w:hint="eastAsia"/>
          <w:bCs/>
          <w:spacing w:val="-4"/>
          <w:sz w:val="32"/>
          <w:szCs w:val="32"/>
          <w:shd w:val="clear" w:color="auto" w:fill="FFFFFF"/>
        </w:rPr>
      </w:pPr>
      <w:r>
        <w:rPr>
          <w:rFonts w:eastAsia="方正仿宋_GBK" w:hint="eastAsia"/>
          <w:bCs/>
          <w:spacing w:val="-4"/>
          <w:sz w:val="32"/>
          <w:szCs w:val="32"/>
          <w:shd w:val="clear" w:color="auto" w:fill="FFFFFF"/>
        </w:rPr>
        <w:t>根据《中华人民共和国政府信息公开条例》《国务院办公厅政府信息与政务公开办公室关于政府信息公开工作年度报告有关事项的通知》等规定，</w:t>
      </w:r>
      <w:r>
        <w:rPr>
          <w:rFonts w:eastAsia="方正仿宋_GBK"/>
          <w:bCs/>
          <w:spacing w:val="-4"/>
          <w:sz w:val="32"/>
          <w:szCs w:val="32"/>
          <w:shd w:val="clear" w:color="auto" w:fill="FFFFFF"/>
        </w:rPr>
        <w:t>现公布</w:t>
      </w:r>
      <w:r>
        <w:rPr>
          <w:rFonts w:eastAsia="方正仿宋_GBK" w:hint="eastAsia"/>
          <w:bCs/>
          <w:spacing w:val="-4"/>
          <w:sz w:val="32"/>
          <w:szCs w:val="32"/>
          <w:shd w:val="clear" w:color="auto" w:fill="FFFFFF"/>
        </w:rPr>
        <w:t>20</w:t>
      </w:r>
      <w:r>
        <w:rPr>
          <w:rFonts w:eastAsia="方正仿宋_GBK"/>
          <w:bCs/>
          <w:spacing w:val="-4"/>
          <w:sz w:val="32"/>
          <w:szCs w:val="32"/>
          <w:shd w:val="clear" w:color="auto" w:fill="FFFFFF"/>
        </w:rPr>
        <w:t>25</w:t>
      </w:r>
      <w:r>
        <w:rPr>
          <w:rFonts w:eastAsia="方正仿宋_GBK" w:hint="eastAsia"/>
          <w:bCs/>
          <w:spacing w:val="-4"/>
          <w:sz w:val="32"/>
          <w:szCs w:val="32"/>
          <w:shd w:val="clear" w:color="auto" w:fill="FFFFFF"/>
        </w:rPr>
        <w:t>年度汕头海关</w:t>
      </w:r>
      <w:r>
        <w:rPr>
          <w:rFonts w:eastAsia="方正仿宋_GBK"/>
          <w:bCs/>
          <w:spacing w:val="-4"/>
          <w:sz w:val="32"/>
          <w:szCs w:val="32"/>
          <w:shd w:val="clear" w:color="auto" w:fill="FFFFFF"/>
        </w:rPr>
        <w:t>关区</w:t>
      </w:r>
      <w:r>
        <w:rPr>
          <w:rFonts w:eastAsia="方正仿宋_GBK" w:hint="eastAsia"/>
          <w:bCs/>
          <w:spacing w:val="-4"/>
          <w:sz w:val="32"/>
          <w:szCs w:val="32"/>
          <w:shd w:val="clear" w:color="auto" w:fill="FFFFFF"/>
        </w:rPr>
        <w:t>政府信息公开工作</w:t>
      </w:r>
      <w:r>
        <w:rPr>
          <w:rFonts w:eastAsia="方正仿宋_GBK"/>
          <w:bCs/>
          <w:spacing w:val="-4"/>
          <w:sz w:val="32"/>
          <w:szCs w:val="32"/>
          <w:shd w:val="clear" w:color="auto" w:fill="FFFFFF"/>
        </w:rPr>
        <w:t>年度报告</w:t>
      </w:r>
      <w:r>
        <w:rPr>
          <w:rFonts w:eastAsia="方正仿宋_GBK" w:hint="eastAsia"/>
          <w:bCs/>
          <w:spacing w:val="-4"/>
          <w:sz w:val="32"/>
          <w:szCs w:val="32"/>
          <w:shd w:val="clear" w:color="auto" w:fill="FFFFFF"/>
        </w:rPr>
        <w:t>。</w:t>
      </w:r>
      <w:r>
        <w:rPr>
          <w:rFonts w:eastAsia="方正仿宋_GBK"/>
          <w:bCs/>
          <w:spacing w:val="-4"/>
          <w:sz w:val="32"/>
          <w:szCs w:val="32"/>
          <w:shd w:val="clear" w:color="auto" w:fill="FFFFFF"/>
        </w:rPr>
        <w:t>报告中所有项目数据统计时间为202</w:t>
      </w:r>
      <w:r>
        <w:rPr>
          <w:rFonts w:eastAsia="方正仿宋_GBK"/>
          <w:bCs/>
          <w:spacing w:val="-4"/>
          <w:sz w:val="32"/>
          <w:szCs w:val="32"/>
          <w:shd w:val="clear" w:color="auto" w:fill="FFFFFF"/>
          <w:lang w:val="en-US" w:eastAsia="zh-CN"/>
        </w:rPr>
        <w:t>5</w:t>
      </w:r>
      <w:r>
        <w:rPr>
          <w:rFonts w:eastAsia="方正仿宋_GBK"/>
          <w:bCs/>
          <w:spacing w:val="-4"/>
          <w:sz w:val="32"/>
          <w:szCs w:val="32"/>
          <w:shd w:val="clear" w:color="auto" w:fill="FFFFFF"/>
        </w:rPr>
        <w:t>年1月1日至12月31日。本报告</w:t>
      </w:r>
      <w:r>
        <w:rPr>
          <w:rFonts w:ascii="方正仿宋_GBK" w:eastAsia="方正仿宋_GBK" w:cs="楷体_GB2312" w:hint="eastAsia"/>
          <w:bCs/>
          <w:spacing w:val="-4"/>
          <w:sz w:val="32"/>
          <w:szCs w:val="32"/>
          <w:shd w:val="clear" w:color="auto" w:fill="FFFFFF"/>
        </w:rPr>
        <w:t>电子版可在“汕头海关门户网站”</w:t>
      </w:r>
      <w:r>
        <w:rPr>
          <w:rFonts w:eastAsia="方正仿宋_GBK"/>
          <w:bCs/>
          <w:spacing w:val="-4"/>
          <w:sz w:val="32"/>
          <w:szCs w:val="32"/>
          <w:shd w:val="clear" w:color="auto" w:fill="FFFFFF"/>
        </w:rPr>
        <w:t>（http://shantou.customs.gov.cn/）</w:t>
      </w:r>
      <w:r>
        <w:rPr>
          <w:rFonts w:ascii="方正仿宋_GBK" w:eastAsia="方正仿宋_GBK" w:cs="楷体_GB2312" w:hint="eastAsia"/>
          <w:bCs/>
          <w:spacing w:val="-4"/>
          <w:sz w:val="32"/>
          <w:szCs w:val="32"/>
          <w:shd w:val="clear" w:color="auto" w:fill="FFFFFF"/>
        </w:rPr>
        <w:t>下</w:t>
      </w:r>
      <w:r>
        <w:rPr>
          <w:rFonts w:eastAsia="方正仿宋_GBK"/>
          <w:bCs/>
          <w:spacing w:val="-4"/>
          <w:sz w:val="32"/>
          <w:szCs w:val="32"/>
          <w:shd w:val="clear" w:color="auto" w:fill="FFFFFF"/>
        </w:rPr>
        <w:t>载。如对本报告有任何疑问，请与</w:t>
      </w:r>
      <w:r>
        <w:rPr>
          <w:rFonts w:eastAsia="方正仿宋_GBK" w:hint="eastAsia"/>
          <w:bCs/>
          <w:spacing w:val="-4"/>
          <w:sz w:val="32"/>
          <w:szCs w:val="32"/>
          <w:shd w:val="clear" w:color="auto" w:fill="FFFFFF"/>
        </w:rPr>
        <w:t>汕头</w:t>
      </w:r>
      <w:r>
        <w:rPr>
          <w:rFonts w:eastAsia="方正仿宋_GBK"/>
          <w:bCs/>
          <w:spacing w:val="-4"/>
          <w:sz w:val="32"/>
          <w:szCs w:val="32"/>
          <w:shd w:val="clear" w:color="auto" w:fill="FFFFFF"/>
        </w:rPr>
        <w:t>海关联系，电话：0754</w:t>
      </w:r>
      <w:r>
        <w:rPr>
          <w:rFonts w:eastAsia="方正仿宋_GBK" w:hint="eastAsia"/>
          <w:bCs/>
          <w:spacing w:val="-4"/>
          <w:sz w:val="32"/>
          <w:szCs w:val="32"/>
          <w:shd w:val="clear" w:color="auto" w:fill="FFFFFF"/>
        </w:rPr>
        <w:t>—</w:t>
      </w:r>
      <w:r>
        <w:rPr>
          <w:bCs/>
          <w:color w:val="000000"/>
          <w:sz w:val="32"/>
          <w:szCs w:val="32"/>
          <w:shd w:val="clear" w:color="auto" w:fill="FFFFFF"/>
        </w:rPr>
        <w:t>88198114</w:t>
      </w:r>
      <w:r>
        <w:rPr>
          <w:rFonts w:eastAsia="方正仿宋_GBK"/>
          <w:bCs/>
          <w:spacing w:val="-4"/>
          <w:sz w:val="32"/>
          <w:szCs w:val="32"/>
          <w:shd w:val="clear" w:color="auto" w:fill="FFFFFF"/>
        </w:rPr>
        <w:t>。</w:t>
      </w:r>
    </w:p>
    <w:p>
      <w:pPr>
        <w:pStyle w:val="24"/>
        <w:adjustRightInd w:val="0"/>
        <w:snapToGrid w:val="0"/>
        <w:ind w:firstLineChars="200" w:firstLine="624"/>
        <w:rPr>
          <w:bCs/>
          <w:color w:val="000000"/>
          <w:szCs w:val="32"/>
          <w:shd w:val="clear" w:color="auto" w:fill="FFFFFF"/>
        </w:rPr>
      </w:pPr>
      <w:r>
        <w:rPr>
          <w:rFonts w:ascii="方正黑体_GBK" w:eastAsia="方正黑体_GBK" w:cs="楷体_GB2312" w:hint="eastAsia"/>
          <w:bCs/>
          <w:szCs w:val="32"/>
          <w:shd w:val="clear" w:color="auto" w:fill="FFFFFF"/>
        </w:rPr>
        <w:t>一、总体情况</w:t>
      </w:r>
    </w:p>
    <w:p>
      <w:pPr>
        <w:pStyle w:val="24"/>
        <w:adjustRightInd w:val="0"/>
        <w:snapToGrid w:val="0"/>
        <w:ind w:firstLineChars="200" w:firstLine="624"/>
        <w:rPr>
          <w:bCs/>
          <w:color w:val="000000"/>
          <w:shd w:val="clear" w:color="auto" w:fill="FFFFFF"/>
        </w:rPr>
      </w:pPr>
      <w:r>
        <w:rPr>
          <w:bCs/>
          <w:color w:val="000000"/>
          <w:szCs w:val="32"/>
          <w:shd w:val="clear" w:color="auto" w:fill="FFFFFF"/>
        </w:rPr>
        <w:t>2025</w:t>
      </w:r>
      <w:r>
        <w:rPr>
          <w:rFonts w:hint="eastAsia"/>
          <w:bCs/>
          <w:color w:val="000000"/>
          <w:szCs w:val="32"/>
          <w:shd w:val="clear" w:color="auto" w:fill="FFFFFF"/>
        </w:rPr>
        <w:t>年，</w:t>
      </w:r>
      <w:r>
        <w:rPr>
          <w:bCs/>
          <w:color w:val="000000"/>
          <w:szCs w:val="32"/>
          <w:shd w:val="clear" w:color="auto" w:fill="FFFFFF"/>
        </w:rPr>
        <w:t>汕头海关</w:t>
      </w:r>
      <w:r>
        <w:rPr>
          <w:rFonts w:hint="eastAsia"/>
        </w:rPr>
        <w:t>深入学习宣传贯彻</w:t>
      </w:r>
      <w:r>
        <w:rPr>
          <w:rFonts w:hint="eastAsia"/>
          <w:spacing w:val="0"/>
          <w:kern w:val="0"/>
        </w:rPr>
        <w:t>党的二十大和二十届历次全会精神，</w:t>
      </w:r>
      <w:r>
        <w:rPr>
          <w:spacing w:val="0"/>
          <w:kern w:val="0"/>
        </w:rPr>
        <w:t>深入学习</w:t>
      </w:r>
      <w:r>
        <w:rPr>
          <w:rFonts w:hint="eastAsia"/>
          <w:spacing w:val="0"/>
          <w:kern w:val="0"/>
        </w:rPr>
        <w:t>贯彻习近平总书记对海关工作的重要指示批示和给红其拉甫海关全体关员重要回信精神，</w:t>
      </w:r>
      <w:r>
        <w:rPr>
          <w:spacing w:val="0"/>
          <w:kern w:val="0"/>
        </w:rPr>
        <w:t>准确把握新时代政务公开职责定位，依法及时准确公开政府信息，积极回应社会关切，努力提升公开质效，以高质量政务公开推动海关高质量发展。</w:t>
      </w:r>
    </w:p>
    <w:p>
      <w:pPr>
        <w:pStyle w:val="69"/>
        <w:adjustRightInd w:val="0"/>
        <w:snapToGrid w:val="0"/>
        <w:ind w:firstLineChars="200" w:firstLine="624"/>
        <w:rPr>
          <w:rFonts w:ascii="方正楷体_GBK" w:eastAsia="方正楷体_GBK"/>
          <w:lang w:eastAsia="zh-CN"/>
        </w:rPr>
      </w:pPr>
      <w:r>
        <w:rPr>
          <w:rFonts w:ascii="方正楷体_GBK" w:eastAsia="方正楷体_GBK" w:hint="eastAsia"/>
          <w:bCs/>
          <w:color w:val="000000"/>
          <w:shd w:val="clear" w:color="auto" w:fill="FFFFFF"/>
        </w:rPr>
        <w:t>（一）</w:t>
      </w:r>
      <w:r>
        <w:rPr>
          <w:rFonts w:ascii="方正楷体_GBK" w:eastAsia="方正楷体_GBK"/>
          <w:lang w:eastAsia="zh-CN"/>
        </w:rPr>
        <w:t>聚焦提质增效，在主动公开上持续发力</w:t>
      </w:r>
    </w:p>
    <w:p>
      <w:pPr>
        <w:pStyle w:val="69"/>
        <w:adjustRightInd w:val="0"/>
        <w:snapToGrid w:val="0"/>
        <w:ind w:firstLineChars="200" w:firstLine="624"/>
        <w:rPr>
          <w:rFonts w:ascii="Times New Roman" w:cs="方正仿宋_GBK" w:hAnsi="Times New Roman"/>
          <w:sz w:val="32"/>
          <w:szCs w:val="32"/>
          <w:lang w:val="en-US" w:eastAsia="zh-CN" w:bidi="ar-SA"/>
        </w:rPr>
      </w:pPr>
      <w:r>
        <w:rPr>
          <w:rFonts w:ascii="方正仿宋_GBK" w:hint="eastAsia"/>
          <w:lang w:eastAsia="zh-CN"/>
        </w:rPr>
        <w:t>强化主动公开意识，</w:t>
      </w:r>
      <w:r>
        <w:rPr>
          <w:rFonts w:ascii="方正仿宋_GBK"/>
          <w:lang w:eastAsia="zh-CN"/>
        </w:rPr>
        <w:t>规范政务信息发布，</w:t>
      </w:r>
      <w:r>
        <w:rPr>
          <w:lang w:eastAsia="zh-CN"/>
        </w:rPr>
        <w:t>2025</w:t>
      </w:r>
      <w:r>
        <w:rPr>
          <w:rFonts w:ascii="方正仿宋_GBK"/>
          <w:lang w:eastAsia="zh-CN"/>
        </w:rPr>
        <w:t>年关区通过汕头海关门户网站</w:t>
      </w:r>
      <w:r>
        <w:rPr>
          <w:rFonts w:ascii="Times New Roman" w:cs="方正仿宋_GBK" w:hAnsi="Times New Roman" w:hint="eastAsia"/>
          <w:sz w:val="32"/>
          <w:szCs w:val="32"/>
          <w:lang w:val="en-US" w:eastAsia="zh-CN" w:bidi="ar-SA"/>
        </w:rPr>
        <w:t>“</w:t>
      </w:r>
      <w:r>
        <w:rPr>
          <w:rFonts w:ascii="Times New Roman" w:cs="方正仿宋_GBK" w:hAnsi="Times New Roman"/>
          <w:sz w:val="32"/>
          <w:szCs w:val="32"/>
          <w:lang w:val="en-US" w:eastAsia="zh-CN" w:bidi="ar-SA"/>
        </w:rPr>
        <w:t>政府信息公开</w:t>
      </w:r>
      <w:r>
        <w:rPr>
          <w:rFonts w:ascii="Times New Roman" w:cs="方正仿宋_GBK" w:hAnsi="Times New Roman" w:hint="eastAsia"/>
          <w:sz w:val="32"/>
          <w:szCs w:val="32"/>
          <w:lang w:val="en-US" w:eastAsia="zh-CN" w:bidi="ar-SA"/>
        </w:rPr>
        <w:t>”</w:t>
      </w:r>
      <w:r>
        <w:rPr>
          <w:rFonts w:ascii="Times New Roman" w:cs="方正仿宋_GBK" w:hAnsi="Times New Roman"/>
          <w:sz w:val="32"/>
          <w:szCs w:val="32"/>
          <w:lang w:val="en-US" w:eastAsia="zh-CN" w:bidi="ar-SA"/>
        </w:rPr>
        <w:t>专栏累计发布各类政府信息</w:t>
      </w:r>
      <w:r>
        <w:rPr>
          <w:sz w:val="32"/>
          <w:szCs w:val="32"/>
          <w:lang w:val="en-US" w:eastAsia="zh-CN" w:bidi="ar-SA"/>
        </w:rPr>
        <w:t>1388</w:t>
      </w:r>
      <w:r>
        <w:rPr>
          <w:rFonts w:ascii="Times New Roman" w:cs="方正仿宋_GBK" w:hAnsi="Times New Roman"/>
          <w:sz w:val="32"/>
          <w:szCs w:val="32"/>
          <w:lang w:val="en-US" w:eastAsia="zh-CN" w:bidi="ar-SA"/>
        </w:rPr>
        <w:t>条。持续做好汕头海关财政预决算、政府采购信息、外贸进出口快报、</w:t>
      </w:r>
      <w:r>
        <w:rPr>
          <w:rFonts w:ascii="Times New Roman" w:cs="方正仿宋_GBK" w:hAnsi="Times New Roman" w:hint="eastAsia"/>
          <w:sz w:val="32"/>
          <w:szCs w:val="32"/>
          <w:lang w:val="en-US" w:eastAsia="zh-CN" w:bidi="ar-SA"/>
        </w:rPr>
        <w:t>“</w:t>
      </w:r>
      <w:r>
        <w:rPr>
          <w:rFonts w:ascii="Times New Roman" w:cs="方正仿宋_GBK" w:hAnsi="Times New Roman"/>
          <w:sz w:val="32"/>
          <w:szCs w:val="32"/>
          <w:lang w:val="en-US" w:eastAsia="zh-CN" w:bidi="ar-SA"/>
        </w:rPr>
        <w:t>双随机、一公开</w:t>
      </w:r>
      <w:r>
        <w:rPr>
          <w:rFonts w:ascii="Times New Roman" w:cs="方正仿宋_GBK" w:hAnsi="Times New Roman" w:hint="eastAsia"/>
          <w:sz w:val="32"/>
          <w:szCs w:val="32"/>
          <w:lang w:val="en-US" w:eastAsia="zh-CN" w:bidi="ar-SA"/>
        </w:rPr>
        <w:t>”</w:t>
      </w:r>
      <w:r>
        <w:rPr>
          <w:rFonts w:ascii="Times New Roman" w:cs="方正仿宋_GBK" w:hAnsi="Times New Roman"/>
          <w:sz w:val="32"/>
          <w:szCs w:val="32"/>
          <w:lang w:val="en-US" w:eastAsia="zh-CN" w:bidi="ar-SA"/>
        </w:rPr>
        <w:t>事项、公务员招考、涉企收费目录清单等企业群众重点关注领域信息公开，及时做好相关栏目的主动更新与公示，切实</w:t>
      </w:r>
      <w:r>
        <w:rPr>
          <w:rFonts w:ascii="方正仿宋_GBK" w:hint="eastAsia"/>
          <w:lang w:eastAsia="zh-CN"/>
        </w:rPr>
        <w:t>保障人民群众对</w:t>
      </w:r>
      <w:r>
        <w:rPr>
          <w:rFonts w:ascii="方正仿宋_GBK"/>
          <w:lang w:eastAsia="zh-CN"/>
        </w:rPr>
        <w:t>海关</w:t>
      </w:r>
      <w:r>
        <w:rPr>
          <w:rFonts w:ascii="方正仿宋_GBK" w:hint="eastAsia"/>
          <w:lang w:eastAsia="zh-CN"/>
        </w:rPr>
        <w:t>工作的知情权、参与权和监督权。</w:t>
      </w:r>
    </w:p>
    <w:p>
      <w:pPr>
        <w:pStyle w:val="89"/>
        <w:adjustRightInd w:val="0"/>
        <w:snapToGrid w:val="0"/>
        <w:ind w:firstLineChars="200" w:firstLine="624"/>
        <w:rPr>
          <w:rFonts w:ascii="方正楷体_GBK" w:eastAsia="方正楷体_GBK"/>
          <w:lang w:eastAsia="zh-CN"/>
        </w:rPr>
      </w:pPr>
      <w:r>
        <w:rPr>
          <w:rFonts w:ascii="方正楷体_GBK" w:eastAsia="方正楷体_GBK" w:hint="eastAsia"/>
        </w:rPr>
        <w:t>（二）</w:t>
      </w:r>
      <w:r>
        <w:rPr>
          <w:rFonts w:ascii="方正楷体_GBK" w:eastAsia="方正楷体_GBK"/>
        </w:rPr>
        <w:t>聚焦规范办理，在</w:t>
      </w:r>
      <w:r>
        <w:rPr>
          <w:rFonts w:ascii="方正楷体_GBK" w:eastAsia="方正楷体_GBK" w:hint="eastAsia"/>
        </w:rPr>
        <w:t>依申请公开</w:t>
      </w:r>
      <w:r>
        <w:rPr>
          <w:rFonts w:ascii="方正楷体_GBK" w:eastAsia="方正楷体_GBK"/>
        </w:rPr>
        <w:t>上优化服务</w:t>
      </w:r>
    </w:p>
    <w:p>
      <w:pPr>
        <w:pStyle w:val="95"/>
        <w:adjustRightInd w:val="0"/>
        <w:snapToGrid w:val="0"/>
        <w:ind w:firstLineChars="200" w:firstLine="624"/>
        <w:rPr>
          <w:rFonts w:ascii="方正仿宋_GBK"/>
          <w:lang w:eastAsia="zh-CN"/>
        </w:rPr>
      </w:pPr>
      <w:r>
        <w:rPr>
          <w:rFonts w:eastAsia="方正仿宋_GBK"/>
          <w:bCs/>
          <w:spacing w:val="-4"/>
          <w:sz w:val="32"/>
          <w:szCs w:val="32"/>
          <w:shd w:val="clear" w:color="auto" w:fill="FFFFFF"/>
        </w:rPr>
        <w:t>严格遵循</w:t>
      </w:r>
      <w:r>
        <w:rPr>
          <w:rFonts w:eastAsia="方正仿宋_GBK" w:hint="eastAsia"/>
          <w:bCs/>
          <w:spacing w:val="-4"/>
          <w:sz w:val="32"/>
          <w:szCs w:val="32"/>
          <w:shd w:val="clear" w:color="auto" w:fill="FFFFFF"/>
        </w:rPr>
        <w:t>《中华人民共和国政府信息公开条例》</w:t>
      </w:r>
      <w:r>
        <w:rPr>
          <w:rFonts w:eastAsia="方正仿宋_GBK"/>
          <w:bCs/>
          <w:spacing w:val="-4"/>
          <w:sz w:val="32"/>
          <w:szCs w:val="32"/>
          <w:shd w:val="clear" w:color="auto" w:fill="FFFFFF"/>
        </w:rPr>
        <w:t>对</w:t>
      </w:r>
      <w:r>
        <w:rPr>
          <w:rFonts w:ascii="方正仿宋_GBK" w:hint="eastAsia"/>
          <w:lang w:eastAsia="zh-CN"/>
        </w:rPr>
        <w:t>依申请公开办理程序</w:t>
      </w:r>
      <w:r>
        <w:rPr>
          <w:rFonts w:ascii="方正仿宋_GBK"/>
          <w:lang w:eastAsia="zh-CN"/>
        </w:rPr>
        <w:t>进行完善，畅通依申请公开的当面申请、信函邮寄、互联网邮箱等办理渠道，</w:t>
      </w:r>
      <w:r>
        <w:rPr>
          <w:lang w:eastAsia="zh-CN"/>
        </w:rPr>
        <w:t>切实保障好公民、法人和其他组织依法获取海关政府信息。</w:t>
      </w:r>
      <w:r>
        <w:rPr>
          <w:rFonts w:hint="eastAsia"/>
          <w:lang w:eastAsia="zh-CN"/>
        </w:rPr>
        <w:t>20</w:t>
      </w:r>
      <w:r>
        <w:rPr>
          <w:lang w:eastAsia="zh-CN"/>
        </w:rPr>
        <w:t>25</w:t>
      </w:r>
      <w:r>
        <w:rPr>
          <w:rFonts w:hint="eastAsia"/>
          <w:lang w:eastAsia="zh-CN"/>
        </w:rPr>
        <w:t>年</w:t>
      </w:r>
      <w:r>
        <w:rPr>
          <w:lang w:eastAsia="zh-CN"/>
        </w:rPr>
        <w:t>汕头海关关区</w:t>
      </w:r>
      <w:r>
        <w:rPr>
          <w:rFonts w:hint="eastAsia"/>
          <w:lang w:eastAsia="zh-CN"/>
        </w:rPr>
        <w:t>共</w:t>
      </w:r>
      <w:r>
        <w:rPr>
          <w:lang w:eastAsia="zh-CN"/>
        </w:rPr>
        <w:t>接收处理</w:t>
      </w:r>
      <w:r>
        <w:rPr>
          <w:rFonts w:hint="eastAsia"/>
          <w:lang w:eastAsia="zh-CN"/>
        </w:rPr>
        <w:t>依申请公开</w:t>
      </w:r>
      <w:r>
        <w:rPr>
          <w:lang w:eastAsia="zh-CN"/>
        </w:rPr>
        <w:t>22</w:t>
      </w:r>
      <w:r>
        <w:rPr>
          <w:rFonts w:hint="eastAsia"/>
          <w:lang w:eastAsia="zh-CN"/>
        </w:rPr>
        <w:t>件</w:t>
      </w:r>
      <w:r>
        <w:rPr>
          <w:lang w:eastAsia="zh-CN"/>
        </w:rPr>
        <w:t>，其中</w:t>
      </w:r>
      <w:r>
        <w:rPr>
          <w:rFonts w:hint="eastAsia"/>
          <w:lang w:eastAsia="zh-CN"/>
        </w:rPr>
        <w:t>妥善办结</w:t>
      </w:r>
      <w:r>
        <w:rPr>
          <w:lang w:eastAsia="zh-CN"/>
        </w:rPr>
        <w:t>20件，结转至下一年办理件数2件</w:t>
      </w:r>
      <w:r>
        <w:rPr>
          <w:rFonts w:hint="eastAsia"/>
          <w:lang w:eastAsia="zh-CN"/>
        </w:rPr>
        <w:t>。</w:t>
      </w:r>
      <w:r>
        <w:rPr>
          <w:lang w:eastAsia="zh-CN"/>
        </w:rPr>
        <w:t>所有申请均在规定时限内作出答复，对于不属于政府信息公开的情况，均向申请人进行了耐心细致地解释说明。2025</w:t>
      </w:r>
      <w:r>
        <w:rPr>
          <w:rFonts w:ascii="方正仿宋_GBK"/>
          <w:lang w:eastAsia="zh-CN"/>
        </w:rPr>
        <w:t>年度未收取任何依申请管理信息处理费用，未发生政府信息公开行政复议、行政诉讼情况。</w:t>
      </w:r>
    </w:p>
    <w:p>
      <w:pPr>
        <w:pStyle w:val="96"/>
        <w:keepNext w:val="0"/>
        <w:keepLines w:val="0"/>
        <w:pageBreakBefore w:val="0"/>
        <w:widowControl w:val="0"/>
        <w:kinsoku/>
        <w:wordWrap/>
        <w:overflowPunct/>
        <w:topLinePunct w:val="0"/>
        <w:autoSpaceDE/>
        <w:autoSpaceDN/>
        <w:adjustRightInd w:val="0"/>
        <w:snapToGrid w:val="0"/>
        <w:spacing w:line="560" w:lineRule="exact"/>
        <w:ind w:left="0" w:firstLineChars="200" w:firstLine="640"/>
        <w:rPr>
          <w:rFonts w:ascii="方正楷体_GBK" w:eastAsia="方正楷体_GBK" w:cs="方正楷体_GBK"/>
          <w:lang w:eastAsia="zh-CN"/>
        </w:rPr>
      </w:pPr>
      <w:r>
        <w:rPr>
          <w:rFonts w:ascii="方正楷体_GBK" w:eastAsia="方正楷体_GBK" w:cs="方正楷体_GBK" w:hint="eastAsia"/>
          <w:lang w:eastAsia="zh-CN"/>
        </w:rPr>
        <w:t>（三）</w:t>
      </w:r>
      <w:r>
        <w:rPr>
          <w:rFonts w:ascii="方正楷体_GBK" w:eastAsia="方正楷体_GBK" w:cs="方正楷体_GBK"/>
          <w:lang w:eastAsia="zh-CN"/>
        </w:rPr>
        <w:t>聚焦底线思维，在信息</w:t>
      </w:r>
      <w:r>
        <w:rPr>
          <w:rFonts w:ascii="方正楷体_GBK" w:eastAsia="方正楷体_GBK" w:cs="方正楷体_GBK" w:hint="eastAsia"/>
          <w:lang w:eastAsia="zh-CN"/>
        </w:rPr>
        <w:t>管理</w:t>
      </w:r>
      <w:r>
        <w:rPr>
          <w:rFonts w:ascii="方正楷体_GBK" w:eastAsia="方正楷体_GBK" w:cs="方正楷体_GBK"/>
          <w:lang w:eastAsia="zh-CN"/>
        </w:rPr>
        <w:t>上严格把关</w:t>
      </w:r>
    </w:p>
    <w:p>
      <w:pPr>
        <w:pStyle w:val="96"/>
        <w:keepNext w:val="0"/>
        <w:keepLines w:val="0"/>
        <w:pageBreakBefore w:val="0"/>
        <w:widowControl w:val="0"/>
        <w:kinsoku/>
        <w:wordWrap/>
        <w:overflowPunct/>
        <w:topLinePunct w:val="0"/>
        <w:autoSpaceDE/>
        <w:autoSpaceDN/>
        <w:adjustRightInd w:val="0"/>
        <w:snapToGrid w:val="0"/>
        <w:spacing w:line="560" w:lineRule="exact"/>
        <w:ind w:left="0" w:firstLineChars="200" w:firstLine="640"/>
        <w:rPr>
          <w:rFonts w:ascii="方正仿宋_GBK" w:cs="方正楷体_GBK" w:hint="eastAsia"/>
          <w:lang w:eastAsia="zh-CN"/>
        </w:rPr>
      </w:pPr>
      <w:r>
        <w:rPr>
          <w:rFonts w:ascii="方正仿宋_GBK" w:cs="方正楷体_GBK" w:hint="eastAsia"/>
          <w:lang w:eastAsia="zh-CN"/>
        </w:rPr>
        <w:t>加强对《中华人民共和国政府信息公开条例》《中华人民共和国保守国家秘密法》等政策法规的宣传学习，严格落实信息公开保密审查制度，</w:t>
      </w:r>
      <w:r>
        <w:rPr>
          <w:rFonts w:ascii="方正仿宋_GBK" w:cs="方正楷体_GBK"/>
          <w:lang w:eastAsia="zh-CN"/>
        </w:rPr>
        <w:t>筑牢保密安全防线</w:t>
      </w:r>
      <w:r>
        <w:rPr>
          <w:rFonts w:ascii="方正仿宋_GBK" w:cs="方正楷体_GBK" w:hint="eastAsia"/>
          <w:lang w:eastAsia="zh-CN"/>
        </w:rPr>
        <w:t>。严格落实“三审三校”制度，加强信息公开源头管理和公开前审查力度，</w:t>
      </w:r>
      <w:r>
        <w:rPr>
          <w:rFonts w:ascii="方正仿宋_GBK" w:cs="方正楷体_GBK"/>
          <w:lang w:eastAsia="zh-CN"/>
        </w:rPr>
        <w:t>杜绝</w:t>
      </w:r>
      <w:r>
        <w:rPr>
          <w:rFonts w:ascii="方正仿宋_GBK" w:cs="方正楷体_GBK" w:hint="eastAsia"/>
          <w:lang w:eastAsia="zh-CN"/>
        </w:rPr>
        <w:t>表述不规范、用词不准确、个人隐私信息泄露、错误链接、格式错误等问题。</w:t>
      </w:r>
      <w:r>
        <w:rPr>
          <w:rFonts w:ascii="方正仿宋_GBK" w:cs="方正楷体_GBK"/>
          <w:lang w:eastAsia="zh-CN"/>
        </w:rPr>
        <w:t>对标</w:t>
      </w:r>
      <w:r>
        <w:rPr>
          <w:rFonts w:ascii="方正仿宋_GBK" w:cs="方正楷体_GBK" w:hint="eastAsia"/>
          <w:lang w:eastAsia="zh-CN"/>
        </w:rPr>
        <w:t>《</w:t>
      </w:r>
      <w:r>
        <w:rPr>
          <w:rFonts w:ascii="方正仿宋_GBK" w:cs="方正楷体_GBK"/>
          <w:lang w:eastAsia="zh-CN"/>
        </w:rPr>
        <w:t>汕头海关主动公开基本目录</w:t>
      </w:r>
      <w:r>
        <w:rPr>
          <w:rFonts w:ascii="方正仿宋_GBK" w:cs="方正楷体_GBK" w:hint="eastAsia"/>
          <w:lang w:eastAsia="zh-CN"/>
        </w:rPr>
        <w:t>》《</w:t>
      </w:r>
      <w:r>
        <w:rPr>
          <w:rFonts w:ascii="方正仿宋_GBK" w:cs="方正楷体_GBK"/>
          <w:lang w:eastAsia="zh-CN"/>
        </w:rPr>
        <w:t>汕头海关关区</w:t>
      </w:r>
      <w:r>
        <w:rPr>
          <w:rFonts w:ascii="方正仿宋_GBK" w:cs="方正楷体_GBK" w:hint="eastAsia"/>
          <w:lang w:eastAsia="zh-CN"/>
        </w:rPr>
        <w:t>基层政务公开标准目录》，</w:t>
      </w:r>
      <w:r>
        <w:rPr>
          <w:rFonts w:ascii="方正仿宋_GBK" w:cs="方正楷体_GBK"/>
          <w:lang w:eastAsia="zh-CN"/>
        </w:rPr>
        <w:t>开展常态化查缺补漏，确保信息公开要素齐全、内容准确、更新及时</w:t>
      </w:r>
      <w:r>
        <w:rPr>
          <w:rFonts w:ascii="方正仿宋_GBK" w:cs="方正楷体_GBK" w:hint="eastAsia"/>
          <w:lang w:eastAsia="zh-CN"/>
        </w:rPr>
        <w:t>。</w:t>
      </w:r>
    </w:p>
    <w:p>
      <w:pPr>
        <w:pStyle w:val="97"/>
        <w:adjustRightInd w:val="0"/>
        <w:snapToGrid w:val="0"/>
        <w:ind w:firstLineChars="200" w:firstLine="624"/>
        <w:rPr>
          <w:rFonts w:ascii="方正仿宋_GBK"/>
        </w:rPr>
      </w:pPr>
      <w:r>
        <w:rPr>
          <w:rFonts w:ascii="方正楷体_GBK" w:eastAsia="方正楷体_GBK" w:hint="eastAsia"/>
        </w:rPr>
        <w:t>（</w:t>
      </w:r>
      <w:r>
        <w:rPr>
          <w:rFonts w:ascii="方正楷体_GBK" w:eastAsia="方正楷体_GBK" w:hint="eastAsia"/>
          <w:lang w:eastAsia="zh-CN"/>
        </w:rPr>
        <w:t>四</w:t>
      </w:r>
      <w:r>
        <w:rPr>
          <w:rFonts w:ascii="方正楷体_GBK" w:eastAsia="方正楷体_GBK" w:hint="eastAsia"/>
        </w:rPr>
        <w:t>）</w:t>
      </w:r>
      <w:r>
        <w:rPr>
          <w:rFonts w:ascii="方正楷体_GBK" w:eastAsia="方正楷体_GBK"/>
        </w:rPr>
        <w:t>聚焦数字赋能，在平台建设上开拓创新</w:t>
      </w:r>
    </w:p>
    <w:p>
      <w:pPr>
        <w:pStyle w:val="97"/>
        <w:adjustRightInd w:val="0"/>
        <w:snapToGrid w:val="0"/>
        <w:ind w:firstLineChars="200" w:firstLine="624"/>
      </w:pPr>
      <w:r>
        <w:t>组织开展关区</w:t>
      </w:r>
      <w:r>
        <w:rPr>
          <w:rFonts w:hint="eastAsia"/>
        </w:rPr>
        <w:t>“</w:t>
      </w:r>
      <w:r>
        <w:rPr>
          <w:rFonts w:ascii="方正仿宋_GBK"/>
          <w:lang w:eastAsia="zh-CN"/>
        </w:rPr>
        <w:t>智慧海关</w:t>
      </w:r>
      <w:r>
        <w:rPr>
          <w:rFonts w:ascii="方正仿宋_GBK" w:hint="eastAsia"/>
          <w:lang w:eastAsia="zh-CN"/>
        </w:rPr>
        <w:t>”</w:t>
      </w:r>
      <w:r>
        <w:rPr>
          <w:rFonts w:ascii="方正仿宋_GBK"/>
          <w:lang w:eastAsia="zh-CN"/>
        </w:rPr>
        <w:t>门户网站政务地图</w:t>
      </w:r>
      <w:r>
        <w:t>建设，增设</w:t>
      </w:r>
      <w:r>
        <w:rPr>
          <w:rFonts w:hint="eastAsia"/>
        </w:rPr>
        <w:t>“隶属海关行政检查</w:t>
      </w:r>
      <w:r>
        <w:t>随机抽查事项清单</w:t>
      </w:r>
      <w:r>
        <w:rPr>
          <w:rFonts w:hint="eastAsia"/>
        </w:rPr>
        <w:t>”栏目</w:t>
      </w:r>
      <w:r>
        <w:t>，设立2个行</w:t>
      </w:r>
      <w:r>
        <w:rPr>
          <w:rFonts w:hint="eastAsia"/>
        </w:rPr>
        <w:t>政许可结果</w:t>
      </w:r>
      <w:r>
        <w:t>公示超链接，为企业群众提供更直观、便捷、精准的海关政务信息查询服务。深化政务公开与海关业务工作融合，</w:t>
      </w:r>
      <w:r>
        <w:rPr>
          <w:rFonts w:ascii="方正仿宋_GBK" w:hint="eastAsia"/>
          <w:lang w:eastAsia="zh-CN"/>
        </w:rPr>
        <w:t>运用图文、问答等</w:t>
      </w:r>
      <w:r>
        <w:rPr>
          <w:rFonts w:ascii="方正仿宋_GBK"/>
          <w:lang w:eastAsia="zh-CN"/>
        </w:rPr>
        <w:t>多元化手段</w:t>
      </w:r>
      <w:r>
        <w:rPr>
          <w:rFonts w:ascii="方正仿宋_GBK" w:hint="eastAsia"/>
          <w:lang w:eastAsia="zh-CN"/>
        </w:rPr>
        <w:t>发布</w:t>
      </w:r>
      <w:r>
        <w:rPr>
          <w:rFonts w:ascii="方正仿宋_GBK"/>
          <w:lang w:eastAsia="zh-CN"/>
        </w:rPr>
        <w:t>海关</w:t>
      </w:r>
      <w:r>
        <w:rPr>
          <w:rFonts w:ascii="方正仿宋_GBK" w:hint="eastAsia"/>
          <w:lang w:eastAsia="zh-CN"/>
        </w:rPr>
        <w:t>政策解读</w:t>
      </w:r>
      <w:r>
        <w:rPr>
          <w:rFonts w:ascii="方正仿宋_GBK"/>
          <w:lang w:eastAsia="zh-CN"/>
        </w:rPr>
        <w:t>信息</w:t>
      </w:r>
      <w:r>
        <w:rPr>
          <w:rFonts w:ascii="方正仿宋_GBK" w:hint="eastAsia"/>
          <w:lang w:eastAsia="zh-CN"/>
        </w:rPr>
        <w:t>共</w:t>
      </w:r>
      <w:r>
        <w:rPr>
          <w:lang w:eastAsia="zh-CN"/>
        </w:rPr>
        <w:t>58</w:t>
      </w:r>
      <w:r>
        <w:rPr>
          <w:rFonts w:ascii="方正仿宋_GBK"/>
          <w:lang w:eastAsia="zh-CN"/>
        </w:rPr>
        <w:t>条，着力打通海关政策落地</w:t>
      </w:r>
      <w:r>
        <w:rPr>
          <w:rFonts w:ascii="方正仿宋_GBK" w:hint="eastAsia"/>
          <w:lang w:eastAsia="zh-CN"/>
        </w:rPr>
        <w:t>“最后一公里”</w:t>
      </w:r>
      <w:r>
        <w:rPr>
          <w:rFonts w:ascii="方正仿宋_GBK"/>
          <w:lang w:eastAsia="zh-CN"/>
        </w:rPr>
        <w:t>，推动政务公开由</w:t>
      </w:r>
      <w:r>
        <w:rPr>
          <w:rFonts w:ascii="方正仿宋_GBK" w:hint="eastAsia"/>
          <w:lang w:eastAsia="zh-CN"/>
        </w:rPr>
        <w:t>“</w:t>
      </w:r>
      <w:r>
        <w:rPr>
          <w:rFonts w:ascii="方正仿宋_GBK"/>
          <w:lang w:eastAsia="zh-CN"/>
        </w:rPr>
        <w:t>可看</w:t>
      </w:r>
      <w:r>
        <w:rPr>
          <w:rFonts w:ascii="方正仿宋_GBK" w:hint="eastAsia"/>
          <w:lang w:eastAsia="zh-CN"/>
        </w:rPr>
        <w:t>”</w:t>
      </w:r>
      <w:r>
        <w:rPr>
          <w:rFonts w:ascii="方正仿宋_GBK"/>
          <w:lang w:eastAsia="zh-CN"/>
        </w:rPr>
        <w:t>向</w:t>
      </w:r>
      <w:r>
        <w:rPr>
          <w:rFonts w:ascii="方正仿宋_GBK" w:hint="eastAsia"/>
          <w:lang w:eastAsia="zh-CN"/>
        </w:rPr>
        <w:t>“</w:t>
      </w:r>
      <w:r>
        <w:rPr>
          <w:rFonts w:ascii="方正仿宋_GBK"/>
          <w:lang w:eastAsia="zh-CN"/>
        </w:rPr>
        <w:t>好用</w:t>
      </w:r>
      <w:r>
        <w:rPr>
          <w:rFonts w:ascii="方正仿宋_GBK" w:hint="eastAsia"/>
          <w:lang w:eastAsia="zh-CN"/>
        </w:rPr>
        <w:t>”</w:t>
      </w:r>
      <w:r>
        <w:rPr>
          <w:rFonts w:ascii="方正仿宋_GBK"/>
          <w:lang w:eastAsia="zh-CN"/>
        </w:rPr>
        <w:t>转变。</w:t>
      </w:r>
    </w:p>
    <w:p>
      <w:pPr>
        <w:pStyle w:val="97"/>
        <w:adjustRightInd w:val="0"/>
        <w:snapToGrid w:val="0"/>
        <w:ind w:firstLineChars="200" w:firstLine="624"/>
        <w:rPr>
          <w:rFonts w:ascii="方正楷体_GBK" w:eastAsia="方正楷体_GBK"/>
          <w:lang w:eastAsia="zh-CN"/>
        </w:rPr>
      </w:pPr>
      <w:r>
        <w:rPr>
          <w:rFonts w:ascii="方正楷体_GBK" w:eastAsia="方正楷体_GBK" w:hint="eastAsia"/>
        </w:rPr>
        <w:t>（</w:t>
      </w:r>
      <w:r>
        <w:rPr>
          <w:rFonts w:ascii="方正楷体_GBK" w:eastAsia="方正楷体_GBK"/>
          <w:lang w:eastAsia="zh-CN"/>
        </w:rPr>
        <w:t>五</w:t>
      </w:r>
      <w:r>
        <w:rPr>
          <w:rFonts w:ascii="方正楷体_GBK" w:eastAsia="方正楷体_GBK" w:hint="eastAsia"/>
        </w:rPr>
        <w:t>）</w:t>
      </w:r>
      <w:r>
        <w:rPr>
          <w:rFonts w:ascii="方正楷体_GBK" w:eastAsia="方正楷体_GBK"/>
        </w:rPr>
        <w:t>聚焦多元评价，在监督保障上构筑合力</w:t>
      </w:r>
    </w:p>
    <w:p>
      <w:pPr>
        <w:pStyle w:val="97"/>
        <w:adjustRightInd w:val="0"/>
        <w:snapToGrid w:val="0"/>
        <w:ind w:firstLineChars="200" w:firstLine="624"/>
      </w:pPr>
      <w:r>
        <w:rPr>
          <w:rFonts w:ascii="方正仿宋_GBK"/>
          <w:lang w:eastAsia="zh-CN"/>
        </w:rPr>
        <w:t>完善社会监督机制，主动面向公众发放</w:t>
      </w:r>
      <w:r>
        <w:rPr>
          <w:rFonts w:hint="eastAsia"/>
          <w:lang w:val="en-US" w:eastAsia="zh-CN"/>
        </w:rPr>
        <w:t>调查问卷</w:t>
      </w:r>
      <w:r>
        <w:rPr>
          <w:lang w:val="en-US" w:eastAsia="zh-CN"/>
        </w:rPr>
        <w:t>6</w:t>
      </w:r>
      <w:r>
        <w:rPr>
          <w:rFonts w:hint="eastAsia"/>
          <w:lang w:val="en-US" w:eastAsia="zh-CN"/>
        </w:rPr>
        <w:t>期，</w:t>
      </w:r>
      <w:r>
        <w:rPr>
          <w:lang w:val="en-US" w:eastAsia="zh-CN"/>
        </w:rPr>
        <w:t>积极收集公众对汕头海关政务公开工作、12360热线服务、信访工作等意见建议，聘请属地党政机关、新闻机构以及企业等25位代表为汕头海关第七届特约监督员，构建多维度监督网络。强化人才梯队建设，结合年度培训任务组织开展政务公开专题培训，持续提升队伍专业化规范化水平。</w:t>
      </w:r>
    </w:p>
    <w:p>
      <w:pPr>
        <w:pStyle w:val="25"/>
        <w:adjustRightInd w:val="0"/>
        <w:snapToGrid w:val="0"/>
        <w:spacing w:beforeLines="50" w:before="218" w:afterLines="50" w:after="218"/>
        <w:ind w:firstLineChars="200" w:firstLine="624"/>
        <w:rPr>
          <w:rFonts w:ascii="方正黑体_GBK" w:eastAsia="方正黑体_GBK" w:cs="楷体_GB2312" w:hint="eastAsia"/>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第二十条第（一）项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cBorders>
            <w:shd w:val="clear" w:color="auto" w:fill="auto"/>
            <w:noWrap/>
            <w:vAlign w:val="center"/>
          </w:tcPr>
          <w:p>
            <w:pPr>
              <w:pStyle w:val="30"/>
              <w:widowControl/>
              <w:jc w:val="center"/>
              <w:rPr>
                <w:sz w:val="24"/>
                <w:szCs w:val="24"/>
              </w:rPr>
            </w:pPr>
            <w:r>
              <w:rPr>
                <w:rFonts w:ascii="宋体" w:cs="宋体" w:hint="eastAsia"/>
                <w:kern w:val="0"/>
                <w:sz w:val="24"/>
                <w:szCs w:val="24"/>
              </w:rPr>
              <w:t>现行有效件数</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val="en-US" w:eastAsia="zh-CN"/>
              </w:rPr>
            </w:pPr>
            <w:r>
              <w:rPr>
                <w:rFonts w:eastAsia="方正仿宋_GBK"/>
                <w:sz w:val="24"/>
                <w:szCs w:val="24"/>
                <w:lang w:val="en-US" w:eastAsia="zh-CN"/>
              </w:rPr>
              <w:t>0</w:t>
            </w:r>
          </w:p>
        </w:tc>
        <w:tc>
          <w:tcPr>
            <w:tcW w:w="193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val="en-US" w:eastAsia="zh-CN"/>
              </w:rPr>
            </w:pPr>
            <w:r>
              <w:rPr>
                <w:rFonts w:eastAsia="方正仿宋_GBK" w:hint="eastAsia"/>
                <w:sz w:val="24"/>
                <w:szCs w:val="24"/>
                <w:lang w:val="en-US" w:eastAsia="zh-CN"/>
              </w:rPr>
              <w:t>0</w:t>
            </w:r>
          </w:p>
        </w:tc>
        <w:tc>
          <w:tcPr>
            <w:tcW w:w="2156"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sz w:val="24"/>
                <w:szCs w:val="24"/>
                <w:lang w:val="en-US" w:eastAsia="zh-CN"/>
              </w:rPr>
            </w:pPr>
            <w:r>
              <w:rPr>
                <w:rFonts w:eastAsia="方正仿宋_GBK"/>
                <w:sz w:val="24"/>
                <w:szCs w:val="24"/>
                <w:lang w:val="en-US" w:eastAsia="zh-CN"/>
              </w:rPr>
              <w:t>5</w:t>
            </w:r>
          </w:p>
        </w:tc>
      </w:tr>
      <w:tr>
        <w:trPr>
          <w:trHeight w:val="435"/>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第二十条第（五）项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1"/>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2"/>
              <w:jc w:val="center"/>
              <w:rPr>
                <w:rFonts w:eastAsia="方正仿宋_GBK" w:cs="宋体"/>
                <w:sz w:val="24"/>
                <w:szCs w:val="24"/>
                <w:lang w:val="en-US" w:eastAsia="zh-CN"/>
              </w:rPr>
            </w:pPr>
            <w:r>
              <w:rPr>
                <w:rFonts w:eastAsia="方正仿宋_GBK" w:cs="宋体"/>
                <w:sz w:val="24"/>
                <w:szCs w:val="24"/>
                <w:lang w:val="en-US" w:eastAsia="zh-CN"/>
              </w:rPr>
              <w:t>181</w:t>
            </w:r>
          </w:p>
        </w:tc>
      </w:tr>
      <w:tr>
        <w:trPr>
          <w:trHeight w:val="406"/>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第二十条第（六）项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3"/>
              <w:widowControl/>
              <w:adjustRightInd w:val="0"/>
              <w:snapToGrid w:val="0"/>
              <w:spacing w:line="2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cs="宋体"/>
                <w:sz w:val="24"/>
                <w:szCs w:val="24"/>
                <w:lang w:val="en-US" w:eastAsia="zh-CN"/>
              </w:rPr>
            </w:pPr>
            <w:r>
              <w:rPr>
                <w:rFonts w:eastAsia="方正仿宋_GBK" w:cs="宋体"/>
                <w:sz w:val="24"/>
                <w:szCs w:val="24"/>
                <w:lang w:val="en-US" w:eastAsia="zh-CN"/>
              </w:rPr>
              <w:t>327</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4"/>
              <w:jc w:val="center"/>
              <w:rPr>
                <w:rFonts w:eastAsia="方正仿宋_GBK" w:cs="宋体"/>
                <w:sz w:val="24"/>
                <w:szCs w:val="24"/>
                <w:lang w:val="en-US" w:eastAsia="zh-CN"/>
              </w:rPr>
            </w:pPr>
            <w:r>
              <w:rPr>
                <w:rFonts w:eastAsia="方正仿宋_GBK" w:cs="宋体"/>
                <w:sz w:val="24"/>
                <w:szCs w:val="24"/>
                <w:lang w:val="en-US" w:eastAsia="zh-CN"/>
              </w:rPr>
              <w:t>68</w:t>
            </w:r>
          </w:p>
        </w:tc>
      </w:tr>
      <w:tr>
        <w:trPr>
          <w:trHeight w:val="474"/>
        </w:trPr>
        <w:tc>
          <w:tcPr>
            <w:tcW w:w="8994" w:type="dxa"/>
            <w:gridSpan w:val="4"/>
            <w:tcBorders>
              <w:top w:val="nil"/>
              <w:left w:val="single" w:sz="8" w:space="0" w:color="auto"/>
              <w:bottom w:val="single" w:sz="8" w:space="0" w:color="auto"/>
              <w:right w:val="single" w:sz="8" w:space="0" w:color="auto"/>
            </w:tcBorders>
            <w:shd w:val="clear" w:color="auto" w:fill="C6D9F1"/>
            <w:noWrap/>
            <w:tcMar>
              <w:left w:w="108" w:type="dxa"/>
              <w:right w:w="108" w:type="dxa"/>
            </w:tcMar>
            <w:vAlign w:val="center"/>
          </w:tcPr>
          <w:p>
            <w:pPr>
              <w:pStyle w:val="30"/>
              <w:widowControl/>
              <w:jc w:val="center"/>
              <w:rPr>
                <w:sz w:val="24"/>
                <w:szCs w:val="24"/>
              </w:rPr>
            </w:pPr>
            <w:r>
              <w:rPr>
                <w:rFonts w:ascii="宋体" w:cs="宋体" w:hint="eastAsia"/>
                <w:kern w:val="0"/>
                <w:sz w:val="24"/>
                <w:szCs w:val="24"/>
              </w:rPr>
              <w:t>第二十条第（八）项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noWrap/>
            <w:tcMar>
              <w:left w:w="108" w:type="dxa"/>
              <w:right w:w="108" w:type="dxa"/>
            </w:tcMar>
            <w:vAlign w:val="center"/>
          </w:tcPr>
          <w:p>
            <w:pPr>
              <w:pStyle w:val="35"/>
              <w:widowControl/>
              <w:adjustRightInd w:val="0"/>
              <w:snapToGrid w:val="0"/>
              <w:spacing w:line="260" w:lineRule="exact"/>
              <w:jc w:val="center"/>
              <w:rPr>
                <w:sz w:val="24"/>
                <w:szCs w:val="24"/>
              </w:rPr>
            </w:pPr>
            <w:r>
              <w:rPr>
                <w:rFonts w:ascii="宋体" w:cs="宋体" w:hint="eastAsia"/>
                <w:kern w:val="0"/>
                <w:sz w:val="24"/>
                <w:szCs w:val="24"/>
              </w:rPr>
              <w:t>本年收费金额（单位：万元）</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adjustRightInd w:val="0"/>
              <w:snapToGrid w:val="0"/>
              <w:spacing w:line="2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noWrap/>
            <w:tcMar>
              <w:left w:w="108" w:type="dxa"/>
              <w:right w:w="108" w:type="dxa"/>
            </w:tcMar>
            <w:vAlign w:val="center"/>
          </w:tcPr>
          <w:p>
            <w:pPr>
              <w:pStyle w:val="30"/>
              <w:jc w:val="center"/>
              <w:rPr>
                <w:rFonts w:eastAsia="方正仿宋_GBK" w:cs="宋体" w:hint="eastAsia"/>
                <w:sz w:val="24"/>
                <w:szCs w:val="24"/>
                <w:lang w:val="en-US" w:eastAsia="zh-CN"/>
              </w:rPr>
            </w:pPr>
            <w:r>
              <w:rPr>
                <w:rFonts w:eastAsia="方正仿宋_GBK" w:cs="宋体" w:hint="eastAsia"/>
                <w:sz w:val="24"/>
                <w:szCs w:val="24"/>
                <w:lang w:val="en-US" w:eastAsia="zh-CN"/>
              </w:rPr>
              <w:t>0</w:t>
            </w:r>
          </w:p>
        </w:tc>
      </w:tr>
    </w:tbl>
    <w:p>
      <w:pPr>
        <w:pStyle w:val="21"/>
        <w:widowControl/>
        <w:shd w:val="clear" w:color="auto" w:fill="FFFFFF"/>
        <w:adjustRightInd w:val="0"/>
        <w:snapToGrid w:val="0"/>
        <w:spacing w:beforeAutospacing="0" w:afterLines="50" w:after="218"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35"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35"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商业企业</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pPr>
            <w:r>
              <w:rPr>
                <w:rFonts w:ascii="宋体" w:cs="宋体" w:hint="eastAsia"/>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jc w:val="left"/>
              <w:rPr>
                <w:sz w:val="24"/>
                <w:szCs w:val="24"/>
              </w:rPr>
            </w:pPr>
            <w:r>
              <w:rPr>
                <w:rFonts w:ascii="宋体" w:cs="宋体" w:hint="eastAsia"/>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22</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22</w:t>
            </w: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jc w:val="left"/>
              <w:rPr>
                <w:sz w:val="24"/>
                <w:szCs w:val="24"/>
              </w:rPr>
            </w:pPr>
            <w:r>
              <w:rPr>
                <w:rFonts w:ascii="宋体" w:cs="宋体" w:hint="eastAsia"/>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375"/>
        </w:trPr>
        <w:tc>
          <w:tcPr>
            <w:tcW w:w="696" w:type="dxa"/>
            <w:vMerge w:val="restart"/>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left"/>
              <w:rPr>
                <w:sz w:val="24"/>
                <w:szCs w:val="24"/>
              </w:rPr>
            </w:pPr>
            <w:r>
              <w:rPr>
                <w:rFonts w:ascii="楷体" w:eastAsia="楷体" w:cs="楷体" w:hint="eastAsia"/>
                <w:kern w:val="0"/>
                <w:sz w:val="24"/>
                <w:szCs w:val="24"/>
              </w:rPr>
              <w:t>（一）予以公开</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5</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5</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left"/>
              <w:rPr>
                <w:sz w:val="24"/>
                <w:szCs w:val="24"/>
              </w:rPr>
            </w:pPr>
            <w:r>
              <w:rPr>
                <w:rFonts w:ascii="楷体" w:eastAsia="楷体" w:cs="楷体" w:hint="eastAsia"/>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（三）不予公开</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1.属于国家秘密</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2</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2</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（四）无法提供</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3</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3</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（五）不予处理</w:t>
            </w: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2.重复申请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noWrap/>
            <w:tcMar>
              <w:left w:w="108" w:type="dxa"/>
              <w:right w:w="108" w:type="dxa"/>
            </w:tcMar>
          </w:tcPr>
          <w:p>
            <w:pPr>
              <w:pStyle w:val="30"/>
              <w:widowControl/>
              <w:rPr>
                <w:rFonts w:ascii="楷体" w:eastAsia="楷体" w:cs="楷体" w:hint="eastAsia"/>
                <w:kern w:val="0"/>
                <w:sz w:val="24"/>
                <w:szCs w:val="24"/>
              </w:rPr>
            </w:pPr>
            <w:r>
              <w:rPr>
                <w:rFonts w:ascii="楷体" w:eastAsia="楷体" w:cs="楷体" w:hint="eastAsia"/>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1</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lang w:eastAsia="zh-CN"/>
              </w:rPr>
            </w:pPr>
            <w:r>
              <w:rPr>
                <w:rFonts w:eastAsia="方正仿宋_GBK" w:hint="eastAsia"/>
                <w:sz w:val="24"/>
                <w:szCs w:val="24"/>
                <w:lang w:val="en-US" w:eastAsia="zh-CN"/>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noWrap/>
            <w:vAlign w:val="center"/>
          </w:tcPr>
          <w:p/>
        </w:tc>
        <w:tc>
          <w:tcPr>
            <w:tcW w:w="936" w:type="dxa"/>
            <w:vMerge/>
            <w:tcBorders>
              <w:top w:val="nil"/>
              <w:left w:val="nil"/>
              <w:bottom w:val="single" w:sz="8" w:space="0" w:color="auto"/>
              <w:right w:val="single" w:sz="8" w:space="0" w:color="auto"/>
            </w:tcBorders>
            <w:shd w:val="clear" w:color="auto" w:fill="auto"/>
            <w:noWrap/>
            <w:vAlign w:val="center"/>
          </w:tcPr>
          <w:p/>
        </w:tc>
        <w:tc>
          <w:tcPr>
            <w:tcW w:w="2670" w:type="dxa"/>
            <w:tcBorders>
              <w:top w:val="nil"/>
              <w:left w:val="single" w:sz="8" w:space="0" w:color="auto"/>
              <w:bottom w:val="single" w:sz="8" w:space="0" w:color="auto"/>
              <w:right w:val="single" w:sz="8" w:space="0" w:color="auto"/>
            </w:tcBorders>
            <w:shd w:val="clear" w:color="auto" w:fill="auto"/>
            <w:noWrap/>
          </w:tcPr>
          <w:p>
            <w:pPr>
              <w:pStyle w:val="30"/>
              <w:widowControl/>
              <w:rPr>
                <w:rFonts w:ascii="楷体" w:eastAsia="楷体" w:cs="楷体" w:hint="eastAsia"/>
                <w:kern w:val="0"/>
                <w:sz w:val="24"/>
                <w:szCs w:val="24"/>
              </w:rPr>
            </w:pPr>
            <w:r>
              <w:rPr>
                <w:rFonts w:ascii="楷体" w:eastAsia="楷体" w:cs="楷体" w:hint="eastAsia"/>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8</w:t>
            </w:r>
          </w:p>
        </w:tc>
        <w:tc>
          <w:tcPr>
            <w:tcW w:w="67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vAlign w:val="center"/>
          </w:tcPr>
          <w:p>
            <w:pPr>
              <w:pStyle w:val="30"/>
              <w:jc w:val="center"/>
              <w:rPr>
                <w:rFonts w:eastAsia="方正仿宋_GBK" w:hint="eastAsia"/>
                <w:sz w:val="24"/>
                <w:szCs w:val="24"/>
              </w:rPr>
            </w:pPr>
            <w:r>
              <w:rPr>
                <w:rFonts w:eastAsia="方正仿宋_GBK"/>
                <w:sz w:val="24"/>
                <w:szCs w:val="24"/>
              </w:rPr>
              <w:t>8</w:t>
            </w:r>
          </w:p>
        </w:tc>
      </w:tr>
      <w:tr>
        <w:tc>
          <w:tcPr>
            <w:tcW w:w="696"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rPr>
                <w:sz w:val="24"/>
                <w:szCs w:val="24"/>
              </w:rPr>
            </w:pPr>
            <w:r>
              <w:rPr>
                <w:rFonts w:ascii="楷体" w:eastAsia="楷体" w:cs="楷体" w:hint="eastAsia"/>
                <w:kern w:val="0"/>
                <w:sz w:val="24"/>
                <w:szCs w:val="24"/>
              </w:rPr>
              <w:t>（七）总计</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20</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lang w:eastAsia="zh-CN"/>
              </w:rPr>
            </w:pPr>
            <w:r>
              <w:rPr>
                <w:rFonts w:eastAsia="方正仿宋_GBK"/>
                <w:sz w:val="24"/>
                <w:szCs w:val="24"/>
                <w:lang w:val="en-US" w:eastAsia="zh-CN"/>
              </w:rPr>
              <w:t>20</w:t>
            </w:r>
          </w:p>
        </w:tc>
      </w:tr>
      <w:tr>
        <w:tc>
          <w:tcPr>
            <w:tcW w:w="4302" w:type="dxa"/>
            <w:gridSpan w:val="3"/>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left"/>
            </w:pPr>
            <w:r>
              <w:rPr>
                <w:rFonts w:ascii="宋体" w:cs="宋体" w:hint="eastAsia"/>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2</w:t>
            </w:r>
          </w:p>
        </w:tc>
        <w:tc>
          <w:tcPr>
            <w:tcW w:w="67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76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497"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82"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sz w:val="24"/>
                <w:szCs w:val="24"/>
              </w:rPr>
              <w:t>2</w:t>
            </w:r>
          </w:p>
        </w:tc>
      </w:tr>
    </w:tbl>
    <w:p>
      <w:pPr>
        <w:pStyle w:val="21"/>
        <w:widowControl/>
        <w:shd w:val="clear" w:color="auto" w:fill="FFFFFF"/>
        <w:spacing w:beforeLines="50" w:before="218" w:beforeAutospacing="0" w:after="120" w:afterAutospacing="0"/>
        <w:ind w:firstLineChars="200" w:firstLine="640"/>
        <w:jc w:val="both"/>
        <w:rPr>
          <w:rFonts w:ascii="宋体" w:cs="宋体" w:hint="eastAsia"/>
          <w:szCs w:val="24"/>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sz w:val="24"/>
                <w:szCs w:val="24"/>
              </w:rPr>
            </w:pPr>
            <w:r>
              <w:rPr>
                <w:rFonts w:ascii="宋体"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4"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58"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550"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5"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jc w:val="center"/>
              <w:rPr>
                <w:rFonts w:eastAsia="方正仿宋_GBK" w:hint="eastAsia"/>
                <w:sz w:val="24"/>
                <w:szCs w:val="24"/>
              </w:rPr>
            </w:pPr>
            <w:r>
              <w:rPr>
                <w:rFonts w:eastAsia="方正仿宋_GBK" w:hint="eastAsia"/>
                <w:sz w:val="24"/>
                <w:szCs w:val="24"/>
              </w:rPr>
              <w:t>0</w:t>
            </w:r>
          </w:p>
        </w:tc>
        <w:tc>
          <w:tcPr>
            <w:tcW w:w="606" w:type="dxa"/>
            <w:tcBorders>
              <w:top w:val="nil"/>
              <w:left w:val="nil"/>
              <w:bottom w:val="single" w:sz="8" w:space="0" w:color="auto"/>
              <w:right w:val="single" w:sz="8" w:space="0" w:color="auto"/>
            </w:tcBorders>
            <w:shd w:val="clear" w:color="auto" w:fill="auto"/>
            <w:noWrap/>
            <w:tcMar>
              <w:left w:w="108" w:type="dxa"/>
              <w:right w:w="108" w:type="dxa"/>
            </w:tcMar>
            <w:vAlign w:val="center"/>
          </w:tcPr>
          <w:p>
            <w:pPr>
              <w:pStyle w:val="30"/>
              <w:widowControl/>
              <w:jc w:val="center"/>
              <w:rPr>
                <w:rFonts w:hint="eastAsia"/>
                <w:kern w:val="0"/>
                <w:sz w:val="28"/>
                <w:szCs w:val="28"/>
              </w:rPr>
            </w:pPr>
            <w:r>
              <w:rPr>
                <w:rFonts w:hint="eastAsia"/>
                <w:kern w:val="0"/>
                <w:sz w:val="28"/>
                <w:szCs w:val="28"/>
              </w:rPr>
              <w:t>0</w:t>
            </w:r>
          </w:p>
        </w:tc>
      </w:tr>
    </w:tbl>
    <w:p>
      <w:pPr>
        <w:pStyle w:val="21"/>
        <w:widowControl/>
        <w:shd w:val="clear" w:color="auto" w:fill="FFFFFF"/>
        <w:spacing w:beforeLines="50" w:before="218" w:beforeAutospacing="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36"/>
        <w:adjustRightInd w:val="0"/>
        <w:snapToGrid w:val="0"/>
        <w:ind w:firstLineChars="200" w:firstLine="624"/>
        <w:rPr>
          <w:rFonts w:ascii="Times New Roman" w:eastAsia="方正楷体_GBK" w:cs="Times New Roman" w:hAnsi="Times New Roman"/>
          <w:b/>
          <w:bCs/>
        </w:rPr>
      </w:pPr>
      <w:r>
        <w:rPr>
          <w:rFonts w:ascii="方正楷体_GBK" w:eastAsia="方正楷体_GBK" w:hint="eastAsia"/>
          <w:b w:val="0"/>
          <w:bCs w:val="0"/>
        </w:rPr>
        <w:t>（一）</w:t>
      </w:r>
      <w:r>
        <w:rPr>
          <w:rFonts w:ascii="Times New Roman" w:eastAsia="方正楷体_GBK" w:cs="Times New Roman" w:hAnsi="Times New Roman"/>
          <w:bCs w:val="0"/>
        </w:rPr>
        <w:t>2024</w:t>
      </w:r>
      <w:r>
        <w:rPr>
          <w:rFonts w:ascii="Times New Roman" w:eastAsia="方正楷体_GBK" w:cs="Times New Roman" w:hAnsi="Times New Roman"/>
          <w:b w:val="0"/>
          <w:bCs w:val="0"/>
        </w:rPr>
        <w:t>年报中所提问题整改情况</w:t>
      </w:r>
    </w:p>
    <w:p>
      <w:pPr>
        <w:pStyle w:val="46"/>
        <w:adjustRightInd w:val="0"/>
        <w:snapToGrid w:val="0"/>
        <w:ind w:firstLineChars="200" w:firstLine="624"/>
        <w:rPr>
          <w:rFonts w:hint="eastAsia"/>
        </w:rPr>
      </w:pPr>
      <w:r>
        <w:rPr>
          <w:rFonts w:cs="Times New Roman" w:hint="eastAsia"/>
          <w:kern w:val="0"/>
          <w:lang w:val="en-US" w:eastAsia="zh-CN"/>
        </w:rPr>
        <w:t>202</w:t>
      </w:r>
      <w:r>
        <w:rPr>
          <w:rFonts w:cs="Times New Roman"/>
          <w:kern w:val="0"/>
          <w:lang w:val="en-US" w:eastAsia="zh-CN"/>
        </w:rPr>
        <w:t>4</w:t>
      </w:r>
      <w:r>
        <w:rPr>
          <w:rFonts w:cs="Times New Roman" w:hint="eastAsia"/>
          <w:kern w:val="0"/>
          <w:lang w:val="en-US" w:eastAsia="zh-CN"/>
        </w:rPr>
        <w:t>年报中</w:t>
      </w:r>
      <w:r>
        <w:rPr>
          <w:rFonts w:ascii="Times New Roman" w:cs="Times New Roman" w:hAnsi="Times New Roman"/>
          <w:kern w:val="0"/>
        </w:rPr>
        <w:t>存在问题：</w:t>
      </w:r>
      <w:r>
        <w:rPr>
          <w:spacing w:val="0"/>
        </w:rPr>
        <w:t>一是对基层政府信息公开情况的日常巡查不足，抽查力度有待加强；二是深入基层单位调查研究较少，开展业务指导不够。</w:t>
      </w:r>
    </w:p>
    <w:p>
      <w:pPr>
        <w:pStyle w:val="37"/>
        <w:adjustRightInd w:val="0"/>
        <w:snapToGrid w:val="0"/>
        <w:ind w:firstLineChars="200" w:firstLine="624"/>
        <w:rPr>
          <w:rFonts w:ascii="Times New Roman" w:cs="Times New Roman" w:hAnsi="Times New Roman"/>
          <w:kern w:val="0"/>
        </w:rPr>
      </w:pPr>
      <w:r>
        <w:rPr>
          <w:rFonts w:ascii="Times New Roman" w:cs="Times New Roman" w:hAnsi="Times New Roman"/>
          <w:b/>
          <w:bCs/>
        </w:rPr>
        <w:t>整改情况：</w:t>
      </w:r>
      <w:r>
        <w:rPr>
          <w:rFonts w:ascii="Times New Roman" w:cs="Times New Roman" w:hAnsi="Times New Roman"/>
        </w:rPr>
        <w:t>一是</w:t>
      </w:r>
      <w:r>
        <w:rPr>
          <w:rFonts w:ascii="Times New Roman" w:cs="Times New Roman" w:hAnsi="Times New Roman"/>
          <w:kern w:val="0"/>
        </w:rPr>
        <w:t>进一步健全政府信息公开</w:t>
      </w:r>
      <w:r>
        <w:rPr>
          <w:rFonts w:ascii="Times New Roman" w:cs="Times New Roman" w:hAnsi="Times New Roman" w:hint="eastAsia"/>
          <w:kern w:val="0"/>
        </w:rPr>
        <w:t>“</w:t>
      </w:r>
      <w:r>
        <w:rPr>
          <w:rFonts w:ascii="Times New Roman" w:cs="Times New Roman" w:hAnsi="Times New Roman"/>
          <w:kern w:val="0"/>
        </w:rPr>
        <w:t>常态巡查+定向抽检</w:t>
      </w:r>
      <w:r>
        <w:rPr>
          <w:rFonts w:ascii="Times New Roman" w:cs="Times New Roman" w:hAnsi="Times New Roman" w:hint="eastAsia"/>
          <w:kern w:val="0"/>
        </w:rPr>
        <w:t>”</w:t>
      </w:r>
      <w:r>
        <w:rPr>
          <w:rFonts w:ascii="Times New Roman" w:cs="Times New Roman" w:hAnsi="Times New Roman"/>
          <w:kern w:val="0"/>
        </w:rPr>
        <w:t>闭环机制，利用技术手段与人工核查相结合，对基层海关政府信息公开的更新时效性、要素完整性、链接准确性等进行全覆盖监测。结合</w:t>
      </w:r>
      <w:r>
        <w:rPr>
          <w:rFonts w:ascii="Times New Roman" w:cs="Times New Roman" w:hAnsi="Times New Roman" w:hint="eastAsia"/>
          <w:kern w:val="0"/>
        </w:rPr>
        <w:t>“</w:t>
      </w:r>
      <w:r>
        <w:rPr>
          <w:rFonts w:ascii="Times New Roman" w:cs="Times New Roman" w:hAnsi="Times New Roman"/>
          <w:kern w:val="0"/>
        </w:rPr>
        <w:t>多查合一</w:t>
      </w:r>
      <w:r>
        <w:rPr>
          <w:rFonts w:ascii="Times New Roman" w:cs="Times New Roman" w:hAnsi="Times New Roman" w:hint="eastAsia"/>
          <w:kern w:val="0"/>
        </w:rPr>
        <w:t>”</w:t>
      </w:r>
      <w:r>
        <w:rPr>
          <w:rFonts w:ascii="Times New Roman" w:cs="Times New Roman" w:hAnsi="Times New Roman"/>
          <w:kern w:val="0"/>
        </w:rPr>
        <w:t>、专项检查等形式，对基层政务公开专区建设情况等进行现场检查。二是加强基层调研和业务培训，采取</w:t>
      </w:r>
      <w:r>
        <w:rPr>
          <w:rFonts w:ascii="Times New Roman" w:cs="Times New Roman" w:hAnsi="Times New Roman" w:hint="eastAsia"/>
          <w:kern w:val="0"/>
        </w:rPr>
        <w:t>“</w:t>
      </w:r>
      <w:r>
        <w:rPr>
          <w:rFonts w:ascii="Times New Roman" w:cs="Times New Roman" w:hAnsi="Times New Roman"/>
          <w:kern w:val="0"/>
        </w:rPr>
        <w:t>专题培训+实操演练+案例复盘</w:t>
      </w:r>
      <w:r>
        <w:rPr>
          <w:rFonts w:ascii="Times New Roman" w:cs="Times New Roman" w:hAnsi="Times New Roman" w:hint="eastAsia"/>
          <w:kern w:val="0"/>
        </w:rPr>
        <w:t>”</w:t>
      </w:r>
      <w:r>
        <w:rPr>
          <w:rFonts w:ascii="Times New Roman" w:cs="Times New Roman" w:hAnsi="Times New Roman"/>
          <w:kern w:val="0"/>
        </w:rPr>
        <w:t>等形式，开展点对点、手把手的政务公开业务教学，切实提升基层政务公开队伍的履职能力。</w:t>
      </w:r>
    </w:p>
    <w:p>
      <w:pPr>
        <w:pStyle w:val="37"/>
        <w:adjustRightInd w:val="0"/>
        <w:snapToGrid w:val="0"/>
        <w:ind w:firstLineChars="200" w:firstLine="624"/>
      </w:pPr>
      <w:r>
        <w:rPr>
          <w:rFonts w:ascii="方正楷体_GBK" w:eastAsia="方正楷体_GBK" w:hint="eastAsia"/>
          <w:b w:val="0"/>
          <w:bCs w:val="0"/>
        </w:rPr>
        <w:t>（二）目前存在问题</w:t>
      </w:r>
    </w:p>
    <w:p>
      <w:pPr>
        <w:pStyle w:val="37"/>
        <w:adjustRightInd w:val="0"/>
        <w:snapToGrid w:val="0"/>
        <w:ind w:firstLineChars="200" w:firstLine="624"/>
        <w:rPr>
          <w:rFonts w:eastAsia="方正仿宋_GBK" w:hint="eastAsia"/>
          <w:b w:val="0"/>
          <w:bCs w:val="0"/>
          <w:lang w:val="en-US" w:eastAsia="zh-CN"/>
        </w:rPr>
      </w:pPr>
      <w:r>
        <w:t>汕头海关目前在政府信息公开工作中存在的主要问题</w:t>
      </w:r>
      <w:r>
        <w:rPr>
          <w:rFonts w:hint="eastAsia"/>
        </w:rPr>
        <w:t>是</w:t>
      </w:r>
      <w:r>
        <w:t>：政务公开与海关业务融合的广度深度有待加强，在充分发挥海关政策利好的释放支撑作用方面还有差距</w:t>
      </w:r>
      <w:r>
        <w:rPr>
          <w:rFonts w:ascii="方正仿宋_GBK" w:cs="方正仿宋_GBK" w:hint="eastAsia"/>
          <w:b w:val="0"/>
          <w:bCs w:val="0"/>
          <w:szCs w:val="22"/>
          <w:lang w:eastAsia="zh-CN"/>
        </w:rPr>
        <w:t>。</w:t>
      </w:r>
    </w:p>
    <w:p>
      <w:pPr>
        <w:pStyle w:val="21"/>
        <w:widowControl/>
        <w:shd w:val="clear" w:color="auto" w:fill="FFFFFF"/>
        <w:spacing w:beforeAutospacing="0" w:afterAutospacing="0" w:line="560" w:lineRule="exact"/>
        <w:ind w:firstLineChars="200" w:firstLine="640"/>
        <w:jc w:val="both"/>
        <w:rPr>
          <w:rFonts w:ascii="方正黑体_GBK" w:eastAsia="方正黑体_GBK" w:cs="楷体_GB2312" w:hint="eastAsia"/>
          <w:bCs/>
          <w:sz w:val="32"/>
          <w:szCs w:val="32"/>
          <w:shd w:val="clear" w:color="auto" w:fill="FFFFFF"/>
        </w:rPr>
      </w:pPr>
      <w:r>
        <w:rPr>
          <w:rFonts w:ascii="方正黑体_GBK" w:eastAsia="方正黑体_GBK" w:cs="楷体_GB2312" w:hint="eastAsia"/>
          <w:bCs/>
          <w:sz w:val="32"/>
          <w:szCs w:val="32"/>
          <w:shd w:val="clear" w:color="auto" w:fill="FFFFFF"/>
        </w:rPr>
        <w:t>六、其他需要报告的事</w:t>
      </w:r>
      <w:bookmarkEnd w:id="1"/>
      <w:r>
        <w:rPr>
          <w:rFonts w:ascii="方正黑体_GBK" w:eastAsia="方正黑体_GBK" w:cs="楷体_GB2312" w:hint="eastAsia"/>
          <w:bCs/>
          <w:sz w:val="32"/>
          <w:szCs w:val="32"/>
          <w:shd w:val="clear" w:color="auto" w:fill="FFFFFF"/>
        </w:rPr>
        <w:t>项</w:t>
      </w:r>
    </w:p>
    <w:p>
      <w:pPr>
        <w:pStyle w:val="38"/>
        <w:adjustRightInd w:val="0"/>
        <w:snapToGrid w:val="0"/>
        <w:ind w:firstLineChars="200" w:firstLine="624"/>
      </w:pPr>
      <w:r>
        <w:t>2025年度汕头海关未收取信息处理费。无其他需要报告的事项。</w:t>
      </w:r>
    </w:p>
    <w:sectPr>
      <w:footerReference w:type="default" r:id="rId2"/>
      <w:footerReference w:type="even" r:id="rId3"/>
      <w:footerReference w:type="first" r:id="rId4"/>
      <w:pgSz w:w="11907" w:h="16840"/>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003" w:usb1="288F0000" w:usb2="00000006" w:usb3="00000000" w:csb0="00040001" w:csb1="00000000"/>
  </w:font>
  <w:font w:name="方正黑体_GBK">
    <w:panose1 w:val="03000509000000000000"/>
    <w:charset w:val="86"/>
    <w:family w:val="script"/>
    <w:pitch w:val="variable"/>
    <w:sig w:usb0="00000001" w:usb1="080E0000" w:usb2="00000000" w:usb3="00000000" w:csb0="00040000" w:csb1="00000000"/>
  </w:font>
  <w:font w:name="方正小标宋_GBK">
    <w:panose1 w:val="03000509000000000000"/>
    <w:charset w:val="86"/>
    <w:family w:val="script"/>
    <w:pitch w:val="variable"/>
    <w:sig w:usb0="00000001" w:usb1="080E0000" w:usb2="00000000" w:usb3="00000000" w:csb0="00040000" w:csb1="00000000"/>
  </w:font>
  <w:font w:name="楷体_GB2312">
    <w:altName w:val="楷体"/>
    <w:panose1 w:val="00000000000000000000"/>
    <w:charset w:val="00"/>
    <w:family w:val="auto"/>
    <w:pitch w:val="variable"/>
    <w:sig w:usb0="00000000" w:usb1="0000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roman"/>
    <w:pitch w:val="variable"/>
    <w:sig w:usb0="20007A87" w:usb1="80000000" w:usb2="00000008" w:usb3="00000000" w:csb0="000001FF" w:csb1="00000000"/>
  </w:font>
  <w:font w:name="楷体">
    <w:panose1 w:val="02010609060101010101"/>
    <w:charset w:val="86"/>
    <w:family w:val="modern"/>
    <w:pitch w:val="variable"/>
    <w:sig w:usb0="800002BF" w:usb1="38CF7CFA" w:usb2="00000016" w:usb3="00000000" w:csb0="00040001"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 w:name="SimSun">
    <w:panose1 w:val="00000000000000000000"/>
    <w:charset w:val="00"/>
    <w:family w:val="auto"/>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rPr>
        <w:rFonts w:ascii="宋体" w:eastAsia="宋体" w:hint="eastAsia"/>
        <w:sz w:val="28"/>
        <w:szCs w:val="28"/>
      </w:rPr>
    </w:pPr>
    <w:r>
      <w:rPr>
        <w:rStyle w:val="22"/>
        <w:rFonts w:ascii="宋体" w:eastAsia="宋体" w:hint="eastAsia"/>
        <w:sz w:val="28"/>
        <w:szCs w:val="28"/>
      </w:rPr>
      <w:fldChar w:fldCharType="begin"/>
    </w:r>
    <w:r>
      <w:rPr>
        <w:rStyle w:val="22"/>
        <w:rFonts w:ascii="宋体" w:eastAsia="宋体" w:hint="eastAsia"/>
        <w:sz w:val="28"/>
        <w:szCs w:val="28"/>
      </w:rPr>
      <w:instrText>Page</w:instrText>
    </w:r>
    <w:r>
      <w:rPr>
        <w:rStyle w:val="22"/>
        <w:rFonts w:ascii="宋体" w:eastAsia="宋体" w:hint="eastAsia"/>
        <w:sz w:val="28"/>
        <w:szCs w:val="28"/>
      </w:rPr>
      <w:fldChar w:fldCharType="separate"/>
    </w:r>
    <w:r>
      <w:rPr>
        <w:rStyle w:val="22"/>
        <w:rFonts w:ascii="宋体" w:eastAsia="宋体" w:hint="eastAsia"/>
        <w:sz w:val="28"/>
        <w:szCs w:val="28"/>
      </w:rPr>
      <w:t>- 1 -</w:t>
    </w:r>
    <w:r>
      <w:rPr>
        <w:rStyle w:val="22"/>
        <w:rFonts w:ascii="宋体" w:eastAsia="宋体" w:hint="eastAsia"/>
        <w:sz w:val="28"/>
        <w:szCs w:val="28"/>
      </w:rPr>
      <w:fldChar w:fldCharType="end"/>
    </w:r>
  </w:p>
  <w:p>
    <w:pPr>
      <w:pStyle w:val="16"/>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framePr w:w="0" w:hRule="auto" w:wrap="around" w:vAnchor="text" w:hAnchor="margin" w:xAlign="outside" w:y="1" w:anchorLock="0"/>
      <w:pBdr>
        <w:top w:val="none" w:sz="0" w:space="0" w:color="auto"/>
        <w:left w:val="none" w:sz="0" w:space="0" w:color="auto"/>
        <w:bottom w:val="none" w:sz="0" w:space="0" w:color="auto"/>
        <w:right w:val="none" w:sz="0" w:space="0" w:color="auto"/>
      </w:pBdr>
      <w:tabs>
        <w:tab w:val="center" w:pos="4153"/>
        <w:tab w:val="right" w:pos="8306"/>
      </w:tabs>
    </w:pPr>
    <w:r>
      <w:rPr>
        <w:rStyle w:val="22"/>
      </w:rPr>
      <w:fldChar w:fldCharType="begin"/>
    </w:r>
    <w:r>
      <w:rPr>
        <w:rStyle w:val="22"/>
      </w:rPr>
      <w:instrText>Page</w:instrText>
    </w:r>
    <w:r>
      <w:rPr>
        <w:rStyle w:val="22"/>
      </w:rPr>
      <w:fldChar w:fldCharType="separate"/>
    </w:r>
    <w:r>
      <w:rPr>
        <w:rStyle w:val="22"/>
      </w:rPr>
      <w:t>- 1 -</w:t>
    </w:r>
    <w:r>
      <w:rPr>
        <w:rStyle w:val="22"/>
      </w:rPr>
      <w:fldChar w:fldCharType="end"/>
    </w:r>
  </w:p>
  <w:p>
    <w:pPr>
      <w:pStyle w:val="16"/>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7</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16"/>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80"/>
  <w:doNotDisplayPageBoundaries/>
  <w:bordersDoNotSurroundHeader/>
  <w:bordersDoNotSurroundFooter/>
  <w:trackRevisions/>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2">
    <w:name w:val="heading 2"/>
    <w:basedOn w:val="0"/>
    <w:next w:val="0"/>
    <w:pPr>
      <w:keepNext/>
      <w:keepLines/>
      <w:widowControl w:val="0"/>
      <w:spacing w:before="260" w:after="260" w:line="415" w:lineRule="auto"/>
      <w:outlineLvl w:val="1"/>
    </w:pPr>
    <w:rPr>
      <w:rFonts w:ascii="Arial" w:eastAsia="黑体" w:hAnsi="Arial"/>
      <w:b/>
      <w:bCs/>
      <w:sz w:val="32"/>
      <w:szCs w:val="32"/>
    </w:rPr>
  </w:style>
  <w:style w:type="character" w:default="1" w:styleId="10">
    <w:name w:val="Default Paragraph Font"/>
  </w:style>
  <w:style w:type="paragraph" w:styleId="15">
    <w:name w:val="index 6"/>
    <w:basedOn w:val="0"/>
    <w:next w:val="0"/>
    <w:pPr>
      <w:ind w:left="2100"/>
    </w:pPr>
  </w:style>
  <w:style w:type="paragraph" w:styleId="16">
    <w:name w:val="footer"/>
    <w:basedOn w:val="0"/>
    <w:pPr>
      <w:tabs>
        <w:tab w:val="center" w:pos="4153"/>
        <w:tab w:val="right" w:pos="8306"/>
      </w:tabs>
      <w:snapToGrid w:val="0"/>
      <w:jc w:val="left"/>
    </w:pPr>
    <w:rPr>
      <w:sz w:val="18"/>
      <w:szCs w:val="18"/>
    </w:rPr>
  </w:style>
  <w:style w:type="paragraph" w:styleId="17">
    <w:name w:val="header"/>
    <w:basedOn w:val="0"/>
    <w:pPr>
      <w:pBdr>
        <w:bottom w:val="single" w:sz="6" w:space="1" w:color="auto"/>
      </w:pBdr>
      <w:tabs>
        <w:tab w:val="center" w:pos="4153"/>
        <w:tab w:val="right" w:pos="8307"/>
      </w:tabs>
      <w:snapToGrid w:val="0"/>
      <w:jc w:val="center"/>
    </w:pPr>
    <w:rPr>
      <w:sz w:val="18"/>
    </w:rPr>
  </w:style>
  <w:style w:type="paragraph" w:styleId="18">
    <w:name w:val="toc 1"/>
    <w:basedOn w:val="0"/>
    <w:next w:val="0"/>
  </w:style>
  <w:style w:type="paragraph" w:styleId="19">
    <w:name w:val="index 7"/>
    <w:basedOn w:val="0"/>
    <w:next w:val="0"/>
    <w:pPr>
      <w:ind w:left="2520"/>
    </w:pPr>
  </w:style>
  <w:style w:type="paragraph" w:styleId="20">
    <w:name w:val="toc 2"/>
    <w:basedOn w:val="0"/>
    <w:next w:val="0"/>
    <w:pPr>
      <w:ind w:left="420"/>
    </w:pPr>
  </w:style>
  <w:style w:type="paragraph" w:styleId="21">
    <w:name w:val="Normal (Web)"/>
    <w:next w:val="16"/>
    <w:pPr>
      <w:widowControl w:val="0"/>
      <w:spacing w:beforeAutospacing="1" w:afterAutospacing="1"/>
    </w:pPr>
    <w:rPr>
      <w:rFonts w:ascii="Times New Roman" w:eastAsia="宋体" w:cs="Times New Roman" w:hAnsi="Times New Roman"/>
      <w:sz w:val="24"/>
      <w:szCs w:val="30"/>
      <w:lang w:val="en-US" w:eastAsia="zh-CN" w:bidi="ar-SA"/>
    </w:rPr>
  </w:style>
  <w:style w:type="character" w:styleId="22">
    <w:name w:val="page number"/>
    <w:basedOn w:val="10"/>
  </w:style>
  <w:style w:type="paragraph" w:customStyle="1" w:styleId="23">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4">
    <w:name w:val="样式 2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5">
    <w:name w:val="样式 50 三号"/>
    <w:next w:val="15"/>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26">
    <w:name w:val="样式 10 磅"/>
    <w:next w:val="16"/>
    <w:pPr>
      <w:widowControl w:val="0"/>
      <w:jc w:val="both"/>
    </w:pPr>
    <w:rPr>
      <w:rFonts w:ascii="Times New Roman" w:eastAsia="宋体" w:cs="Times New Roman" w:hAnsi="Times New Roman"/>
      <w:kern w:val="2"/>
      <w:sz w:val="21"/>
      <w:szCs w:val="24"/>
      <w:lang w:val="en-US" w:eastAsia="zh-CN" w:bidi="ar-SA"/>
    </w:rPr>
  </w:style>
  <w:style w:type="character" w:customStyle="1" w:styleId="27">
    <w:name w:val="h-control-text-cont1"/>
  </w:style>
  <w:style w:type="paragraph" w:customStyle="1" w:styleId="28">
    <w:name w:val="样式 1 三号"/>
    <w:next w:val="18"/>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9">
    <w:name w:val="正文5"/>
    <w:pPr>
      <w:widowControl w:val="0"/>
      <w:jc w:val="both"/>
    </w:pPr>
    <w:rPr>
      <w:rFonts w:ascii="Times New Roman" w:eastAsia="方正仿宋_GBK" w:cs="Times New Roman" w:hAnsi="Times New Roman"/>
      <w:kern w:val="2"/>
      <w:sz w:val="32"/>
      <w:lang w:val="en-US" w:eastAsia="zh-CN" w:bidi="ar-SA"/>
    </w:rPr>
  </w:style>
  <w:style w:type="paragraph" w:customStyle="1" w:styleId="30">
    <w:name w:val="样式 小三"/>
    <w:next w:val="20"/>
    <w:pPr>
      <w:widowControl w:val="0"/>
      <w:jc w:val="both"/>
    </w:pPr>
    <w:rPr>
      <w:rFonts w:ascii="Times New Roman" w:eastAsia="宋体" w:cs="Times New Roman" w:hAnsi="Times New Roman"/>
      <w:kern w:val="2"/>
      <w:sz w:val="30"/>
      <w:szCs w:val="30"/>
      <w:lang w:val="en-US" w:eastAsia="zh-CN" w:bidi="ar-SA"/>
    </w:rPr>
  </w:style>
  <w:style w:type="paragraph" w:customStyle="1" w:styleId="31">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32">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33">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34">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35">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36">
    <w:name w:val="样式 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7">
    <w:name w:val="样式 13 三号"/>
    <w:next w:val="19"/>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8">
    <w:name w:val="样式 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39">
    <w:name w:val="样式 三号"/>
    <w:next w:val="16"/>
    <w:pPr>
      <w:widowControl w:val="0"/>
      <w:spacing w:line="560" w:lineRule="exact"/>
      <w:jc w:val="both"/>
    </w:pPr>
    <w:rPr>
      <w:rFonts w:ascii="Times New Roman" w:eastAsia="方正仿宋_GBK" w:cs="Times New Roman" w:hAnsi="Times New Roman"/>
      <w:spacing w:val="-4"/>
      <w:kern w:val="2"/>
      <w:sz w:val="32"/>
      <w:szCs w:val="32"/>
      <w:lang w:val="en-US" w:eastAsia="zh-CN" w:bidi="ar-SA"/>
    </w:rPr>
  </w:style>
  <w:style w:type="paragraph" w:customStyle="1" w:styleId="40">
    <w:name w:val="样式 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41">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42">
    <w:name w:val="样式 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3">
    <w:name w:val="样式 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4">
    <w:name w:val="样式 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5">
    <w:name w:val="样式 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6">
    <w:name w:val="样式 1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7">
    <w:name w:val="样式 1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48">
    <w:name w:val="样式 1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49">
    <w:name w:val="样式 14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0">
    <w:name w:val="样式 15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1">
    <w:name w:val="样式 1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2">
    <w:name w:val="样式 1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3">
    <w:name w:val="样式 18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4">
    <w:name w:val="样式 19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55">
    <w:name w:val="样式 2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6">
    <w:name w:val="样式 2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7">
    <w:name w:val="样式 1 小四"/>
    <w:rPr>
      <w:rFonts w:ascii="Times New Roman" w:eastAsia="SimSun" w:cs="Times New Roman" w:hAnsi="Times New Roman"/>
      <w:sz w:val="24"/>
      <w:szCs w:val="24"/>
      <w:lang w:val="en-US" w:eastAsia="en-US" w:bidi="ar-SA"/>
    </w:rPr>
  </w:style>
  <w:style w:type="paragraph" w:customStyle="1" w:styleId="58">
    <w:name w:val="样式 2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59">
    <w:name w:val="样式 2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0">
    <w:name w:val="样式 2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1">
    <w:name w:val="样式 26 三号"/>
    <w:pPr>
      <w:widowControl w:val="0"/>
      <w:jc w:val="both"/>
    </w:pPr>
    <w:rPr>
      <w:rFonts w:ascii="Times New Roman" w:eastAsia="方正仿宋_GBK" w:cs="Times New Roman" w:hAnsi="Times New Roman"/>
      <w:kern w:val="2"/>
      <w:sz w:val="32"/>
      <w:lang w:val="en-US" w:eastAsia="zh-CN" w:bidi="ar-SA"/>
    </w:rPr>
  </w:style>
  <w:style w:type="paragraph" w:customStyle="1" w:styleId="62">
    <w:name w:val="样式 2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3">
    <w:name w:val="样式 2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4">
    <w:name w:val="样式 29 三号"/>
    <w:pPr>
      <w:widowControl w:val="0"/>
      <w:jc w:val="both"/>
    </w:pPr>
    <w:rPr>
      <w:rFonts w:ascii="Times New Roman" w:eastAsia="方正仿宋_GBK" w:cs="Times New Roman" w:hAnsi="Times New Roman"/>
      <w:kern w:val="2"/>
      <w:sz w:val="32"/>
      <w:lang w:val="en-US" w:eastAsia="zh-CN" w:bidi="ar-SA"/>
    </w:rPr>
  </w:style>
  <w:style w:type="paragraph" w:customStyle="1" w:styleId="65">
    <w:name w:val="样式 3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6">
    <w:name w:val="样式 3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67">
    <w:name w:val="样式 32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68">
    <w:name w:val="样式 33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69">
    <w:name w:val="样式 3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0">
    <w:name w:val="样式 3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1">
    <w:name w:val="样式 3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2">
    <w:name w:val="样式 3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3">
    <w:name w:val="样式 3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4">
    <w:name w:val="样式 3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5">
    <w:name w:val="样式 4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6">
    <w:name w:val="样式 4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7">
    <w:name w:val="样式 4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8">
    <w:name w:val="样式 4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79">
    <w:name w:val="样式 4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0">
    <w:name w:val="样式 4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1">
    <w:name w:val="样式 4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2">
    <w:name w:val="样式 4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3">
    <w:name w:val="样式 4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4">
    <w:name w:val="样式 4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5">
    <w:name w:val="样式 51 三号"/>
    <w:pPr>
      <w:widowControl w:val="0"/>
      <w:jc w:val="both"/>
    </w:pPr>
    <w:rPr>
      <w:rFonts w:ascii="Times New Roman" w:eastAsia="方正仿宋_GBK" w:cs="Times New Roman" w:hAnsi="Times New Roman"/>
      <w:kern w:val="2"/>
      <w:sz w:val="32"/>
      <w:szCs w:val="22"/>
      <w:lang w:val="en-US" w:eastAsia="zh-CN" w:bidi="ar-SA"/>
    </w:rPr>
  </w:style>
  <w:style w:type="paragraph" w:customStyle="1" w:styleId="86">
    <w:name w:val="样式 5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7">
    <w:name w:val="样式 5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8">
    <w:name w:val="样式 5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89">
    <w:name w:val="样式 5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0">
    <w:name w:val="样式 5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1">
    <w:name w:val="样式 2 小四"/>
    <w:pPr>
      <w:widowControl w:val="0"/>
      <w:spacing w:beforeAutospacing="1" w:afterAutospacing="1"/>
    </w:pPr>
    <w:rPr>
      <w:rFonts w:ascii="Times New Roman" w:eastAsia="宋体" w:cs="Times New Roman" w:hAnsi="Times New Roman"/>
      <w:sz w:val="24"/>
      <w:szCs w:val="30"/>
      <w:lang w:val="en-US" w:eastAsia="zh-CN" w:bidi="ar-SA"/>
    </w:rPr>
  </w:style>
  <w:style w:type="paragraph" w:customStyle="1" w:styleId="92">
    <w:name w:val="样式 5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3">
    <w:name w:val="样式 5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4">
    <w:name w:val="样式 5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5">
    <w:name w:val="样式 6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6">
    <w:name w:val="样式 61 三号"/>
    <w:pPr>
      <w:widowControl w:val="0"/>
      <w:ind w:left="2100"/>
      <w:jc w:val="both"/>
    </w:pPr>
    <w:rPr>
      <w:rFonts w:ascii="Times New Roman" w:eastAsia="方正仿宋_GBK" w:cs="Times New Roman" w:hAnsi="Times New Roman"/>
      <w:kern w:val="2"/>
      <w:sz w:val="32"/>
      <w:szCs w:val="22"/>
      <w:lang w:val="en-US" w:eastAsia="zh-CN" w:bidi="ar-SA"/>
    </w:rPr>
  </w:style>
  <w:style w:type="paragraph" w:customStyle="1" w:styleId="97">
    <w:name w:val="样式 6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8">
    <w:name w:val="样式 6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99">
    <w:name w:val="样式 6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0">
    <w:name w:val="样式 65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1">
    <w:name w:val="样式 6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2">
    <w:name w:val="样式 67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3">
    <w:name w:val="样式 68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4">
    <w:name w:val="样式 69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5">
    <w:name w:val="样式 70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6">
    <w:name w:val="样式 71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7">
    <w:name w:val="样式 72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8">
    <w:name w:val="样式 73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09">
    <w:name w:val="样式 74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styleId="110">
    <w:name w:val="Body Text 3"/>
    <w:basedOn w:val="0"/>
    <w:pPr>
      <w:spacing w:after="120"/>
    </w:pPr>
    <w:rPr>
      <w:sz w:val="16"/>
      <w:szCs w:val="16"/>
    </w:rPr>
  </w:style>
  <w:style w:type="paragraph" w:customStyle="1" w:styleId="111">
    <w:name w:val="样式 75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112">
    <w:name w:val="样式 76 三号"/>
    <w:pPr>
      <w:widowControl w:val="0"/>
      <w:spacing w:line="560" w:lineRule="exact"/>
      <w:jc w:val="both"/>
    </w:pPr>
    <w:rPr>
      <w:rFonts w:ascii="Times New Roman" w:eastAsia="方正仿宋_GBK" w:cs="Times New Roman" w:hAnsi="Times New Roman"/>
      <w:spacing w:val="-4"/>
      <w:kern w:val="2"/>
      <w:sz w:val="32"/>
      <w:lang w:val="en-US" w:eastAsia="zh-CN" w:bidi="ar-SA"/>
    </w:rPr>
  </w:style>
  <w:style w:type="paragraph" w:customStyle="1" w:styleId="113">
    <w:name w:val="样式 77 三号"/>
    <w:pPr>
      <w:widowControl w:val="0"/>
      <w:ind w:left="2100"/>
      <w:jc w:val="both"/>
    </w:pPr>
    <w:rPr>
      <w:rFonts w:ascii="Times New Roman" w:eastAsia="方正仿宋_GBK" w:cs="Times New Roman" w:hAnsi="Times New Roman"/>
      <w:kern w:val="2"/>
      <w:sz w:val="32"/>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4747</TotalTime>
  <Application>Yozo_Office</Application>
  <Pages>1</Pages>
  <Words>0</Words>
  <Characters>0</Characters>
  <Lines>1</Lines>
  <Paragraphs>0</Paragraphs>
  <CharactersWithSpaces>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6074820</dc:creator>
  <cp:lastModifiedBy>苏伟</cp:lastModifiedBy>
  <cp:revision>1</cp:revision>
  <dcterms:created xsi:type="dcterms:W3CDTF">2023-12-18T01:50:00Z</dcterms:created>
  <dcterms:modified xsi:type="dcterms:W3CDTF">2026-02-27T02:43:09Z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2052-11.8.2.8053</vt:lpwstr>
  </property>
</Properties>
</file>