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spacing w:line="560" w:lineRule="exact"/>
        <w:jc w:val="center"/>
        <w:rPr>
          <w:rFonts w:hint="eastAsia" w:ascii="方正小标宋_GBK" w:eastAsia="方正小标宋_GBK" w:cs="方正小标宋_GBK"/>
          <w:sz w:val="44"/>
          <w:szCs w:val="44"/>
        </w:rPr>
      </w:pPr>
      <w:bookmarkStart w:id="0" w:name="_Hlk25540369"/>
      <w:bookmarkStart w:id="1" w:name="cogw__正文__file"/>
      <w:r>
        <w:rPr>
          <w:rFonts w:hint="eastAsia" w:ascii="方正小标宋_GBK" w:eastAsia="方正小标宋_GBK" w:cs="方正小标宋_GBK"/>
          <w:sz w:val="44"/>
          <w:szCs w:val="44"/>
        </w:rPr>
        <w:t>汕头海关（本级机关）202</w:t>
      </w:r>
      <w:r>
        <w:rPr>
          <w:rFonts w:hint="eastAsia" w:ascii="方正小标宋_GBK" w:eastAsia="方正小标宋_GBK" w:cs="方正小标宋_GBK"/>
          <w:sz w:val="44"/>
          <w:szCs w:val="44"/>
          <w:lang w:val="en-US" w:eastAsia="zh-CN"/>
        </w:rPr>
        <w:t>3</w:t>
      </w:r>
      <w:r>
        <w:rPr>
          <w:rFonts w:hint="eastAsia" w:ascii="方正小标宋_GBK" w:eastAsia="方正小标宋_GBK" w:cs="方正小标宋_GBK"/>
          <w:sz w:val="44"/>
          <w:szCs w:val="44"/>
        </w:rPr>
        <w:t>年政府信息公开</w:t>
      </w:r>
    </w:p>
    <w:p>
      <w:pPr>
        <w:pStyle w:val="12"/>
        <w:spacing w:line="560" w:lineRule="exact"/>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rPr>
        <w:t>工作年度报告</w:t>
      </w:r>
      <w:bookmarkEnd w:id="0"/>
    </w:p>
    <w:p>
      <w:pPr>
        <w:pStyle w:val="8"/>
        <w:widowControl/>
        <w:shd w:val="clear" w:color="auto" w:fill="FFFFFF"/>
        <w:adjustRightInd w:val="0"/>
        <w:snapToGrid w:val="0"/>
        <w:spacing w:beforeAutospacing="0" w:afterAutospacing="0" w:line="560" w:lineRule="exact"/>
        <w:jc w:val="both"/>
        <w:rPr>
          <w:rFonts w:hint="eastAsia" w:ascii="楷体_GB2312" w:eastAsia="楷体_GB2312" w:cs="楷体_GB2312"/>
          <w:bCs/>
          <w:sz w:val="32"/>
          <w:szCs w:val="32"/>
          <w:shd w:val="clear" w:color="auto" w:fill="FFFFFF"/>
        </w:rPr>
      </w:pPr>
    </w:p>
    <w:p>
      <w:pPr>
        <w:pStyle w:val="8"/>
        <w:widowControl/>
        <w:shd w:val="clear" w:color="auto" w:fill="FFFFFF"/>
        <w:adjustRightInd w:val="0"/>
        <w:snapToGrid w:val="0"/>
        <w:spacing w:beforeAutospacing="0" w:afterAutospacing="0" w:line="560" w:lineRule="exact"/>
        <w:ind w:firstLine="624" w:firstLineChars="200"/>
        <w:jc w:val="both"/>
        <w:rPr>
          <w:rFonts w:hint="eastAsia" w:eastAsia="方正仿宋_GBK"/>
          <w:bCs/>
          <w:spacing w:val="-4"/>
          <w:sz w:val="32"/>
          <w:szCs w:val="32"/>
          <w:shd w:val="clear" w:color="auto" w:fill="FFFFFF"/>
        </w:rPr>
      </w:pPr>
      <w:r>
        <w:rPr>
          <w:rFonts w:hint="eastAsia" w:eastAsia="方正仿宋_GBK"/>
          <w:bCs/>
          <w:spacing w:val="-4"/>
          <w:sz w:val="32"/>
          <w:szCs w:val="32"/>
          <w:shd w:val="clear" w:color="auto" w:fill="FFFFFF"/>
        </w:rPr>
        <w:t>本报告根据《中华人民共和国政府信息公开条例》《国务院办公厅政府信息与政务公开办公室关于政府信息公开工作年度报告有关事项的通知》等规定，梳理202</w:t>
      </w:r>
      <w:r>
        <w:rPr>
          <w:rFonts w:hint="eastAsia" w:eastAsia="方正仿宋_GBK"/>
          <w:bCs/>
          <w:spacing w:val="-4"/>
          <w:sz w:val="32"/>
          <w:szCs w:val="32"/>
          <w:shd w:val="clear" w:color="auto" w:fill="FFFFFF"/>
          <w:lang w:val="en-US" w:eastAsia="zh-CN"/>
        </w:rPr>
        <w:t>3</w:t>
      </w:r>
      <w:r>
        <w:rPr>
          <w:rFonts w:hint="eastAsia" w:eastAsia="方正仿宋_GBK"/>
          <w:bCs/>
          <w:spacing w:val="-4"/>
          <w:sz w:val="32"/>
          <w:szCs w:val="32"/>
          <w:shd w:val="clear" w:color="auto" w:fill="FFFFFF"/>
        </w:rPr>
        <w:t>年度汕头海关（本级</w:t>
      </w:r>
      <w:r>
        <w:rPr>
          <w:rFonts w:eastAsia="方正仿宋_GBK"/>
          <w:bCs/>
          <w:spacing w:val="-4"/>
          <w:sz w:val="32"/>
          <w:szCs w:val="32"/>
          <w:shd w:val="clear" w:color="auto" w:fill="FFFFFF"/>
        </w:rPr>
        <w:t>机关</w:t>
      </w:r>
      <w:r>
        <w:rPr>
          <w:rFonts w:hint="eastAsia" w:eastAsia="方正仿宋_GBK"/>
          <w:bCs/>
          <w:spacing w:val="-4"/>
          <w:sz w:val="32"/>
          <w:szCs w:val="32"/>
          <w:shd w:val="clear" w:color="auto" w:fill="FFFFFF"/>
        </w:rPr>
        <w:t>）政府信息公开工作情况编制而成。</w:t>
      </w:r>
      <w:r>
        <w:rPr>
          <w:rFonts w:eastAsia="方正仿宋_GBK"/>
          <w:bCs/>
          <w:spacing w:val="-4"/>
          <w:sz w:val="32"/>
          <w:szCs w:val="32"/>
          <w:shd w:val="clear" w:color="auto" w:fill="FFFFFF"/>
        </w:rPr>
        <w:t>报告中所有项目数据统计时间为202</w:t>
      </w:r>
      <w:r>
        <w:rPr>
          <w:rFonts w:hint="eastAsia" w:eastAsia="方正仿宋_GBK"/>
          <w:bCs/>
          <w:spacing w:val="-4"/>
          <w:sz w:val="32"/>
          <w:szCs w:val="32"/>
          <w:shd w:val="clear" w:color="auto" w:fill="FFFFFF"/>
          <w:lang w:val="en-US" w:eastAsia="zh-CN"/>
        </w:rPr>
        <w:t>3</w:t>
      </w:r>
      <w:r>
        <w:rPr>
          <w:rFonts w:eastAsia="方正仿宋_GBK"/>
          <w:bCs/>
          <w:spacing w:val="-4"/>
          <w:sz w:val="32"/>
          <w:szCs w:val="32"/>
          <w:shd w:val="clear" w:color="auto" w:fill="FFFFFF"/>
        </w:rPr>
        <w:t>年1月1日至12月31日。本报告</w:t>
      </w:r>
      <w:r>
        <w:rPr>
          <w:rFonts w:hint="eastAsia" w:ascii="方正仿宋_GBK" w:eastAsia="方正仿宋_GBK" w:cs="楷体_GB2312"/>
          <w:bCs/>
          <w:spacing w:val="-4"/>
          <w:sz w:val="32"/>
          <w:szCs w:val="32"/>
          <w:shd w:val="clear" w:color="auto" w:fill="FFFFFF"/>
        </w:rPr>
        <w:t>的电子版可在“汕头海关门户网站”</w:t>
      </w:r>
      <w:r>
        <w:rPr>
          <w:rFonts w:eastAsia="方正仿宋_GBK"/>
          <w:bCs/>
          <w:spacing w:val="-4"/>
          <w:sz w:val="32"/>
          <w:szCs w:val="32"/>
          <w:shd w:val="clear" w:color="auto" w:fill="FFFFFF"/>
        </w:rPr>
        <w:t>（http://shantou.customs.gov.cn/）</w:t>
      </w:r>
      <w:r>
        <w:rPr>
          <w:rFonts w:hint="eastAsia" w:ascii="方正仿宋_GBK" w:eastAsia="方正仿宋_GBK" w:cs="楷体_GB2312"/>
          <w:bCs/>
          <w:spacing w:val="-4"/>
          <w:sz w:val="32"/>
          <w:szCs w:val="32"/>
          <w:shd w:val="clear" w:color="auto" w:fill="FFFFFF"/>
        </w:rPr>
        <w:t>下</w:t>
      </w:r>
      <w:r>
        <w:rPr>
          <w:rFonts w:eastAsia="方正仿宋_GBK"/>
          <w:bCs/>
          <w:spacing w:val="-4"/>
          <w:sz w:val="32"/>
          <w:szCs w:val="32"/>
          <w:shd w:val="clear" w:color="auto" w:fill="FFFFFF"/>
        </w:rPr>
        <w:t>载。如对本报告有任何疑问，请与</w:t>
      </w:r>
      <w:r>
        <w:rPr>
          <w:rFonts w:hint="eastAsia" w:eastAsia="方正仿宋_GBK"/>
          <w:bCs/>
          <w:spacing w:val="-4"/>
          <w:sz w:val="32"/>
          <w:szCs w:val="32"/>
          <w:shd w:val="clear" w:color="auto" w:fill="FFFFFF"/>
        </w:rPr>
        <w:t>汕头</w:t>
      </w:r>
      <w:r>
        <w:rPr>
          <w:rFonts w:eastAsia="方正仿宋_GBK"/>
          <w:bCs/>
          <w:spacing w:val="-4"/>
          <w:sz w:val="32"/>
          <w:szCs w:val="32"/>
          <w:shd w:val="clear" w:color="auto" w:fill="FFFFFF"/>
        </w:rPr>
        <w:t>海关办公室联系，电话：0754-</w:t>
      </w:r>
      <w:r>
        <w:rPr>
          <w:bCs/>
          <w:color w:val="000000"/>
          <w:sz w:val="32"/>
          <w:szCs w:val="32"/>
          <w:shd w:val="clear" w:color="auto" w:fill="FFFFFF"/>
        </w:rPr>
        <w:t>8819</w:t>
      </w:r>
      <w:r>
        <w:rPr>
          <w:rFonts w:hint="eastAsia"/>
          <w:bCs/>
          <w:color w:val="000000"/>
          <w:sz w:val="32"/>
          <w:szCs w:val="32"/>
          <w:shd w:val="clear" w:color="auto" w:fill="FFFFFF"/>
        </w:rPr>
        <w:t>8</w:t>
      </w:r>
      <w:r>
        <w:rPr>
          <w:rFonts w:hint="eastAsia"/>
          <w:bCs/>
          <w:color w:val="000000"/>
          <w:sz w:val="32"/>
          <w:szCs w:val="32"/>
          <w:shd w:val="clear" w:color="auto" w:fill="FFFFFF"/>
          <w:lang w:val="en-US" w:eastAsia="zh-CN"/>
        </w:rPr>
        <w:t>720</w:t>
      </w:r>
      <w:r>
        <w:rPr>
          <w:rFonts w:eastAsia="方正仿宋_GBK"/>
          <w:bCs/>
          <w:spacing w:val="-4"/>
          <w:sz w:val="32"/>
          <w:szCs w:val="32"/>
          <w:shd w:val="clear" w:color="auto" w:fill="FFFFFF"/>
        </w:rPr>
        <w:t>。</w:t>
      </w:r>
    </w:p>
    <w:p>
      <w:pPr>
        <w:pStyle w:val="13"/>
        <w:adjustRightInd w:val="0"/>
        <w:snapToGrid w:val="0"/>
        <w:ind w:firstLine="624" w:firstLineChars="200"/>
        <w:rPr>
          <w:bCs/>
          <w:color w:val="000000"/>
          <w:szCs w:val="32"/>
          <w:shd w:val="clear" w:color="auto" w:fill="FFFFFF"/>
        </w:rPr>
      </w:pPr>
      <w:r>
        <w:rPr>
          <w:rFonts w:hint="eastAsia" w:ascii="方正黑体_GBK" w:eastAsia="方正黑体_GBK" w:cs="楷体_GB2312"/>
          <w:bCs/>
          <w:szCs w:val="32"/>
          <w:shd w:val="clear" w:color="auto" w:fill="FFFFFF"/>
        </w:rPr>
        <w:t>一、总体情况</w:t>
      </w:r>
    </w:p>
    <w:p>
      <w:pPr>
        <w:pStyle w:val="13"/>
        <w:adjustRightInd w:val="0"/>
        <w:snapToGrid w:val="0"/>
        <w:ind w:firstLine="624" w:firstLineChars="200"/>
        <w:rPr>
          <w:rFonts w:hint="eastAsia"/>
          <w:bCs/>
          <w:color w:val="000000"/>
          <w:shd w:val="clear" w:color="auto" w:fill="FFFFFF"/>
        </w:rPr>
      </w:pPr>
      <w:r>
        <w:rPr>
          <w:bCs/>
          <w:color w:val="000000"/>
          <w:szCs w:val="32"/>
          <w:shd w:val="clear" w:color="auto" w:fill="FFFFFF"/>
        </w:rPr>
        <w:t>202</w:t>
      </w:r>
      <w:r>
        <w:rPr>
          <w:rFonts w:hint="eastAsia"/>
          <w:bCs/>
          <w:color w:val="000000"/>
          <w:szCs w:val="32"/>
          <w:shd w:val="clear" w:color="auto" w:fill="FFFFFF"/>
          <w:lang w:val="en-US" w:eastAsia="zh-CN"/>
        </w:rPr>
        <w:t>3</w:t>
      </w:r>
      <w:r>
        <w:rPr>
          <w:rFonts w:hint="eastAsia"/>
          <w:bCs/>
          <w:color w:val="000000"/>
          <w:szCs w:val="32"/>
          <w:shd w:val="clear" w:color="auto" w:fill="FFFFFF"/>
        </w:rPr>
        <w:t>年，</w:t>
      </w:r>
      <w:r>
        <w:rPr>
          <w:rFonts w:hint="eastAsia"/>
          <w:bCs/>
          <w:color w:val="000000"/>
          <w:szCs w:val="32"/>
          <w:shd w:val="clear" w:color="auto" w:fill="FFFFFF"/>
          <w:lang w:eastAsia="zh-CN"/>
        </w:rPr>
        <w:t>汕头海关</w:t>
      </w:r>
      <w:r>
        <w:rPr>
          <w:rFonts w:hint="eastAsia"/>
          <w:bCs/>
          <w:color w:val="000000"/>
          <w:szCs w:val="32"/>
          <w:shd w:val="clear" w:color="auto" w:fill="FFFFFF"/>
        </w:rPr>
        <w:t>围绕学习宣传贯彻党的二十大精神、“12个必”重点工作和“1+1+6”重点任务的部署落实，坚持把</w:t>
      </w:r>
      <w:r>
        <w:rPr>
          <w:bCs/>
          <w:color w:val="000000"/>
          <w:szCs w:val="32"/>
          <w:shd w:val="clear" w:color="auto" w:fill="FFFFFF"/>
        </w:rPr>
        <w:t>学习贯彻</w:t>
      </w:r>
      <w:r>
        <w:rPr>
          <w:rFonts w:hint="eastAsia"/>
          <w:bCs/>
          <w:color w:val="000000"/>
          <w:szCs w:val="32"/>
          <w:shd w:val="clear" w:color="auto" w:fill="FFFFFF"/>
        </w:rPr>
        <w:t>习近平新时代中国特色社会主义思想主题教育与政务公开工作紧密结合，</w:t>
      </w:r>
      <w:r>
        <w:rPr>
          <w:rFonts w:hint="eastAsia"/>
          <w:bCs/>
          <w:color w:val="000000"/>
          <w:shd w:val="clear" w:color="auto" w:fill="FFFFFF"/>
        </w:rPr>
        <w:t>贯彻党中央、国务院关于政务公开工作的决策部署，落实海关总署关于政务公开工作的具体要求，</w:t>
      </w:r>
      <w:r>
        <w:rPr>
          <w:rFonts w:hint="eastAsia"/>
          <w:bCs/>
          <w:color w:val="000000"/>
          <w:shd w:val="clear" w:color="auto" w:fill="FFFFFF"/>
          <w:lang w:eastAsia="zh-CN"/>
        </w:rPr>
        <w:t>推进汕头海关本级政府信息公开工作持续提质增效</w:t>
      </w:r>
      <w:r>
        <w:rPr>
          <w:rFonts w:hint="eastAsia"/>
          <w:bCs/>
          <w:color w:val="000000"/>
          <w:shd w:val="clear" w:color="auto" w:fill="FFFFFF"/>
        </w:rPr>
        <w:t>。</w:t>
      </w:r>
    </w:p>
    <w:p>
      <w:pPr>
        <w:pStyle w:val="14"/>
        <w:numPr>
          <w:ilvl w:val="0"/>
          <w:numId w:val="1"/>
        </w:numPr>
        <w:adjustRightInd w:val="0"/>
        <w:snapToGrid w:val="0"/>
        <w:ind w:left="0" w:firstLine="624" w:firstLineChars="200"/>
        <w:rPr>
          <w:rFonts w:hint="eastAsia"/>
        </w:rPr>
      </w:pPr>
      <w:r>
        <w:rPr>
          <w:rFonts w:hint="eastAsia" w:ascii="方正楷体_GBK" w:eastAsia="方正楷体_GBK"/>
        </w:rPr>
        <w:t>主动公开方面</w:t>
      </w:r>
      <w:r>
        <w:rPr>
          <w:rFonts w:hint="eastAsia" w:ascii="方正楷体_GBK" w:eastAsia="方正楷体_GBK"/>
          <w:lang w:eastAsia="zh-CN"/>
        </w:rPr>
        <w:t>。</w:t>
      </w:r>
      <w:r>
        <w:rPr>
          <w:rFonts w:hint="eastAsia" w:ascii="方正仿宋_GBK" w:eastAsia="方正仿宋_GBK" w:cs="方正仿宋_GBK"/>
          <w:lang w:eastAsia="zh-CN"/>
        </w:rPr>
        <w:t>一是信息公开发布及时。</w:t>
      </w:r>
      <w:r>
        <w:rPr>
          <w:rFonts w:hint="eastAsia" w:cs="Times New Roman"/>
          <w:bCs/>
          <w:color w:val="000000"/>
          <w:spacing w:val="-4"/>
          <w:kern w:val="2"/>
          <w:sz w:val="32"/>
          <w:szCs w:val="22"/>
          <w:shd w:val="clear" w:color="auto" w:fill="FFFFFF"/>
          <w:lang w:val="en-US" w:eastAsia="zh-CN" w:bidi="ar-SA"/>
        </w:rPr>
        <w:t>常态化加强政府信息公开栏目维护</w:t>
      </w:r>
      <w:r>
        <w:rPr>
          <w:rFonts w:hint="eastAsia" w:eastAsia="方正仿宋_GBK" w:cs="Times New Roman"/>
          <w:bCs/>
          <w:color w:val="000000"/>
          <w:spacing w:val="-4"/>
          <w:kern w:val="2"/>
          <w:sz w:val="32"/>
          <w:szCs w:val="22"/>
          <w:shd w:val="clear" w:color="auto" w:fill="FFFFFF"/>
          <w:lang w:val="en-US" w:eastAsia="zh-CN" w:bidi="ar-SA"/>
        </w:rPr>
        <w:t>，</w:t>
      </w:r>
      <w:r>
        <w:rPr>
          <w:rFonts w:hint="eastAsia" w:cs="Times New Roman"/>
          <w:bCs/>
          <w:color w:val="000000"/>
          <w:spacing w:val="-4"/>
          <w:kern w:val="2"/>
          <w:sz w:val="32"/>
          <w:szCs w:val="22"/>
          <w:shd w:val="clear" w:color="auto" w:fill="FFFFFF"/>
          <w:lang w:val="en-US" w:eastAsia="zh-CN" w:bidi="ar-SA"/>
        </w:rPr>
        <w:t>及时更新政府信息公开指南，主动公开机构职能、政策法规、拍卖信息、人事信息、财政信息等信息，确保发布及时、更新到位，增强公开实效。二是信息公开栏目维护到位。增设“本级通知”“隶属海关通知”“事业单位通知”等子栏目，开设“基层政务公开专栏”</w:t>
      </w:r>
      <w:r>
        <w:rPr>
          <w:rFonts w:cs="Times New Roman"/>
          <w:bCs/>
          <w:color w:val="000000"/>
          <w:spacing w:val="-4"/>
          <w:kern w:val="2"/>
          <w:sz w:val="32"/>
          <w:szCs w:val="22"/>
          <w:shd w:val="clear" w:color="auto" w:fill="FFFFFF"/>
          <w:lang w:val="en-US" w:eastAsia="zh-CN" w:bidi="ar-SA"/>
        </w:rPr>
        <w:t>等2个专题专栏</w:t>
      </w:r>
      <w:r>
        <w:rPr>
          <w:rFonts w:hint="eastAsia" w:cs="Times New Roman"/>
          <w:bCs/>
          <w:color w:val="000000"/>
          <w:spacing w:val="-4"/>
          <w:kern w:val="2"/>
          <w:sz w:val="32"/>
          <w:szCs w:val="22"/>
          <w:shd w:val="clear" w:color="auto" w:fill="FFFFFF"/>
          <w:lang w:val="en-US" w:eastAsia="zh-CN" w:bidi="ar-SA"/>
        </w:rPr>
        <w:t>，加强信息分级分类，优化信息查询路径。三是社会关切积极回应。管好用好关长信箱、信访留言、业务咨询等网上互动渠道，2023年以来妥善处理关长信箱14封、信访事项15件、门户网站业务咨询55个。</w:t>
      </w:r>
    </w:p>
    <w:p>
      <w:pPr>
        <w:pStyle w:val="14"/>
        <w:adjustRightInd w:val="0"/>
        <w:snapToGrid w:val="0"/>
        <w:ind w:firstLine="624" w:firstLineChars="200"/>
        <w:rPr>
          <w:rFonts w:hint="eastAsia"/>
        </w:rPr>
      </w:pPr>
      <w:r>
        <w:rPr>
          <w:rFonts w:hint="eastAsia" w:ascii="方正楷体_GBK" w:eastAsia="方正楷体_GBK"/>
        </w:rPr>
        <w:t>（二）依申请公开方面</w:t>
      </w:r>
      <w:r>
        <w:rPr>
          <w:rFonts w:hint="eastAsia" w:ascii="方正楷体_GBK" w:eastAsia="方正楷体_GBK"/>
          <w:lang w:eastAsia="zh-CN"/>
        </w:rPr>
        <w:t>。</w:t>
      </w:r>
      <w:r>
        <w:rPr>
          <w:rFonts w:hint="eastAsia"/>
          <w:lang w:eastAsia="zh-CN"/>
        </w:rPr>
        <w:t>依法依规做好政府信息依申请公开工作，持续规范依申请工作办理流程，常态化开展</w:t>
      </w:r>
      <w:r>
        <w:rPr>
          <w:rFonts w:hint="eastAsia"/>
        </w:rPr>
        <w:t>对隶属海关的培训、指导、测试，</w:t>
      </w:r>
      <w:r>
        <w:rPr>
          <w:rFonts w:hint="eastAsia"/>
          <w:lang w:eastAsia="zh-CN"/>
        </w:rPr>
        <w:t>进一步提升依申请公开工作质量</w:t>
      </w:r>
      <w:r>
        <w:rPr>
          <w:rFonts w:hint="eastAsia"/>
        </w:rPr>
        <w:t>。202</w:t>
      </w:r>
      <w:r>
        <w:rPr>
          <w:rFonts w:hint="eastAsia"/>
          <w:lang w:val="en-US" w:eastAsia="zh-CN"/>
        </w:rPr>
        <w:t>3</w:t>
      </w:r>
      <w:r>
        <w:rPr>
          <w:rFonts w:hint="eastAsia"/>
        </w:rPr>
        <w:t>年汕头海关本级未接到政府信息公开申请，没有因政府信息公开引起的投诉举报、行政复议、行政诉讼。</w:t>
      </w:r>
    </w:p>
    <w:p>
      <w:pPr>
        <w:pStyle w:val="2"/>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eastAsia" w:ascii="Times New Roman" w:hAnsi="Times New Roman" w:eastAsia="方正仿宋_GBK" w:cs="Times New Roman"/>
          <w:spacing w:val="-4"/>
          <w:kern w:val="2"/>
          <w:sz w:val="32"/>
          <w:szCs w:val="22"/>
          <w:lang w:val="en-US" w:eastAsia="zh-CN" w:bidi="ar-SA"/>
        </w:rPr>
      </w:pPr>
      <w:r>
        <w:rPr>
          <w:rFonts w:hint="eastAsia" w:ascii="方正楷体_GBK" w:eastAsia="方正楷体_GBK" w:cs="方正楷体_GBK"/>
          <w:lang w:eastAsia="zh-CN"/>
        </w:rPr>
        <w:t>（三）政府信息管理方面。</w:t>
      </w:r>
      <w:r>
        <w:rPr>
          <w:rFonts w:hint="eastAsia" w:cs="Times New Roman"/>
          <w:spacing w:val="-4"/>
          <w:kern w:val="2"/>
          <w:sz w:val="32"/>
          <w:szCs w:val="22"/>
          <w:lang w:val="en-US" w:eastAsia="zh-CN" w:bidi="ar-SA"/>
        </w:rPr>
        <w:t>规范政府信息</w:t>
      </w:r>
      <w:r>
        <w:rPr>
          <w:rFonts w:cs="Times New Roman"/>
          <w:spacing w:val="-4"/>
          <w:kern w:val="2"/>
          <w:sz w:val="32"/>
          <w:szCs w:val="22"/>
          <w:lang w:val="en-US" w:eastAsia="zh-CN" w:bidi="ar-SA"/>
        </w:rPr>
        <w:t>公开</w:t>
      </w:r>
      <w:r>
        <w:rPr>
          <w:rFonts w:hint="eastAsia" w:cs="Times New Roman"/>
          <w:spacing w:val="-4"/>
          <w:kern w:val="2"/>
          <w:sz w:val="32"/>
          <w:szCs w:val="22"/>
          <w:lang w:val="en-US" w:eastAsia="zh-CN" w:bidi="ar-SA"/>
        </w:rPr>
        <w:t>保密</w:t>
      </w:r>
      <w:r>
        <w:rPr>
          <w:rFonts w:cs="Times New Roman"/>
          <w:spacing w:val="-4"/>
          <w:kern w:val="2"/>
          <w:sz w:val="32"/>
          <w:szCs w:val="22"/>
          <w:lang w:val="en-US" w:eastAsia="zh-CN" w:bidi="ar-SA"/>
        </w:rPr>
        <w:t>审查管理，严格执行审查程序，明确审查责任</w:t>
      </w:r>
      <w:r>
        <w:rPr>
          <w:rFonts w:hint="eastAsia" w:cs="Times New Roman"/>
          <w:spacing w:val="-4"/>
          <w:kern w:val="2"/>
          <w:sz w:val="32"/>
          <w:szCs w:val="22"/>
          <w:lang w:val="en-US" w:eastAsia="zh-CN" w:bidi="ar-SA"/>
        </w:rPr>
        <w:t>，</w:t>
      </w:r>
      <w:r>
        <w:rPr>
          <w:rFonts w:cs="Times New Roman"/>
          <w:spacing w:val="-4"/>
          <w:kern w:val="2"/>
          <w:sz w:val="32"/>
          <w:szCs w:val="22"/>
          <w:lang w:val="en-US" w:eastAsia="zh-CN" w:bidi="ar-SA"/>
        </w:rPr>
        <w:t>办公室牵头，</w:t>
      </w:r>
      <w:r>
        <w:rPr>
          <w:rFonts w:hint="eastAsia" w:ascii="Times New Roman" w:hAnsi="Times New Roman" w:eastAsia="方正仿宋_GBK" w:cs="Times New Roman"/>
          <w:spacing w:val="-4"/>
          <w:kern w:val="2"/>
          <w:sz w:val="32"/>
          <w:szCs w:val="22"/>
          <w:lang w:val="en-US" w:eastAsia="zh-CN" w:bidi="ar-SA"/>
        </w:rPr>
        <w:t>各部门齐抓共管，共同落实对政府信息</w:t>
      </w:r>
      <w:r>
        <w:rPr>
          <w:rFonts w:ascii="Times New Roman" w:hAnsi="Times New Roman" w:eastAsia="方正仿宋_GBK" w:cs="Times New Roman"/>
          <w:spacing w:val="-4"/>
          <w:kern w:val="2"/>
          <w:sz w:val="32"/>
          <w:szCs w:val="22"/>
          <w:lang w:val="en-US" w:eastAsia="zh-CN" w:bidi="ar-SA"/>
        </w:rPr>
        <w:t>公开情况</w:t>
      </w:r>
      <w:r>
        <w:rPr>
          <w:rFonts w:hint="eastAsia" w:ascii="Times New Roman" w:hAnsi="Times New Roman" w:eastAsia="方正仿宋_GBK" w:cs="Times New Roman"/>
          <w:spacing w:val="-4"/>
          <w:kern w:val="2"/>
          <w:sz w:val="32"/>
          <w:szCs w:val="22"/>
          <w:lang w:val="en-US" w:eastAsia="zh-CN" w:bidi="ar-SA"/>
        </w:rPr>
        <w:t>的日常管理与审查</w:t>
      </w:r>
      <w:r>
        <w:rPr>
          <w:rFonts w:ascii="Times New Roman" w:hAnsi="Times New Roman" w:eastAsia="方正仿宋_GBK" w:cs="Times New Roman"/>
          <w:spacing w:val="-4"/>
          <w:kern w:val="2"/>
          <w:sz w:val="32"/>
          <w:szCs w:val="22"/>
          <w:lang w:val="en-US" w:eastAsia="zh-CN" w:bidi="ar-SA"/>
        </w:rPr>
        <w:t>。</w:t>
      </w:r>
      <w:r>
        <w:rPr>
          <w:rFonts w:hint="eastAsia" w:ascii="Times New Roman" w:hAnsi="Times New Roman" w:eastAsia="方正仿宋_GBK" w:cs="Times New Roman"/>
          <w:spacing w:val="-4"/>
          <w:kern w:val="2"/>
          <w:sz w:val="32"/>
          <w:szCs w:val="22"/>
          <w:lang w:val="en-US" w:eastAsia="zh-CN" w:bidi="ar-SA"/>
        </w:rPr>
        <w:t>加强对已发布内容进行“回头看”检查，提高政府信息公开的权威性、规范性、准确性。</w:t>
      </w:r>
    </w:p>
    <w:p>
      <w:pPr>
        <w:pStyle w:val="14"/>
        <w:keepNext w:val="0"/>
        <w:keepLines w:val="0"/>
        <w:pageBreakBefore w:val="0"/>
        <w:widowControl w:val="0"/>
        <w:kinsoku/>
        <w:wordWrap/>
        <w:overflowPunct/>
        <w:topLinePunct w:val="0"/>
        <w:autoSpaceDE/>
        <w:autoSpaceDN/>
        <w:bidi w:val="0"/>
        <w:adjustRightInd w:val="0"/>
        <w:snapToGrid w:val="0"/>
        <w:spacing w:line="560" w:lineRule="exact"/>
        <w:ind w:firstLine="624" w:firstLineChars="200"/>
        <w:textAlignment w:val="auto"/>
        <w:rPr>
          <w:szCs w:val="20"/>
        </w:rPr>
      </w:pPr>
      <w:r>
        <w:rPr>
          <w:rFonts w:hint="eastAsia" w:ascii="方正楷体_GBK" w:eastAsia="方正楷体_GBK"/>
        </w:rPr>
        <w:t>（</w:t>
      </w:r>
      <w:r>
        <w:rPr>
          <w:rFonts w:hint="eastAsia" w:ascii="方正楷体_GBK" w:eastAsia="方正楷体_GBK"/>
          <w:lang w:eastAsia="zh-CN"/>
        </w:rPr>
        <w:t>四</w:t>
      </w:r>
      <w:r>
        <w:rPr>
          <w:rFonts w:hint="eastAsia" w:ascii="方正楷体_GBK" w:eastAsia="方正楷体_GBK"/>
        </w:rPr>
        <w:t>）政府信息公开平台建设方面</w:t>
      </w:r>
      <w:r>
        <w:rPr>
          <w:rFonts w:hint="eastAsia" w:ascii="方正楷体_GBK" w:eastAsia="方正楷体_GBK"/>
          <w:lang w:eastAsia="zh-CN"/>
        </w:rPr>
        <w:t>。</w:t>
      </w:r>
      <w:r>
        <w:rPr>
          <w:rFonts w:hint="eastAsia" w:ascii="方正仿宋_GBK" w:eastAsia="方正仿宋_GBK" w:cs="方正仿宋_GBK"/>
          <w:lang w:eastAsia="zh-CN"/>
        </w:rPr>
        <w:t>发挥汕头海关门户网站政府信息公开专栏第一公开平台作用，增</w:t>
      </w:r>
      <w:r>
        <w:rPr>
          <w:rFonts w:hint="eastAsia" w:ascii="方正仿宋_GBK" w:cs="方正仿宋_GBK"/>
          <w:lang w:eastAsia="zh-CN"/>
        </w:rPr>
        <w:t>设</w:t>
      </w:r>
      <w:r>
        <w:rPr>
          <w:rFonts w:hint="eastAsia" w:ascii="方正仿宋_GBK" w:eastAsia="方正仿宋_GBK" w:cs="方正仿宋_GBK"/>
          <w:lang w:eastAsia="zh-CN"/>
        </w:rPr>
        <w:t>“基层政务公开专栏</w:t>
      </w:r>
      <w:r>
        <w:rPr>
          <w:rFonts w:hint="eastAsia" w:ascii="方正仿宋_GBK" w:cs="方正仿宋_GBK"/>
          <w:lang w:eastAsia="zh-CN"/>
        </w:rPr>
        <w:t>”</w:t>
      </w:r>
      <w:r>
        <w:rPr>
          <w:rFonts w:hint="eastAsia" w:ascii="方正仿宋_GBK" w:eastAsia="方正仿宋_GBK" w:cs="方正仿宋_GBK"/>
          <w:lang w:eastAsia="zh-CN"/>
        </w:rPr>
        <w:t>，</w:t>
      </w:r>
      <w:r>
        <w:rPr>
          <w:rFonts w:hint="eastAsia" w:ascii="方正仿宋_GBK" w:eastAsia="方正仿宋_GBK" w:cs="方正仿宋_GBK"/>
          <w:sz w:val="32"/>
          <w:szCs w:val="32"/>
          <w:lang w:eastAsia="zh-CN"/>
        </w:rPr>
        <w:t>实现基层政务信息一站式精准查询</w:t>
      </w:r>
      <w:r>
        <w:rPr>
          <w:rFonts w:hint="eastAsia" w:ascii="方正仿宋_GBK" w:eastAsia="方正仿宋_GBK" w:cs="方正仿宋_GBK"/>
          <w:lang w:eastAsia="zh-CN"/>
        </w:rPr>
        <w:t>。</w:t>
      </w:r>
      <w:r>
        <w:rPr>
          <w:rFonts w:hint="eastAsia"/>
          <w:szCs w:val="20"/>
        </w:rPr>
        <w:t>强化</w:t>
      </w:r>
      <w:r>
        <w:rPr>
          <w:szCs w:val="20"/>
        </w:rPr>
        <w:t>12360</w:t>
      </w:r>
      <w:r>
        <w:rPr>
          <w:rFonts w:hint="eastAsia"/>
          <w:szCs w:val="20"/>
        </w:rPr>
        <w:t>热线服务能力，</w:t>
      </w:r>
      <w:r>
        <w:rPr>
          <w:rFonts w:hint="eastAsia"/>
          <w:szCs w:val="20"/>
          <w:lang w:val="en-US" w:eastAsia="zh-CN"/>
        </w:rPr>
        <w:t>2023年</w:t>
      </w:r>
      <w:r>
        <w:rPr>
          <w:rFonts w:hint="eastAsia"/>
          <w:szCs w:val="20"/>
        </w:rPr>
        <w:t>以来</w:t>
      </w:r>
      <w:r>
        <w:rPr>
          <w:rFonts w:hint="eastAsia"/>
          <w:szCs w:val="20"/>
          <w:lang w:val="en-US" w:eastAsia="zh-CN"/>
        </w:rPr>
        <w:t>12360</w:t>
      </w:r>
      <w:r>
        <w:rPr>
          <w:rFonts w:hint="eastAsia"/>
          <w:szCs w:val="20"/>
        </w:rPr>
        <w:t>热线受理电话咨询</w:t>
      </w:r>
      <w:r>
        <w:rPr>
          <w:rFonts w:hint="eastAsia"/>
          <w:szCs w:val="20"/>
          <w:lang w:val="en-US" w:eastAsia="zh-CN"/>
        </w:rPr>
        <w:t>3013</w:t>
      </w:r>
      <w:r>
        <w:rPr>
          <w:rFonts w:hint="eastAsia"/>
          <w:szCs w:val="20"/>
        </w:rPr>
        <w:t>次，总署话务质检合格率和客户满意率均达100%，</w:t>
      </w:r>
      <w:r>
        <w:rPr>
          <w:rFonts w:hint="eastAsia"/>
          <w:szCs w:val="20"/>
          <w:lang w:val="en-US" w:eastAsia="zh-CN"/>
        </w:rPr>
        <w:t>2023年</w:t>
      </w:r>
      <w:r>
        <w:rPr>
          <w:rFonts w:hint="eastAsia"/>
          <w:szCs w:val="20"/>
        </w:rPr>
        <w:t>第二、三季度接通率列全国海关第一位。</w:t>
      </w:r>
    </w:p>
    <w:p>
      <w:pPr>
        <w:pStyle w:val="14"/>
        <w:adjustRightInd w:val="0"/>
        <w:snapToGrid w:val="0"/>
        <w:ind w:firstLine="624" w:firstLineChars="200"/>
        <w:rPr>
          <w:lang w:val="en-US" w:eastAsia="zh-CN"/>
        </w:rPr>
      </w:pPr>
      <w:r>
        <w:rPr>
          <w:rFonts w:hint="eastAsia" w:ascii="方正楷体_GBK" w:eastAsia="方正楷体_GBK"/>
        </w:rPr>
        <w:t>（</w:t>
      </w:r>
      <w:r>
        <w:rPr>
          <w:rFonts w:hint="eastAsia" w:ascii="方正楷体_GBK" w:eastAsia="方正楷体_GBK"/>
          <w:lang w:eastAsia="zh-CN"/>
        </w:rPr>
        <w:t>五</w:t>
      </w:r>
      <w:r>
        <w:rPr>
          <w:rFonts w:hint="eastAsia" w:ascii="方正楷体_GBK" w:eastAsia="方正楷体_GBK"/>
        </w:rPr>
        <w:t>）监督保障方面</w:t>
      </w:r>
      <w:r>
        <w:rPr>
          <w:rFonts w:hint="eastAsia" w:ascii="方正楷体_GBK" w:eastAsia="方正楷体_GBK"/>
          <w:lang w:eastAsia="zh-CN"/>
        </w:rPr>
        <w:t>。</w:t>
      </w:r>
      <w:r>
        <w:rPr>
          <w:rFonts w:hint="eastAsia" w:ascii="方正仿宋_GBK" w:eastAsia="方正仿宋_GBK" w:cs="方正仿宋_GBK"/>
          <w:lang w:eastAsia="zh-CN"/>
        </w:rPr>
        <w:t>加强政府信息公开保障工作，常态化开展对门户网站“政府信息公开栏目”发布内容的监督检查，对发现的问题督促</w:t>
      </w:r>
      <w:r>
        <w:rPr>
          <w:rFonts w:hint="eastAsia" w:ascii="方正仿宋_GBK" w:cs="方正仿宋_GBK"/>
          <w:lang w:eastAsia="zh-CN"/>
        </w:rPr>
        <w:t>相关</w:t>
      </w:r>
      <w:r>
        <w:rPr>
          <w:rFonts w:hint="eastAsia" w:ascii="方正仿宋_GBK" w:eastAsia="方正仿宋_GBK" w:cs="方正仿宋_GBK"/>
          <w:lang w:eastAsia="zh-CN"/>
        </w:rPr>
        <w:t>单位部门做好整改，</w:t>
      </w:r>
      <w:r>
        <w:rPr>
          <w:rFonts w:hint="eastAsia" w:ascii="方正仿宋_GBK" w:cs="方正仿宋_GBK"/>
          <w:lang w:eastAsia="zh-CN"/>
        </w:rPr>
        <w:t>切实</w:t>
      </w:r>
      <w:r>
        <w:rPr>
          <w:rFonts w:hint="eastAsia" w:ascii="方正仿宋_GBK" w:eastAsia="方正仿宋_GBK" w:cs="方正仿宋_GBK"/>
          <w:lang w:eastAsia="zh-CN"/>
        </w:rPr>
        <w:t>保障</w:t>
      </w:r>
      <w:r>
        <w:rPr>
          <w:rFonts w:hint="eastAsia" w:ascii="方正仿宋_GBK" w:cs="方正仿宋_GBK"/>
          <w:lang w:eastAsia="zh-CN"/>
        </w:rPr>
        <w:t>政府信息公开</w:t>
      </w:r>
      <w:r>
        <w:rPr>
          <w:rFonts w:hint="eastAsia" w:ascii="方正仿宋_GBK" w:eastAsia="方正仿宋_GBK" w:cs="方正仿宋_GBK"/>
          <w:lang w:eastAsia="zh-CN"/>
        </w:rPr>
        <w:t>标准化、规范化水平；</w:t>
      </w:r>
      <w:r>
        <w:rPr>
          <w:rFonts w:hint="eastAsia"/>
          <w:lang w:val="en-US" w:eastAsia="zh-CN"/>
        </w:rPr>
        <w:t>通过汕头海关门户网站“交流互动”栏目发布汕头海关基层政务公开工作情况、信访工作、12360服务热线等调查问卷6期，收集公众意见建议，接受社会监督。</w:t>
      </w:r>
    </w:p>
    <w:p>
      <w:pPr>
        <w:pStyle w:val="14"/>
        <w:adjustRightInd w:val="0"/>
        <w:snapToGrid w:val="0"/>
        <w:spacing w:before="218" w:beforeLines="50" w:after="218" w:afterLines="50"/>
        <w:ind w:firstLine="624" w:firstLineChars="200"/>
        <w:rPr>
          <w:rFonts w:hint="eastAsia" w:ascii="方正黑体_GBK" w:eastAsia="方正黑体_GBK" w:cs="楷体_GB2312"/>
          <w:bCs/>
          <w:szCs w:val="32"/>
          <w:shd w:val="clear" w:color="auto" w:fill="FFFFFF"/>
        </w:rPr>
      </w:pPr>
      <w:r>
        <w:rPr>
          <w:rFonts w:hint="eastAsia" w:ascii="方正黑体_GBK" w:eastAsia="方正黑体_GBK" w:cs="楷体_GB2312"/>
          <w:bCs/>
          <w:szCs w:val="32"/>
          <w:shd w:val="clear" w:color="auto" w:fill="FFFFFF"/>
        </w:rPr>
        <w:t>二、主动公开政府信息情况</w:t>
      </w:r>
    </w:p>
    <w:tbl>
      <w:tblPr>
        <w:tblStyle w:val="11"/>
        <w:tblW w:w="8994"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719"/>
        <w:gridCol w:w="2183"/>
        <w:gridCol w:w="1936"/>
        <w:gridCol w:w="21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5" w:hRule="atLeast"/>
          <w:jc w:val="center"/>
        </w:trPr>
        <w:tc>
          <w:tcPr>
            <w:tcW w:w="8994" w:type="dxa"/>
            <w:gridSpan w:val="4"/>
            <w:tcBorders>
              <w:top w:val="single" w:color="auto" w:sz="8" w:space="0"/>
              <w:left w:val="single" w:color="auto" w:sz="8" w:space="0"/>
              <w:bottom w:val="single" w:color="auto" w:sz="8" w:space="0"/>
              <w:right w:val="single" w:color="auto" w:sz="8" w:space="0"/>
            </w:tcBorders>
            <w:shd w:val="clear" w:color="auto" w:fill="C6D9F1"/>
            <w:noWrap/>
            <w:tcMar>
              <w:left w:w="108" w:type="dxa"/>
              <w:right w:w="108" w:type="dxa"/>
            </w:tcMar>
            <w:vAlign w:val="center"/>
          </w:tcPr>
          <w:p>
            <w:pPr>
              <w:pStyle w:val="19"/>
              <w:widowControl/>
              <w:jc w:val="center"/>
              <w:rPr>
                <w:sz w:val="24"/>
                <w:szCs w:val="24"/>
              </w:rPr>
            </w:pPr>
            <w:r>
              <w:rPr>
                <w:rFonts w:hint="eastAsia" w:ascii="宋体" w:cs="宋体"/>
                <w:kern w:val="0"/>
                <w:sz w:val="24"/>
                <w:szCs w:val="24"/>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719"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信息内容</w:t>
            </w:r>
          </w:p>
        </w:tc>
        <w:tc>
          <w:tcPr>
            <w:tcW w:w="2183"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本年</w:t>
            </w:r>
            <w:r>
              <w:rPr>
                <w:kern w:val="0"/>
                <w:sz w:val="24"/>
                <w:szCs w:val="24"/>
              </w:rPr>
              <w:t>制发件数</w:t>
            </w:r>
          </w:p>
        </w:tc>
        <w:tc>
          <w:tcPr>
            <w:tcW w:w="1936"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本年废止件</w:t>
            </w:r>
            <w:r>
              <w:rPr>
                <w:kern w:val="0"/>
                <w:sz w:val="24"/>
                <w:szCs w:val="24"/>
              </w:rPr>
              <w:t>数</w:t>
            </w:r>
          </w:p>
        </w:tc>
        <w:tc>
          <w:tcPr>
            <w:tcW w:w="2156" w:type="dxa"/>
            <w:tcBorders>
              <w:top w:val="nil"/>
              <w:left w:val="nil"/>
              <w:bottom w:val="single" w:color="auto" w:sz="8" w:space="0"/>
              <w:right w:val="single" w:color="auto" w:sz="8" w:space="0"/>
            </w:tcBorders>
            <w:shd w:val="clear" w:color="auto" w:fill="auto"/>
            <w:noWrap/>
            <w:vAlign w:val="center"/>
          </w:tcPr>
          <w:p>
            <w:pPr>
              <w:pStyle w:val="19"/>
              <w:widowControl/>
              <w:jc w:val="center"/>
              <w:rPr>
                <w:sz w:val="24"/>
                <w:szCs w:val="24"/>
              </w:rPr>
            </w:pPr>
            <w:r>
              <w:rPr>
                <w:rFonts w:hint="eastAsia" w:ascii="宋体" w:cs="宋体"/>
                <w:kern w:val="0"/>
                <w:sz w:val="24"/>
                <w:szCs w:val="24"/>
              </w:rPr>
              <w:t>现行有效件数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atLeast"/>
          <w:jc w:val="center"/>
        </w:trPr>
        <w:tc>
          <w:tcPr>
            <w:tcW w:w="2719"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adjustRightInd w:val="0"/>
              <w:snapToGrid w:val="0"/>
              <w:spacing w:line="260" w:lineRule="exact"/>
              <w:jc w:val="center"/>
              <w:rPr>
                <w:sz w:val="24"/>
                <w:szCs w:val="24"/>
              </w:rPr>
            </w:pPr>
            <w:r>
              <w:rPr>
                <w:rFonts w:hint="eastAsia" w:ascii="宋体" w:cs="宋体"/>
                <w:kern w:val="0"/>
                <w:sz w:val="24"/>
                <w:szCs w:val="24"/>
              </w:rPr>
              <w:t>规章</w:t>
            </w:r>
          </w:p>
        </w:tc>
        <w:tc>
          <w:tcPr>
            <w:tcW w:w="2183"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1936"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2156"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atLeast"/>
          <w:jc w:val="center"/>
        </w:trPr>
        <w:tc>
          <w:tcPr>
            <w:tcW w:w="2719"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adjustRightInd w:val="0"/>
              <w:snapToGrid w:val="0"/>
              <w:spacing w:line="260" w:lineRule="exact"/>
              <w:jc w:val="center"/>
              <w:rPr>
                <w:sz w:val="24"/>
                <w:szCs w:val="24"/>
              </w:rPr>
            </w:pPr>
            <w:r>
              <w:rPr>
                <w:rFonts w:hint="eastAsia" w:ascii="宋体" w:cs="宋体"/>
                <w:kern w:val="0"/>
                <w:sz w:val="24"/>
                <w:szCs w:val="24"/>
              </w:rPr>
              <w:t>行政规范性文件</w:t>
            </w:r>
          </w:p>
        </w:tc>
        <w:tc>
          <w:tcPr>
            <w:tcW w:w="2183"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lang w:val="en-US" w:eastAsia="zh-CN"/>
              </w:rPr>
            </w:pPr>
            <w:r>
              <w:rPr>
                <w:rFonts w:hint="eastAsia" w:eastAsia="方正仿宋_GBK"/>
                <w:sz w:val="24"/>
                <w:szCs w:val="24"/>
                <w:lang w:val="en-US" w:eastAsia="zh-CN"/>
              </w:rPr>
              <w:t>0</w:t>
            </w:r>
          </w:p>
        </w:tc>
        <w:tc>
          <w:tcPr>
            <w:tcW w:w="1936"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lang w:val="en-US" w:eastAsia="zh-CN"/>
              </w:rPr>
            </w:pPr>
            <w:r>
              <w:rPr>
                <w:rFonts w:hint="eastAsia" w:eastAsia="方正仿宋_GBK"/>
                <w:sz w:val="24"/>
                <w:szCs w:val="24"/>
                <w:lang w:val="en-US" w:eastAsia="zh-CN"/>
              </w:rPr>
              <w:t>0</w:t>
            </w:r>
          </w:p>
        </w:tc>
        <w:tc>
          <w:tcPr>
            <w:tcW w:w="2156" w:type="dxa"/>
            <w:tcBorders>
              <w:top w:val="nil"/>
              <w:left w:val="nil"/>
              <w:bottom w:val="single" w:color="auto" w:sz="8" w:space="0"/>
              <w:right w:val="single" w:color="auto" w:sz="8" w:space="0"/>
            </w:tcBorders>
            <w:shd w:val="clear" w:color="auto" w:fill="auto"/>
            <w:noWrap/>
            <w:vAlign w:val="center"/>
          </w:tcPr>
          <w:p>
            <w:pPr>
              <w:pStyle w:val="19"/>
              <w:jc w:val="center"/>
              <w:rPr>
                <w:rFonts w:eastAsia="方正仿宋_GBK"/>
                <w:sz w:val="24"/>
                <w:szCs w:val="24"/>
                <w:lang w:val="en-US" w:eastAsia="zh-CN"/>
              </w:rPr>
            </w:pPr>
            <w:r>
              <w:rPr>
                <w:rFonts w:hint="eastAsia" w:eastAsia="方正仿宋_GBK"/>
                <w:sz w:val="24"/>
                <w:szCs w:val="24"/>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35" w:hRule="atLeast"/>
          <w:jc w:val="center"/>
        </w:trPr>
        <w:tc>
          <w:tcPr>
            <w:tcW w:w="8994" w:type="dxa"/>
            <w:gridSpan w:val="4"/>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pStyle w:val="19"/>
              <w:widowControl/>
              <w:jc w:val="center"/>
              <w:rPr>
                <w:sz w:val="24"/>
                <w:szCs w:val="24"/>
              </w:rPr>
            </w:pPr>
            <w:r>
              <w:rPr>
                <w:rFonts w:hint="eastAsia" w:ascii="宋体" w:cs="宋体"/>
                <w:kern w:val="0"/>
                <w:sz w:val="24"/>
                <w:szCs w:val="24"/>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719"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adjustRightInd w:val="0"/>
              <w:snapToGrid w:val="0"/>
              <w:spacing w:line="260" w:lineRule="exact"/>
              <w:jc w:val="center"/>
              <w:rPr>
                <w:sz w:val="24"/>
                <w:szCs w:val="24"/>
              </w:rPr>
            </w:pPr>
            <w:r>
              <w:rPr>
                <w:rFonts w:hint="eastAsia" w:ascii="宋体" w:cs="宋体"/>
                <w:kern w:val="0"/>
                <w:sz w:val="24"/>
                <w:szCs w:val="24"/>
              </w:rPr>
              <w:t>信息内容</w:t>
            </w:r>
          </w:p>
        </w:tc>
        <w:tc>
          <w:tcPr>
            <w:tcW w:w="6275" w:type="dxa"/>
            <w:gridSpan w:val="3"/>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20"/>
              <w:widowControl/>
              <w:adjustRightInd w:val="0"/>
              <w:snapToGrid w:val="0"/>
              <w:spacing w:line="260" w:lineRule="exact"/>
              <w:jc w:val="center"/>
              <w:rPr>
                <w:sz w:val="24"/>
                <w:szCs w:val="24"/>
              </w:rPr>
            </w:pPr>
            <w:r>
              <w:rPr>
                <w:rFonts w:hint="eastAsia" w:ascii="宋体" w:cs="宋体"/>
                <w:kern w:val="0"/>
                <w:sz w:val="24"/>
                <w:szCs w:val="24"/>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atLeast"/>
          <w:jc w:val="center"/>
        </w:trPr>
        <w:tc>
          <w:tcPr>
            <w:tcW w:w="2719"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adjustRightInd w:val="0"/>
              <w:snapToGrid w:val="0"/>
              <w:spacing w:line="260" w:lineRule="exact"/>
              <w:jc w:val="center"/>
              <w:rPr>
                <w:sz w:val="24"/>
                <w:szCs w:val="24"/>
              </w:rPr>
            </w:pPr>
            <w:r>
              <w:rPr>
                <w:rFonts w:hint="eastAsia" w:ascii="宋体" w:cs="宋体"/>
                <w:kern w:val="0"/>
                <w:sz w:val="24"/>
                <w:szCs w:val="24"/>
              </w:rPr>
              <w:t>行政许可</w:t>
            </w:r>
          </w:p>
        </w:tc>
        <w:tc>
          <w:tcPr>
            <w:tcW w:w="6275" w:type="dxa"/>
            <w:gridSpan w:val="3"/>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21"/>
              <w:jc w:val="center"/>
              <w:rPr>
                <w:rFonts w:eastAsia="方正仿宋_GBK" w:cs="宋体"/>
                <w:sz w:val="24"/>
                <w:szCs w:val="24"/>
                <w:lang w:val="en-US" w:eastAsia="zh-CN"/>
              </w:rPr>
            </w:pPr>
            <w:r>
              <w:rPr>
                <w:rFonts w:hint="eastAsia" w:eastAsia="方正仿宋_GBK" w:cs="宋体"/>
                <w:sz w:val="24"/>
                <w:szCs w:val="24"/>
                <w:lang w:val="en-US" w:eastAsia="zh-CN"/>
              </w:rPr>
              <w:t>356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06" w:hRule="atLeast"/>
          <w:jc w:val="center"/>
        </w:trPr>
        <w:tc>
          <w:tcPr>
            <w:tcW w:w="8994" w:type="dxa"/>
            <w:gridSpan w:val="4"/>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pStyle w:val="19"/>
              <w:widowControl/>
              <w:jc w:val="center"/>
              <w:rPr>
                <w:sz w:val="24"/>
                <w:szCs w:val="24"/>
              </w:rPr>
            </w:pPr>
            <w:r>
              <w:rPr>
                <w:rFonts w:hint="eastAsia" w:ascii="宋体" w:cs="宋体"/>
                <w:kern w:val="0"/>
                <w:sz w:val="24"/>
                <w:szCs w:val="24"/>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719"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adjustRightInd w:val="0"/>
              <w:snapToGrid w:val="0"/>
              <w:spacing w:line="260" w:lineRule="exact"/>
              <w:jc w:val="center"/>
              <w:rPr>
                <w:sz w:val="24"/>
                <w:szCs w:val="24"/>
              </w:rPr>
            </w:pPr>
            <w:r>
              <w:rPr>
                <w:rFonts w:hint="eastAsia" w:ascii="宋体" w:cs="宋体"/>
                <w:kern w:val="0"/>
                <w:sz w:val="24"/>
                <w:szCs w:val="24"/>
              </w:rPr>
              <w:t>信息内容</w:t>
            </w:r>
          </w:p>
        </w:tc>
        <w:tc>
          <w:tcPr>
            <w:tcW w:w="6275" w:type="dxa"/>
            <w:gridSpan w:val="3"/>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22"/>
              <w:widowControl/>
              <w:adjustRightInd w:val="0"/>
              <w:snapToGrid w:val="0"/>
              <w:spacing w:line="260" w:lineRule="exact"/>
              <w:jc w:val="center"/>
              <w:rPr>
                <w:sz w:val="24"/>
                <w:szCs w:val="24"/>
              </w:rPr>
            </w:pPr>
            <w:r>
              <w:rPr>
                <w:rFonts w:hint="eastAsia" w:ascii="宋体" w:cs="宋体"/>
                <w:kern w:val="0"/>
                <w:sz w:val="24"/>
                <w:szCs w:val="24"/>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atLeast"/>
          <w:jc w:val="center"/>
        </w:trPr>
        <w:tc>
          <w:tcPr>
            <w:tcW w:w="2719"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adjustRightInd w:val="0"/>
              <w:snapToGrid w:val="0"/>
              <w:spacing w:line="260" w:lineRule="exact"/>
              <w:jc w:val="center"/>
              <w:rPr>
                <w:sz w:val="24"/>
                <w:szCs w:val="24"/>
              </w:rPr>
            </w:pPr>
            <w:r>
              <w:rPr>
                <w:rFonts w:hint="eastAsia" w:ascii="宋体" w:cs="宋体"/>
                <w:kern w:val="0"/>
                <w:sz w:val="24"/>
                <w:szCs w:val="24"/>
              </w:rPr>
              <w:t>行政处罚</w:t>
            </w:r>
          </w:p>
        </w:tc>
        <w:tc>
          <w:tcPr>
            <w:tcW w:w="6275" w:type="dxa"/>
            <w:gridSpan w:val="3"/>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eastAsia="方正仿宋_GBK" w:cs="宋体"/>
                <w:sz w:val="24"/>
                <w:szCs w:val="24"/>
                <w:lang w:val="en-US" w:eastAsia="zh-CN"/>
              </w:rPr>
            </w:pPr>
            <w:r>
              <w:rPr>
                <w:rFonts w:hint="eastAsia" w:eastAsia="方正仿宋_GBK" w:cs="宋体"/>
                <w:sz w:val="24"/>
                <w:szCs w:val="24"/>
                <w:lang w:val="en-US" w:eastAsia="zh-CN"/>
              </w:rPr>
              <w:t>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atLeast"/>
          <w:jc w:val="center"/>
        </w:trPr>
        <w:tc>
          <w:tcPr>
            <w:tcW w:w="2719"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adjustRightInd w:val="0"/>
              <w:snapToGrid w:val="0"/>
              <w:spacing w:line="260" w:lineRule="exact"/>
              <w:jc w:val="center"/>
              <w:rPr>
                <w:sz w:val="24"/>
                <w:szCs w:val="24"/>
              </w:rPr>
            </w:pPr>
            <w:r>
              <w:rPr>
                <w:rFonts w:hint="eastAsia" w:ascii="宋体" w:cs="宋体"/>
                <w:kern w:val="0"/>
                <w:sz w:val="24"/>
                <w:szCs w:val="24"/>
              </w:rPr>
              <w:t>行政强制</w:t>
            </w:r>
          </w:p>
        </w:tc>
        <w:tc>
          <w:tcPr>
            <w:tcW w:w="6275" w:type="dxa"/>
            <w:gridSpan w:val="3"/>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23"/>
              <w:jc w:val="center"/>
              <w:rPr>
                <w:rFonts w:eastAsia="方正仿宋_GBK" w:cs="宋体"/>
                <w:sz w:val="24"/>
                <w:szCs w:val="24"/>
                <w:lang w:val="en-US" w:eastAsia="zh-CN"/>
              </w:rPr>
            </w:pPr>
            <w:r>
              <w:rPr>
                <w:rFonts w:hint="eastAsia" w:eastAsia="方正仿宋_GBK" w:cs="宋体"/>
                <w:sz w:val="24"/>
                <w:szCs w:val="24"/>
                <w:lang w:val="en-US" w:eastAsia="zh-CN"/>
              </w:rPr>
              <w:t>29</w:t>
            </w:r>
            <w:bookmarkStart w:id="2" w:name="_GoBack"/>
            <w:bookmarkEnd w:id="2"/>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74" w:hRule="atLeast"/>
          <w:jc w:val="center"/>
        </w:trPr>
        <w:tc>
          <w:tcPr>
            <w:tcW w:w="8994" w:type="dxa"/>
            <w:gridSpan w:val="4"/>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pStyle w:val="19"/>
              <w:widowControl/>
              <w:jc w:val="center"/>
              <w:rPr>
                <w:sz w:val="24"/>
                <w:szCs w:val="24"/>
              </w:rPr>
            </w:pPr>
            <w:r>
              <w:rPr>
                <w:rFonts w:hint="eastAsia" w:ascii="宋体" w:cs="宋体"/>
                <w:kern w:val="0"/>
                <w:sz w:val="24"/>
                <w:szCs w:val="24"/>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719"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adjustRightInd w:val="0"/>
              <w:snapToGrid w:val="0"/>
              <w:spacing w:line="260" w:lineRule="exact"/>
              <w:jc w:val="center"/>
              <w:rPr>
                <w:sz w:val="24"/>
                <w:szCs w:val="24"/>
              </w:rPr>
            </w:pPr>
            <w:r>
              <w:rPr>
                <w:rFonts w:hint="eastAsia" w:ascii="宋体" w:cs="宋体"/>
                <w:kern w:val="0"/>
                <w:sz w:val="24"/>
                <w:szCs w:val="24"/>
              </w:rPr>
              <w:t>信息内容</w:t>
            </w:r>
          </w:p>
        </w:tc>
        <w:tc>
          <w:tcPr>
            <w:tcW w:w="6275" w:type="dxa"/>
            <w:gridSpan w:val="3"/>
            <w:tcBorders>
              <w:top w:val="nil"/>
              <w:left w:val="nil"/>
              <w:bottom w:val="single" w:color="auto" w:sz="8" w:space="0"/>
              <w:right w:val="single" w:color="000000" w:sz="8" w:space="0"/>
            </w:tcBorders>
            <w:shd w:val="clear" w:color="auto" w:fill="auto"/>
            <w:noWrap/>
            <w:tcMar>
              <w:left w:w="108" w:type="dxa"/>
              <w:right w:w="108" w:type="dxa"/>
            </w:tcMar>
            <w:vAlign w:val="center"/>
          </w:tcPr>
          <w:p>
            <w:pPr>
              <w:pStyle w:val="24"/>
              <w:widowControl/>
              <w:adjustRightInd w:val="0"/>
              <w:snapToGrid w:val="0"/>
              <w:spacing w:line="260" w:lineRule="exact"/>
              <w:jc w:val="center"/>
              <w:rPr>
                <w:sz w:val="24"/>
                <w:szCs w:val="24"/>
              </w:rPr>
            </w:pPr>
            <w:r>
              <w:rPr>
                <w:rFonts w:hint="eastAsia" w:ascii="宋体" w:cs="宋体"/>
                <w:kern w:val="0"/>
                <w:sz w:val="24"/>
                <w:szCs w:val="24"/>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atLeast"/>
          <w:jc w:val="center"/>
        </w:trPr>
        <w:tc>
          <w:tcPr>
            <w:tcW w:w="2719"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adjustRightInd w:val="0"/>
              <w:snapToGrid w:val="0"/>
              <w:spacing w:line="260" w:lineRule="exact"/>
              <w:jc w:val="center"/>
            </w:pPr>
            <w:r>
              <w:rPr>
                <w:rFonts w:hint="eastAsia" w:ascii="宋体" w:cs="宋体"/>
                <w:kern w:val="0"/>
                <w:sz w:val="24"/>
                <w:szCs w:val="24"/>
              </w:rPr>
              <w:t>行政事业性收费</w:t>
            </w:r>
          </w:p>
        </w:tc>
        <w:tc>
          <w:tcPr>
            <w:tcW w:w="6275" w:type="dxa"/>
            <w:gridSpan w:val="3"/>
            <w:tcBorders>
              <w:top w:val="nil"/>
              <w:left w:val="nil"/>
              <w:bottom w:val="single" w:color="auto" w:sz="8" w:space="0"/>
              <w:right w:val="single" w:color="000000" w:sz="8" w:space="0"/>
            </w:tcBorders>
            <w:shd w:val="clear" w:color="auto" w:fill="auto"/>
            <w:noWrap/>
            <w:tcMar>
              <w:left w:w="108" w:type="dxa"/>
              <w:right w:w="108" w:type="dxa"/>
            </w:tcMar>
            <w:vAlign w:val="center"/>
          </w:tcPr>
          <w:p>
            <w:pPr>
              <w:pStyle w:val="19"/>
              <w:jc w:val="center"/>
              <w:rPr>
                <w:rFonts w:hint="eastAsia" w:eastAsia="方正仿宋_GBK" w:cs="宋体"/>
                <w:sz w:val="24"/>
                <w:szCs w:val="24"/>
                <w:lang w:val="en-US" w:eastAsia="zh-CN"/>
              </w:rPr>
            </w:pPr>
            <w:r>
              <w:rPr>
                <w:rFonts w:hint="eastAsia" w:eastAsia="方正仿宋_GBK" w:cs="宋体"/>
                <w:sz w:val="24"/>
                <w:szCs w:val="24"/>
                <w:lang w:val="en-US" w:eastAsia="zh-CN"/>
              </w:rPr>
              <w:t>0</w:t>
            </w:r>
          </w:p>
        </w:tc>
      </w:tr>
    </w:tbl>
    <w:p>
      <w:pPr>
        <w:pStyle w:val="8"/>
        <w:widowControl/>
        <w:shd w:val="clear" w:color="auto" w:fill="FFFFFF"/>
        <w:adjustRightInd w:val="0"/>
        <w:snapToGrid w:val="0"/>
        <w:spacing w:beforeAutospacing="0" w:after="218" w:afterLines="50" w:afterAutospacing="0" w:line="560" w:lineRule="exact"/>
        <w:ind w:firstLine="640" w:firstLineChars="200"/>
        <w:jc w:val="both"/>
        <w:rPr>
          <w:rFonts w:hint="eastAsia" w:ascii="方正黑体_GBK" w:eastAsia="方正黑体_GBK" w:cs="楷体_GB2312"/>
          <w:bCs/>
          <w:sz w:val="32"/>
          <w:szCs w:val="32"/>
          <w:shd w:val="clear" w:color="auto" w:fill="FFFFFF"/>
        </w:rPr>
      </w:pPr>
      <w:r>
        <w:rPr>
          <w:rFonts w:hint="eastAsia" w:ascii="方正黑体_GBK" w:eastAsia="方正黑体_GBK" w:cs="楷体_GB2312"/>
          <w:bCs/>
          <w:sz w:val="32"/>
          <w:szCs w:val="32"/>
          <w:shd w:val="clear" w:color="auto" w:fill="FFFFFF"/>
        </w:rPr>
        <w:t>三、收到和处理政府信息公开申请情况</w:t>
      </w:r>
    </w:p>
    <w:tbl>
      <w:tblPr>
        <w:tblStyle w:val="11"/>
        <w:tblW w:w="9071"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blHeader/>
          <w:jc w:val="center"/>
        </w:trPr>
        <w:tc>
          <w:tcPr>
            <w:tcW w:w="4302" w:type="dxa"/>
            <w:gridSpan w:val="3"/>
            <w:vMerge w:val="restart"/>
            <w:tcBorders>
              <w:top w:val="single" w:color="auto" w:sz="8" w:space="0"/>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jc w:val="center"/>
            </w:pPr>
            <w:r>
              <w:rPr>
                <w:rFonts w:hint="eastAsia" w:ascii="宋体" w:cs="宋体"/>
                <w:kern w:val="0"/>
                <w:sz w:val="20"/>
                <w:szCs w:val="20"/>
              </w:rPr>
              <w:t>（本列数据的勾稽关系为：第一项加第二项之和，等于第三项加第四项之和）</w:t>
            </w:r>
          </w:p>
        </w:tc>
        <w:tc>
          <w:tcPr>
            <w:tcW w:w="4769" w:type="dxa"/>
            <w:gridSpan w:val="7"/>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pPr>
            <w:r>
              <w:rPr>
                <w:rFonts w:hint="eastAsia" w:ascii="宋体" w:cs="宋体"/>
                <w:kern w:val="0"/>
                <w:sz w:val="20"/>
                <w:szCs w:val="20"/>
              </w:rPr>
              <w:t>申请人情况</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blHeader/>
          <w:jc w:val="center"/>
        </w:trPr>
        <w:tc>
          <w:tcPr>
            <w:tcW w:w="4302" w:type="dxa"/>
            <w:gridSpan w:val="3"/>
            <w:vMerge w:val="continue"/>
            <w:tcBorders>
              <w:top w:val="single" w:color="auto" w:sz="8" w:space="0"/>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635" w:type="dxa"/>
            <w:vMerge w:val="restart"/>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pPr>
            <w:r>
              <w:rPr>
                <w:rFonts w:hint="eastAsia" w:ascii="宋体" w:cs="宋体"/>
                <w:kern w:val="0"/>
                <w:sz w:val="20"/>
                <w:szCs w:val="20"/>
              </w:rPr>
              <w:t>自然人</w:t>
            </w:r>
          </w:p>
        </w:tc>
        <w:tc>
          <w:tcPr>
            <w:tcW w:w="3452" w:type="dxa"/>
            <w:gridSpan w:val="5"/>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pPr>
            <w:r>
              <w:rPr>
                <w:rFonts w:hint="eastAsia" w:ascii="宋体" w:cs="宋体"/>
                <w:kern w:val="0"/>
                <w:sz w:val="20"/>
                <w:szCs w:val="20"/>
              </w:rPr>
              <w:t>法人或其他组织</w:t>
            </w:r>
          </w:p>
        </w:tc>
        <w:tc>
          <w:tcPr>
            <w:tcW w:w="682" w:type="dxa"/>
            <w:vMerge w:val="restart"/>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pPr>
            <w:r>
              <w:rPr>
                <w:rFonts w:hint="eastAsia" w:ascii="宋体" w:cs="宋体"/>
                <w:kern w:val="0"/>
                <w:sz w:val="20"/>
                <w:szCs w:val="20"/>
              </w:rPr>
              <w:t>总计</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49" w:hRule="atLeast"/>
          <w:tblHeader/>
          <w:jc w:val="center"/>
        </w:trPr>
        <w:tc>
          <w:tcPr>
            <w:tcW w:w="4302" w:type="dxa"/>
            <w:gridSpan w:val="3"/>
            <w:vMerge w:val="continue"/>
            <w:tcBorders>
              <w:top w:val="single" w:color="auto" w:sz="8" w:space="0"/>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635"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pPr>
            <w:r>
              <w:rPr>
                <w:rFonts w:hint="eastAsia" w:ascii="宋体" w:cs="宋体"/>
                <w:kern w:val="0"/>
                <w:sz w:val="20"/>
                <w:szCs w:val="20"/>
              </w:rPr>
              <w:t>商业企业</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pPr>
            <w:r>
              <w:rPr>
                <w:rFonts w:hint="eastAsia" w:ascii="宋体" w:cs="宋体"/>
                <w:kern w:val="0"/>
                <w:sz w:val="20"/>
                <w:szCs w:val="20"/>
              </w:rPr>
              <w:t>科研机构</w:t>
            </w:r>
          </w:p>
        </w:tc>
        <w:tc>
          <w:tcPr>
            <w:tcW w:w="76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pPr>
            <w:r>
              <w:rPr>
                <w:rFonts w:hint="eastAsia" w:ascii="宋体" w:cs="宋体"/>
                <w:kern w:val="0"/>
                <w:sz w:val="20"/>
                <w:szCs w:val="20"/>
              </w:rPr>
              <w:t>社会公益组织</w:t>
            </w:r>
          </w:p>
        </w:tc>
        <w:tc>
          <w:tcPr>
            <w:tcW w:w="76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pPr>
            <w:r>
              <w:rPr>
                <w:rFonts w:hint="eastAsia" w:ascii="宋体" w:cs="宋体"/>
                <w:kern w:val="0"/>
                <w:sz w:val="20"/>
                <w:szCs w:val="20"/>
              </w:rPr>
              <w:t>法律服务机构</w:t>
            </w:r>
          </w:p>
        </w:tc>
        <w:tc>
          <w:tcPr>
            <w:tcW w:w="497"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pPr>
            <w:r>
              <w:rPr>
                <w:rFonts w:hint="eastAsia" w:ascii="宋体" w:cs="宋体"/>
                <w:kern w:val="0"/>
                <w:sz w:val="20"/>
                <w:szCs w:val="20"/>
              </w:rPr>
              <w:t>其他</w:t>
            </w:r>
          </w:p>
        </w:tc>
        <w:tc>
          <w:tcPr>
            <w:tcW w:w="682" w:type="dxa"/>
            <w:vMerge w:val="continue"/>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4302" w:type="dxa"/>
            <w:gridSpan w:val="3"/>
            <w:tcBorders>
              <w:top w:val="nil"/>
              <w:left w:val="single" w:color="auto" w:sz="8" w:space="0"/>
              <w:bottom w:val="single" w:color="auto" w:sz="8" w:space="0"/>
              <w:right w:val="single" w:color="auto" w:sz="8" w:space="0"/>
            </w:tcBorders>
            <w:shd w:val="clear" w:color="auto" w:fill="auto"/>
            <w:noWrap/>
            <w:tcMar>
              <w:left w:w="108" w:type="dxa"/>
              <w:right w:w="108" w:type="dxa"/>
            </w:tcMar>
          </w:tcPr>
          <w:p>
            <w:pPr>
              <w:pStyle w:val="19"/>
              <w:widowControl/>
              <w:jc w:val="left"/>
              <w:rPr>
                <w:sz w:val="24"/>
                <w:szCs w:val="24"/>
              </w:rPr>
            </w:pPr>
            <w:r>
              <w:rPr>
                <w:rFonts w:hint="eastAsia" w:ascii="宋体" w:cs="宋体"/>
                <w:kern w:val="0"/>
                <w:sz w:val="24"/>
                <w:szCs w:val="24"/>
              </w:rPr>
              <w:t>一、本年新收政府信息公开申请数量</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lang w:eastAsia="zh-CN"/>
              </w:rPr>
            </w:pPr>
            <w:r>
              <w:rPr>
                <w:rFonts w:hint="eastAsia" w:eastAsia="方正仿宋_GBK"/>
                <w:sz w:val="24"/>
                <w:szCs w:val="24"/>
                <w:lang w:val="en-US" w:eastAsia="zh-CN"/>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lang w:eastAsia="zh-CN"/>
              </w:rPr>
            </w:pPr>
            <w:r>
              <w:rPr>
                <w:rFonts w:hint="eastAsia" w:eastAsia="方正仿宋_GBK"/>
                <w:sz w:val="24"/>
                <w:szCs w:val="24"/>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4302" w:type="dxa"/>
            <w:gridSpan w:val="3"/>
            <w:tcBorders>
              <w:top w:val="nil"/>
              <w:left w:val="single" w:color="auto" w:sz="8" w:space="0"/>
              <w:bottom w:val="single" w:color="auto" w:sz="8" w:space="0"/>
              <w:right w:val="single" w:color="auto" w:sz="8" w:space="0"/>
            </w:tcBorders>
            <w:shd w:val="clear" w:color="auto" w:fill="auto"/>
            <w:noWrap/>
            <w:tcMar>
              <w:left w:w="108" w:type="dxa"/>
              <w:right w:w="108" w:type="dxa"/>
            </w:tcMar>
          </w:tcPr>
          <w:p>
            <w:pPr>
              <w:pStyle w:val="19"/>
              <w:widowControl/>
              <w:jc w:val="left"/>
              <w:rPr>
                <w:sz w:val="24"/>
                <w:szCs w:val="24"/>
              </w:rPr>
            </w:pPr>
            <w:r>
              <w:rPr>
                <w:rFonts w:hint="eastAsia" w:ascii="宋体" w:cs="宋体"/>
                <w:kern w:val="0"/>
                <w:sz w:val="24"/>
                <w:szCs w:val="24"/>
              </w:rPr>
              <w:t>二、上年结转政府信息公开申请数量</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restart"/>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三、本年度办理结果</w:t>
            </w:r>
          </w:p>
        </w:tc>
        <w:tc>
          <w:tcPr>
            <w:tcW w:w="3606"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left"/>
              <w:rPr>
                <w:sz w:val="24"/>
                <w:szCs w:val="24"/>
              </w:rPr>
            </w:pPr>
            <w:r>
              <w:rPr>
                <w:rFonts w:hint="eastAsia" w:ascii="楷体" w:eastAsia="楷体" w:cs="楷体"/>
                <w:kern w:val="0"/>
                <w:sz w:val="24"/>
                <w:szCs w:val="24"/>
              </w:rPr>
              <w:t>（一）予以公开</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3606"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left"/>
              <w:rPr>
                <w:sz w:val="24"/>
                <w:szCs w:val="24"/>
              </w:rPr>
            </w:pPr>
            <w:r>
              <w:rPr>
                <w:rFonts w:hint="eastAsia" w:ascii="楷体" w:eastAsia="楷体" w:cs="楷体"/>
                <w:kern w:val="0"/>
                <w:sz w:val="24"/>
                <w:szCs w:val="24"/>
              </w:rPr>
              <w:t>（二）部分公开（区分处理的，只计这一情形，不计其他情形）</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restart"/>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（三）不予公开</w:t>
            </w: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1.属于国家秘密</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2.其他法律行政法规禁止公开</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3.危及“三安全一稳定”</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4.保护第三方合法权益</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5.属于三类内部事务信息</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6.属于四类过程性信息</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7.属于行政执法案卷</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8.属于行政查询事项</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restart"/>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（四）无法提供</w:t>
            </w: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1.本机关不掌握相关政府信息</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2.没有现成信息需要另行制作</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lang w:eastAsia="zh-CN"/>
              </w:rPr>
            </w:pPr>
            <w:r>
              <w:rPr>
                <w:rFonts w:hint="eastAsia" w:eastAsia="方正仿宋_GBK"/>
                <w:sz w:val="24"/>
                <w:szCs w:val="24"/>
                <w:lang w:val="en-US" w:eastAsia="zh-CN"/>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lang w:eastAsia="zh-CN"/>
              </w:rPr>
            </w:pPr>
            <w:r>
              <w:rPr>
                <w:rFonts w:hint="eastAsia" w:eastAsia="方正仿宋_GBK"/>
                <w:sz w:val="24"/>
                <w:szCs w:val="24"/>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3.补正后申请内容仍不明确</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restart"/>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（五）不予处理</w:t>
            </w: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1.信访举报投诉类申请</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2.重复申请</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3.要求提供公开出版物</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810" w:hRule="atLeast"/>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4.无正当理由大量反复申请</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267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5.要求行政机关确认或重新出具已获取信息</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67" w:hRule="atLeast"/>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936" w:type="dxa"/>
            <w:vMerge w:val="restart"/>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（六）其他处理</w:t>
            </w:r>
          </w:p>
        </w:tc>
        <w:tc>
          <w:tcPr>
            <w:tcW w:w="2670" w:type="dxa"/>
            <w:tcBorders>
              <w:top w:val="nil"/>
              <w:left w:val="single" w:color="auto" w:sz="8" w:space="0"/>
              <w:bottom w:val="single" w:color="auto" w:sz="8" w:space="0"/>
              <w:right w:val="single" w:color="auto" w:sz="8" w:space="0"/>
            </w:tcBorders>
            <w:shd w:val="clear" w:color="auto" w:fill="auto"/>
            <w:noWrap/>
            <w:tcMar>
              <w:left w:w="108" w:type="dxa"/>
              <w:right w:w="108" w:type="dxa"/>
            </w:tcMar>
          </w:tcPr>
          <w:p>
            <w:pPr>
              <w:pStyle w:val="19"/>
              <w:widowControl/>
              <w:rPr>
                <w:rFonts w:hint="eastAsia" w:ascii="楷体" w:eastAsia="楷体" w:cs="楷体"/>
                <w:kern w:val="0"/>
                <w:sz w:val="24"/>
                <w:szCs w:val="24"/>
              </w:rPr>
            </w:pPr>
            <w:r>
              <w:rPr>
                <w:rFonts w:hint="eastAsia" w:ascii="楷体" w:eastAsia="楷体" w:cs="楷体"/>
                <w:kern w:val="0"/>
                <w:sz w:val="24"/>
                <w:szCs w:val="24"/>
              </w:rPr>
              <w:t>1.申请人无正当理由逾期不补正、行政机关不再处理其政府信息公开申请</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67" w:hRule="atLeast"/>
          <w:jc w:val="center"/>
        </w:trPr>
        <w:tc>
          <w:tcPr>
            <w:tcW w:w="696" w:type="dxa"/>
            <w:vMerge w:val="continue"/>
            <w:tcBorders>
              <w:top w:val="nil"/>
              <w:left w:val="single" w:color="auto" w:sz="8" w:space="0"/>
              <w:bottom w:val="single" w:color="auto" w:sz="8" w:space="0"/>
              <w:right w:val="single" w:color="auto" w:sz="8" w:space="0"/>
            </w:tcBorders>
            <w:shd w:val="clear" w:color="auto" w:fill="auto"/>
            <w:noWrap/>
            <w:vAlign w:val="center"/>
          </w:tcPr>
          <w:p/>
        </w:tc>
        <w:tc>
          <w:tcPr>
            <w:tcW w:w="936" w:type="dxa"/>
            <w:vMerge w:val="continue"/>
            <w:tcBorders>
              <w:top w:val="nil"/>
              <w:left w:val="nil"/>
              <w:bottom w:val="single" w:color="auto" w:sz="8" w:space="0"/>
              <w:right w:val="single" w:color="auto" w:sz="8" w:space="0"/>
            </w:tcBorders>
            <w:shd w:val="clear" w:color="auto" w:fill="auto"/>
            <w:noWrap/>
            <w:vAlign w:val="center"/>
          </w:tcPr>
          <w:p/>
        </w:tc>
        <w:tc>
          <w:tcPr>
            <w:tcW w:w="2670" w:type="dxa"/>
            <w:tcBorders>
              <w:top w:val="nil"/>
              <w:left w:val="single" w:color="auto" w:sz="8" w:space="0"/>
              <w:bottom w:val="single" w:color="auto" w:sz="8" w:space="0"/>
              <w:right w:val="single" w:color="auto" w:sz="8" w:space="0"/>
            </w:tcBorders>
            <w:shd w:val="clear" w:color="auto" w:fill="auto"/>
            <w:noWrap/>
          </w:tcPr>
          <w:p>
            <w:pPr>
              <w:pStyle w:val="19"/>
              <w:widowControl/>
              <w:rPr>
                <w:rFonts w:hint="eastAsia" w:ascii="楷体" w:eastAsia="楷体" w:cs="楷体"/>
                <w:kern w:val="0"/>
                <w:sz w:val="24"/>
                <w:szCs w:val="24"/>
              </w:rPr>
            </w:pPr>
            <w:r>
              <w:rPr>
                <w:rFonts w:hint="eastAsia" w:ascii="楷体" w:eastAsia="楷体" w:cs="楷体"/>
                <w:kern w:val="0"/>
                <w:sz w:val="24"/>
                <w:szCs w:val="24"/>
              </w:rPr>
              <w:t>2.申请人逾期未按收费通知要求缴纳费用、行政机关不再处理其政府信息公开申请</w:t>
            </w:r>
          </w:p>
        </w:tc>
        <w:tc>
          <w:tcPr>
            <w:tcW w:w="635"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67" w:hRule="atLeast"/>
          <w:jc w:val="center"/>
        </w:trPr>
        <w:tc>
          <w:tcPr>
            <w:tcW w:w="696" w:type="dxa"/>
            <w:vMerge w:val="continue"/>
            <w:tcBorders>
              <w:top w:val="nil"/>
              <w:left w:val="single" w:color="auto" w:sz="8" w:space="0"/>
              <w:bottom w:val="single" w:color="auto" w:sz="8" w:space="0"/>
              <w:right w:val="single" w:color="auto" w:sz="8" w:space="0"/>
            </w:tcBorders>
            <w:shd w:val="clear" w:color="auto" w:fill="auto"/>
            <w:noWrap/>
            <w:vAlign w:val="center"/>
          </w:tcPr>
          <w:p/>
        </w:tc>
        <w:tc>
          <w:tcPr>
            <w:tcW w:w="936" w:type="dxa"/>
            <w:vMerge w:val="continue"/>
            <w:tcBorders>
              <w:top w:val="nil"/>
              <w:left w:val="nil"/>
              <w:bottom w:val="single" w:color="auto" w:sz="8" w:space="0"/>
              <w:right w:val="single" w:color="auto" w:sz="8" w:space="0"/>
            </w:tcBorders>
            <w:shd w:val="clear" w:color="auto" w:fill="auto"/>
            <w:noWrap/>
            <w:vAlign w:val="center"/>
          </w:tcPr>
          <w:p/>
        </w:tc>
        <w:tc>
          <w:tcPr>
            <w:tcW w:w="2670" w:type="dxa"/>
            <w:tcBorders>
              <w:top w:val="nil"/>
              <w:left w:val="single" w:color="auto" w:sz="8" w:space="0"/>
              <w:bottom w:val="single" w:color="auto" w:sz="8" w:space="0"/>
              <w:right w:val="single" w:color="auto" w:sz="8" w:space="0"/>
            </w:tcBorders>
            <w:shd w:val="clear" w:color="auto" w:fill="auto"/>
            <w:noWrap/>
          </w:tcPr>
          <w:p>
            <w:pPr>
              <w:pStyle w:val="19"/>
              <w:widowControl/>
              <w:rPr>
                <w:rFonts w:hint="eastAsia" w:ascii="楷体" w:eastAsia="楷体" w:cs="楷体"/>
                <w:kern w:val="0"/>
                <w:sz w:val="24"/>
                <w:szCs w:val="24"/>
              </w:rPr>
            </w:pPr>
            <w:r>
              <w:rPr>
                <w:rFonts w:hint="eastAsia" w:ascii="楷体" w:eastAsia="楷体" w:cs="楷体"/>
                <w:kern w:val="0"/>
                <w:sz w:val="24"/>
                <w:szCs w:val="24"/>
              </w:rPr>
              <w:t>3.咨询事项，指引咨询渠道</w:t>
            </w:r>
          </w:p>
        </w:tc>
        <w:tc>
          <w:tcPr>
            <w:tcW w:w="635"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lang w:eastAsia="zh-CN"/>
              </w:rPr>
            </w:pPr>
            <w:r>
              <w:rPr>
                <w:rFonts w:hint="eastAsia" w:eastAsia="方正仿宋_GBK"/>
                <w:sz w:val="24"/>
                <w:szCs w:val="24"/>
                <w:lang w:val="en-US" w:eastAsia="zh-CN"/>
              </w:rPr>
              <w:t>0</w:t>
            </w:r>
          </w:p>
        </w:tc>
        <w:tc>
          <w:tcPr>
            <w:tcW w:w="675"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lang w:eastAsia="zh-CN"/>
              </w:rPr>
            </w:pPr>
            <w:r>
              <w:rPr>
                <w:rFonts w:hint="eastAsia" w:eastAsia="方正仿宋_GBK"/>
                <w:sz w:val="24"/>
                <w:szCs w:val="24"/>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67" w:hRule="atLeast"/>
          <w:jc w:val="center"/>
        </w:trPr>
        <w:tc>
          <w:tcPr>
            <w:tcW w:w="696" w:type="dxa"/>
            <w:vMerge w:val="continue"/>
            <w:tcBorders>
              <w:top w:val="nil"/>
              <w:left w:val="single" w:color="auto" w:sz="8" w:space="0"/>
              <w:bottom w:val="single" w:color="auto" w:sz="8" w:space="0"/>
              <w:right w:val="single" w:color="auto" w:sz="8" w:space="0"/>
            </w:tcBorders>
            <w:shd w:val="clear" w:color="auto" w:fill="auto"/>
            <w:noWrap/>
            <w:vAlign w:val="center"/>
          </w:tcPr>
          <w:p/>
        </w:tc>
        <w:tc>
          <w:tcPr>
            <w:tcW w:w="936" w:type="dxa"/>
            <w:vMerge w:val="continue"/>
            <w:tcBorders>
              <w:top w:val="nil"/>
              <w:left w:val="nil"/>
              <w:bottom w:val="single" w:color="auto" w:sz="8" w:space="0"/>
              <w:right w:val="single" w:color="auto" w:sz="8" w:space="0"/>
            </w:tcBorders>
            <w:shd w:val="clear" w:color="auto" w:fill="auto"/>
            <w:noWrap/>
            <w:vAlign w:val="center"/>
          </w:tcPr>
          <w:p/>
        </w:tc>
        <w:tc>
          <w:tcPr>
            <w:tcW w:w="2670" w:type="dxa"/>
            <w:tcBorders>
              <w:top w:val="nil"/>
              <w:left w:val="single" w:color="auto" w:sz="8" w:space="0"/>
              <w:bottom w:val="single" w:color="auto" w:sz="8" w:space="0"/>
              <w:right w:val="single" w:color="auto" w:sz="8" w:space="0"/>
            </w:tcBorders>
            <w:shd w:val="clear" w:color="auto" w:fill="auto"/>
            <w:noWrap/>
          </w:tcPr>
          <w:p>
            <w:pPr>
              <w:pStyle w:val="19"/>
              <w:widowControl/>
              <w:rPr>
                <w:rFonts w:hint="eastAsia" w:ascii="楷体" w:eastAsia="楷体" w:cs="楷体"/>
                <w:kern w:val="0"/>
                <w:sz w:val="24"/>
                <w:szCs w:val="24"/>
              </w:rPr>
            </w:pPr>
            <w:r>
              <w:rPr>
                <w:rFonts w:hint="eastAsia" w:ascii="楷体" w:eastAsia="楷体" w:cs="楷体"/>
                <w:kern w:val="0"/>
                <w:sz w:val="24"/>
                <w:szCs w:val="24"/>
              </w:rPr>
              <w:t>4.申请人撤销申请</w:t>
            </w:r>
          </w:p>
        </w:tc>
        <w:tc>
          <w:tcPr>
            <w:tcW w:w="635"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vAlign w:val="center"/>
          </w:tcPr>
          <w:p>
            <w:pPr>
              <w:pStyle w:val="19"/>
              <w:jc w:val="center"/>
              <w:rPr>
                <w:rFonts w:hint="eastAsia" w:eastAsia="方正仿宋_GBK"/>
                <w:sz w:val="24"/>
                <w:szCs w:val="24"/>
              </w:rPr>
            </w:pPr>
            <w:r>
              <w:rPr>
                <w:rFonts w:hint="eastAsia" w:eastAsia="方正仿宋_GBK"/>
                <w:sz w:val="24"/>
                <w:szCs w:val="24"/>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96"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3606"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rPr>
                <w:sz w:val="24"/>
                <w:szCs w:val="24"/>
              </w:rPr>
            </w:pPr>
            <w:r>
              <w:rPr>
                <w:rFonts w:hint="eastAsia" w:ascii="楷体" w:eastAsia="楷体" w:cs="楷体"/>
                <w:kern w:val="0"/>
                <w:sz w:val="24"/>
                <w:szCs w:val="24"/>
              </w:rPr>
              <w:t>（七）总计</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lang w:eastAsia="zh-CN"/>
              </w:rPr>
            </w:pPr>
            <w:r>
              <w:rPr>
                <w:rFonts w:hint="eastAsia" w:eastAsia="方正仿宋_GBK"/>
                <w:sz w:val="24"/>
                <w:szCs w:val="24"/>
                <w:lang w:val="en-US" w:eastAsia="zh-CN"/>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lang w:eastAsia="zh-CN"/>
              </w:rPr>
            </w:pPr>
            <w:r>
              <w:rPr>
                <w:rFonts w:hint="eastAsia" w:eastAsia="方正仿宋_GBK"/>
                <w:sz w:val="24"/>
                <w:szCs w:val="24"/>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4302" w:type="dxa"/>
            <w:gridSpan w:val="3"/>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jc w:val="left"/>
            </w:pPr>
            <w:r>
              <w:rPr>
                <w:rFonts w:hint="eastAsia" w:ascii="宋体" w:cs="宋体"/>
                <w:kern w:val="0"/>
                <w:sz w:val="24"/>
                <w:szCs w:val="24"/>
              </w:rPr>
              <w:t>四、结转下年度继续办理</w:t>
            </w:r>
          </w:p>
        </w:tc>
        <w:tc>
          <w:tcPr>
            <w:tcW w:w="63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7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497"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82"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r>
    </w:tbl>
    <w:p>
      <w:pPr>
        <w:pStyle w:val="8"/>
        <w:widowControl/>
        <w:shd w:val="clear" w:color="auto" w:fill="FFFFFF"/>
        <w:spacing w:before="218" w:beforeLines="50" w:beforeAutospacing="0" w:after="120" w:afterAutospacing="0"/>
        <w:ind w:firstLine="640" w:firstLineChars="200"/>
        <w:jc w:val="both"/>
        <w:rPr>
          <w:rFonts w:hint="eastAsia" w:ascii="宋体" w:cs="宋体"/>
          <w:szCs w:val="24"/>
        </w:rPr>
      </w:pPr>
      <w:r>
        <w:rPr>
          <w:rFonts w:hint="eastAsia" w:ascii="方正黑体_GBK" w:eastAsia="方正黑体_GBK" w:cs="楷体_GB2312"/>
          <w:bCs/>
          <w:sz w:val="32"/>
          <w:szCs w:val="32"/>
          <w:shd w:val="clear" w:color="auto" w:fill="FFFFFF"/>
        </w:rPr>
        <w:t>四、政府信息公开行政复议、行政诉讼情况</w:t>
      </w:r>
    </w:p>
    <w:tbl>
      <w:tblPr>
        <w:tblStyle w:val="11"/>
        <w:tblW w:w="9071"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行政复议</w:t>
            </w:r>
          </w:p>
        </w:tc>
        <w:tc>
          <w:tcPr>
            <w:tcW w:w="5997" w:type="dxa"/>
            <w:gridSpan w:val="10"/>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行政诉讼</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结果维持</w:t>
            </w:r>
          </w:p>
        </w:tc>
        <w:tc>
          <w:tcPr>
            <w:tcW w:w="604" w:type="dxa"/>
            <w:vMerge w:val="restart"/>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结果纠正</w:t>
            </w:r>
          </w:p>
        </w:tc>
        <w:tc>
          <w:tcPr>
            <w:tcW w:w="604" w:type="dxa"/>
            <w:vMerge w:val="restart"/>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其他结果</w:t>
            </w:r>
          </w:p>
        </w:tc>
        <w:tc>
          <w:tcPr>
            <w:tcW w:w="604" w:type="dxa"/>
            <w:vMerge w:val="restart"/>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尚未审结</w:t>
            </w:r>
          </w:p>
        </w:tc>
        <w:tc>
          <w:tcPr>
            <w:tcW w:w="658" w:type="dxa"/>
            <w:vMerge w:val="restart"/>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总计</w:t>
            </w:r>
          </w:p>
        </w:tc>
        <w:tc>
          <w:tcPr>
            <w:tcW w:w="2970" w:type="dxa"/>
            <w:gridSpan w:val="5"/>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复议后起诉</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tc>
        <w:tc>
          <w:tcPr>
            <w:tcW w:w="604" w:type="dxa"/>
            <w:vMerge w:val="continue"/>
            <w:tcBorders>
              <w:top w:val="nil"/>
              <w:left w:val="nil"/>
              <w:bottom w:val="single" w:color="auto" w:sz="8" w:space="0"/>
              <w:right w:val="single" w:color="auto" w:sz="8" w:space="0"/>
            </w:tcBorders>
            <w:shd w:val="clear" w:color="auto" w:fill="auto"/>
            <w:noWrap/>
            <w:tcMar>
              <w:left w:w="108" w:type="dxa"/>
              <w:right w:w="108" w:type="dxa"/>
            </w:tcMar>
            <w:vAlign w:val="center"/>
          </w:tcPr>
          <w:p/>
        </w:tc>
        <w:tc>
          <w:tcPr>
            <w:tcW w:w="604" w:type="dxa"/>
            <w:vMerge w:val="continue"/>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tc>
        <w:tc>
          <w:tcPr>
            <w:tcW w:w="604" w:type="dxa"/>
            <w:vMerge w:val="continue"/>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tc>
        <w:tc>
          <w:tcPr>
            <w:tcW w:w="658" w:type="dxa"/>
            <w:vMerge w:val="continue"/>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tc>
        <w:tc>
          <w:tcPr>
            <w:tcW w:w="5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结果维持</w:t>
            </w:r>
          </w:p>
        </w:tc>
        <w:tc>
          <w:tcPr>
            <w:tcW w:w="60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结果纠正</w:t>
            </w:r>
          </w:p>
        </w:tc>
        <w:tc>
          <w:tcPr>
            <w:tcW w:w="60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其他结果</w:t>
            </w:r>
          </w:p>
        </w:tc>
        <w:tc>
          <w:tcPr>
            <w:tcW w:w="60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尚未审结</w:t>
            </w:r>
          </w:p>
        </w:tc>
        <w:tc>
          <w:tcPr>
            <w:tcW w:w="60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总计</w:t>
            </w:r>
          </w:p>
        </w:tc>
        <w:tc>
          <w:tcPr>
            <w:tcW w:w="60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结果维持</w:t>
            </w:r>
          </w:p>
        </w:tc>
        <w:tc>
          <w:tcPr>
            <w:tcW w:w="60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结果纠正</w:t>
            </w:r>
          </w:p>
        </w:tc>
        <w:tc>
          <w:tcPr>
            <w:tcW w:w="60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其他结果</w:t>
            </w:r>
          </w:p>
        </w:tc>
        <w:tc>
          <w:tcPr>
            <w:tcW w:w="606"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尚未审结</w:t>
            </w:r>
          </w:p>
        </w:tc>
        <w:tc>
          <w:tcPr>
            <w:tcW w:w="606"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sz w:val="24"/>
                <w:szCs w:val="24"/>
              </w:rPr>
            </w:pPr>
            <w:r>
              <w:rPr>
                <w:rFonts w:hint="eastAsia" w:ascii="宋体" w:cs="宋体"/>
                <w:kern w:val="0"/>
                <w:sz w:val="24"/>
                <w:szCs w:val="24"/>
              </w:rPr>
              <w:t>总计</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862" w:hRule="atLeast"/>
          <w:jc w:val="center"/>
        </w:trPr>
        <w:tc>
          <w:tcPr>
            <w:tcW w:w="604"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04"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04"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04"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58"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550"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0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0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0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0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0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0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0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06"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jc w:val="center"/>
              <w:rPr>
                <w:rFonts w:hint="eastAsia" w:eastAsia="方正仿宋_GBK"/>
                <w:sz w:val="24"/>
                <w:szCs w:val="24"/>
              </w:rPr>
            </w:pPr>
            <w:r>
              <w:rPr>
                <w:rFonts w:hint="eastAsia" w:eastAsia="方正仿宋_GBK"/>
                <w:sz w:val="24"/>
                <w:szCs w:val="24"/>
              </w:rPr>
              <w:t>0</w:t>
            </w:r>
          </w:p>
        </w:tc>
        <w:tc>
          <w:tcPr>
            <w:tcW w:w="606" w:type="dxa"/>
            <w:tcBorders>
              <w:top w:val="nil"/>
              <w:left w:val="nil"/>
              <w:bottom w:val="single" w:color="auto" w:sz="8" w:space="0"/>
              <w:right w:val="single" w:color="auto" w:sz="8" w:space="0"/>
            </w:tcBorders>
            <w:shd w:val="clear" w:color="auto" w:fill="auto"/>
            <w:noWrap/>
            <w:tcMar>
              <w:left w:w="108" w:type="dxa"/>
              <w:right w:w="108" w:type="dxa"/>
            </w:tcMar>
            <w:vAlign w:val="center"/>
          </w:tcPr>
          <w:p>
            <w:pPr>
              <w:pStyle w:val="19"/>
              <w:widowControl/>
              <w:jc w:val="center"/>
              <w:rPr>
                <w:rFonts w:hint="eastAsia"/>
                <w:kern w:val="0"/>
                <w:sz w:val="28"/>
                <w:szCs w:val="28"/>
              </w:rPr>
            </w:pPr>
            <w:r>
              <w:rPr>
                <w:rFonts w:hint="eastAsia"/>
                <w:kern w:val="0"/>
                <w:sz w:val="28"/>
                <w:szCs w:val="28"/>
              </w:rPr>
              <w:t>0</w:t>
            </w:r>
          </w:p>
        </w:tc>
      </w:tr>
    </w:tbl>
    <w:p>
      <w:pPr>
        <w:pStyle w:val="8"/>
        <w:widowControl/>
        <w:shd w:val="clear" w:color="auto" w:fill="FFFFFF"/>
        <w:spacing w:before="218" w:beforeLines="50" w:beforeAutospacing="0" w:afterAutospacing="0" w:line="560" w:lineRule="exact"/>
        <w:ind w:firstLine="640" w:firstLineChars="200"/>
        <w:jc w:val="both"/>
        <w:rPr>
          <w:rFonts w:hint="eastAsia" w:ascii="方正黑体_GBK" w:eastAsia="方正黑体_GBK" w:cs="楷体_GB2312"/>
          <w:bCs/>
          <w:sz w:val="32"/>
          <w:szCs w:val="32"/>
          <w:shd w:val="clear" w:color="auto" w:fill="FFFFFF"/>
        </w:rPr>
      </w:pPr>
      <w:r>
        <w:rPr>
          <w:rFonts w:hint="eastAsia" w:ascii="方正黑体_GBK" w:eastAsia="方正黑体_GBK" w:cs="楷体_GB2312"/>
          <w:bCs/>
          <w:sz w:val="32"/>
          <w:szCs w:val="32"/>
          <w:shd w:val="clear" w:color="auto" w:fill="FFFFFF"/>
        </w:rPr>
        <w:t>五、存在的主要问题及改进情况</w:t>
      </w:r>
    </w:p>
    <w:p>
      <w:pPr>
        <w:pStyle w:val="25"/>
        <w:adjustRightInd w:val="0"/>
        <w:snapToGrid w:val="0"/>
        <w:ind w:firstLine="624" w:firstLineChars="200"/>
        <w:rPr>
          <w:rFonts w:ascii="Times New Roman" w:hAnsi="Times New Roman" w:eastAsia="方正楷体_GBK" w:cs="Times New Roman"/>
          <w:b/>
          <w:bCs/>
        </w:rPr>
      </w:pPr>
      <w:r>
        <w:rPr>
          <w:rFonts w:hint="eastAsia" w:ascii="方正楷体_GBK" w:eastAsia="方正楷体_GBK"/>
          <w:b w:val="0"/>
          <w:bCs w:val="0"/>
        </w:rPr>
        <w:t>（一）</w:t>
      </w:r>
      <w:r>
        <w:rPr>
          <w:rFonts w:ascii="Times New Roman" w:hAnsi="Times New Roman" w:eastAsia="方正楷体_GBK" w:cs="Times New Roman"/>
          <w:bCs w:val="0"/>
        </w:rPr>
        <w:t>202</w:t>
      </w:r>
      <w:r>
        <w:rPr>
          <w:rFonts w:ascii="Times New Roman" w:hAnsi="Times New Roman" w:eastAsia="方正楷体_GBK" w:cs="Times New Roman"/>
          <w:bCs w:val="0"/>
          <w:lang w:val="en-US" w:eastAsia="zh-CN"/>
        </w:rPr>
        <w:t>2</w:t>
      </w:r>
      <w:r>
        <w:rPr>
          <w:rFonts w:ascii="Times New Roman" w:hAnsi="Times New Roman" w:eastAsia="方正楷体_GBK" w:cs="Times New Roman"/>
          <w:b w:val="0"/>
          <w:bCs w:val="0"/>
        </w:rPr>
        <w:t>年年报中所提问题整改情况</w:t>
      </w:r>
    </w:p>
    <w:p>
      <w:pPr>
        <w:pStyle w:val="26"/>
        <w:adjustRightInd w:val="0"/>
        <w:snapToGrid w:val="0"/>
        <w:ind w:firstLine="624" w:firstLineChars="200"/>
        <w:rPr>
          <w:rFonts w:ascii="Times New Roman" w:hAnsi="Times New Roman" w:cs="Times New Roman"/>
        </w:rPr>
      </w:pPr>
      <w:r>
        <w:rPr>
          <w:rFonts w:hint="eastAsia" w:cs="Times New Roman"/>
          <w:kern w:val="0"/>
          <w:lang w:val="en-US" w:eastAsia="zh-CN"/>
        </w:rPr>
        <w:t>2022年报中</w:t>
      </w:r>
      <w:r>
        <w:rPr>
          <w:rFonts w:ascii="Times New Roman" w:hAnsi="Times New Roman" w:cs="Times New Roman"/>
          <w:kern w:val="0"/>
        </w:rPr>
        <w:t>存在问题：</w:t>
      </w:r>
      <w:r>
        <w:rPr>
          <w:rFonts w:ascii="Times New Roman" w:hAnsi="Times New Roman" w:cs="Times New Roman"/>
        </w:rPr>
        <w:t xml:space="preserve">在政务公开品牌创建上还需加强。 </w:t>
      </w:r>
    </w:p>
    <w:p>
      <w:pPr>
        <w:pStyle w:val="26"/>
        <w:adjustRightInd w:val="0"/>
        <w:snapToGrid w:val="0"/>
        <w:ind w:firstLine="627" w:firstLineChars="200"/>
        <w:rPr>
          <w:rFonts w:hint="eastAsia" w:cs="Times New Roman"/>
          <w:kern w:val="0"/>
          <w:lang w:eastAsia="zh-CN"/>
        </w:rPr>
      </w:pPr>
      <w:r>
        <w:rPr>
          <w:rFonts w:ascii="Times New Roman" w:hAnsi="Times New Roman" w:cs="Times New Roman"/>
          <w:b/>
          <w:bCs/>
        </w:rPr>
        <w:t>整改情况：</w:t>
      </w:r>
      <w:r>
        <w:rPr>
          <w:rFonts w:ascii="Times New Roman" w:hAnsi="Times New Roman" w:cs="Times New Roman"/>
          <w:kern w:val="0"/>
        </w:rPr>
        <w:t>2023年，汕头海关</w:t>
      </w:r>
      <w:r>
        <w:rPr>
          <w:rFonts w:hint="eastAsia" w:cs="Times New Roman"/>
          <w:kern w:val="0"/>
          <w:lang w:eastAsia="zh-CN"/>
        </w:rPr>
        <w:t>机关</w:t>
      </w:r>
      <w:r>
        <w:rPr>
          <w:rFonts w:ascii="Times New Roman" w:hAnsi="Times New Roman" w:cs="Times New Roman"/>
          <w:kern w:val="0"/>
        </w:rPr>
        <w:t>认真贯彻落实海关总署关于政务公开的各项工作部署，持续推动政务公开工作往深里走、往实里走，积极打</w:t>
      </w:r>
      <w:r>
        <w:rPr>
          <w:rFonts w:hint="eastAsia" w:ascii="方正仿宋_GBK" w:eastAsia="方正仿宋_GBK" w:cs="方正仿宋_GBK"/>
          <w:kern w:val="0"/>
        </w:rPr>
        <w:t>造“汕解民意”政务</w:t>
      </w:r>
      <w:r>
        <w:rPr>
          <w:rFonts w:ascii="Times New Roman" w:hAnsi="Times New Roman" w:cs="Times New Roman"/>
          <w:kern w:val="0"/>
        </w:rPr>
        <w:t>公开品牌建设，通过设计制作品牌LOGO、向基层征集品牌名称和口号</w:t>
      </w:r>
      <w:r>
        <w:rPr>
          <w:rFonts w:hint="eastAsia" w:cs="Times New Roman"/>
          <w:kern w:val="0"/>
          <w:lang w:eastAsia="zh-CN"/>
        </w:rPr>
        <w:t>、开设线上政务公开专栏</w:t>
      </w:r>
      <w:r>
        <w:rPr>
          <w:rFonts w:ascii="Times New Roman" w:hAnsi="Times New Roman" w:cs="Times New Roman"/>
          <w:kern w:val="0"/>
        </w:rPr>
        <w:t>等方式丰富品牌内涵，通</w:t>
      </w:r>
      <w:r>
        <w:rPr>
          <w:rFonts w:hint="eastAsia" w:ascii="方正仿宋_GBK" w:eastAsia="方正仿宋_GBK" w:cs="方正仿宋_GBK"/>
          <w:kern w:val="0"/>
        </w:rPr>
        <w:t>过“汕关新征程”微信公众号制</w:t>
      </w:r>
      <w:r>
        <w:rPr>
          <w:rFonts w:ascii="Times New Roman" w:hAnsi="Times New Roman" w:cs="Times New Roman"/>
          <w:kern w:val="0"/>
        </w:rPr>
        <w:t>作发布4期微信推文，展示</w:t>
      </w:r>
      <w:r>
        <w:rPr>
          <w:rFonts w:hint="eastAsia" w:cs="Times New Roman"/>
          <w:kern w:val="0"/>
          <w:lang w:eastAsia="zh-CN"/>
        </w:rPr>
        <w:t>品牌引领下</w:t>
      </w:r>
      <w:r>
        <w:rPr>
          <w:rFonts w:cs="Times New Roman"/>
          <w:kern w:val="0"/>
          <w:lang w:eastAsia="zh-CN"/>
        </w:rPr>
        <w:t>我关</w:t>
      </w:r>
      <w:r>
        <w:rPr>
          <w:rFonts w:ascii="Times New Roman" w:hAnsi="Times New Roman" w:cs="Times New Roman"/>
          <w:kern w:val="0"/>
        </w:rPr>
        <w:t>开展基层政务公开标准化规范化建设的工作成效，</w:t>
      </w:r>
      <w:r>
        <w:rPr>
          <w:rFonts w:hint="eastAsia" w:cs="Times New Roman"/>
          <w:kern w:val="0"/>
          <w:lang w:eastAsia="zh-CN"/>
        </w:rPr>
        <w:t>提升政务公开工作透明度，扩大品牌社会知晓度。</w:t>
      </w:r>
    </w:p>
    <w:p>
      <w:pPr>
        <w:pStyle w:val="26"/>
        <w:adjustRightInd w:val="0"/>
        <w:snapToGrid w:val="0"/>
        <w:ind w:firstLine="624" w:firstLineChars="200"/>
      </w:pPr>
      <w:r>
        <w:rPr>
          <w:rFonts w:hint="eastAsia" w:ascii="方正楷体_GBK" w:eastAsia="方正楷体_GBK"/>
          <w:b w:val="0"/>
          <w:bCs w:val="0"/>
        </w:rPr>
        <w:t>（二）目前存在问题</w:t>
      </w:r>
    </w:p>
    <w:p>
      <w:pPr>
        <w:pStyle w:val="26"/>
        <w:adjustRightInd w:val="0"/>
        <w:snapToGrid w:val="0"/>
        <w:ind w:firstLine="624" w:firstLineChars="200"/>
        <w:rPr>
          <w:rFonts w:hint="eastAsia" w:eastAsia="方正仿宋_GBK"/>
          <w:b w:val="0"/>
          <w:bCs w:val="0"/>
          <w:lang w:val="en-US" w:eastAsia="zh-CN"/>
        </w:rPr>
      </w:pPr>
      <w:r>
        <w:t>汕头海关目前在政府信息公开工作中存在的主要问题</w:t>
      </w:r>
      <w:r>
        <w:rPr>
          <w:rFonts w:hint="eastAsia"/>
        </w:rPr>
        <w:t>是</w:t>
      </w:r>
      <w:r>
        <w:t>：</w:t>
      </w:r>
      <w:r>
        <w:rPr>
          <w:rFonts w:ascii="方正仿宋_GBK" w:cs="方正仿宋_GBK"/>
          <w:b w:val="0"/>
          <w:bCs w:val="0"/>
          <w:szCs w:val="22"/>
          <w:lang w:eastAsia="zh-CN"/>
        </w:rPr>
        <w:t>针对发挥</w:t>
      </w:r>
      <w:r>
        <w:rPr>
          <w:rFonts w:hint="eastAsia" w:ascii="方正仿宋_GBK" w:cs="方正仿宋_GBK"/>
          <w:b w:val="0"/>
          <w:bCs w:val="0"/>
          <w:szCs w:val="22"/>
          <w:lang w:eastAsia="zh-CN"/>
        </w:rPr>
        <w:t>“</w:t>
      </w:r>
      <w:r>
        <w:rPr>
          <w:rFonts w:ascii="方正仿宋_GBK" w:cs="方正仿宋_GBK"/>
          <w:b w:val="0"/>
          <w:bCs w:val="0"/>
          <w:szCs w:val="22"/>
          <w:lang w:eastAsia="zh-CN"/>
        </w:rPr>
        <w:t>主动公开</w:t>
      </w:r>
      <w:r>
        <w:rPr>
          <w:rFonts w:hint="eastAsia" w:ascii="方正仿宋_GBK" w:cs="方正仿宋_GBK"/>
          <w:b w:val="0"/>
          <w:bCs w:val="0"/>
          <w:szCs w:val="22"/>
          <w:lang w:eastAsia="zh-CN"/>
        </w:rPr>
        <w:t>”效能方面</w:t>
      </w:r>
      <w:r>
        <w:rPr>
          <w:rFonts w:ascii="方正仿宋_GBK" w:cs="方正仿宋_GBK"/>
          <w:b w:val="0"/>
          <w:bCs w:val="0"/>
          <w:szCs w:val="22"/>
          <w:lang w:eastAsia="zh-CN"/>
        </w:rPr>
        <w:t>的培训力度尚有</w:t>
      </w:r>
      <w:r>
        <w:rPr>
          <w:rFonts w:hint="eastAsia" w:ascii="方正仿宋_GBK" w:cs="方正仿宋_GBK"/>
          <w:b w:val="0"/>
          <w:bCs w:val="0"/>
          <w:szCs w:val="22"/>
          <w:lang w:eastAsia="zh-CN"/>
        </w:rPr>
        <w:t>不足。</w:t>
      </w:r>
    </w:p>
    <w:p>
      <w:pPr>
        <w:pStyle w:val="8"/>
        <w:widowControl/>
        <w:shd w:val="clear" w:color="auto" w:fill="FFFFFF"/>
        <w:spacing w:beforeAutospacing="0" w:afterAutospacing="0" w:line="560" w:lineRule="exact"/>
        <w:ind w:firstLine="640" w:firstLineChars="200"/>
        <w:jc w:val="both"/>
        <w:rPr>
          <w:rFonts w:hint="eastAsia" w:ascii="方正黑体_GBK" w:eastAsia="方正黑体_GBK" w:cs="楷体_GB2312"/>
          <w:bCs/>
          <w:sz w:val="32"/>
          <w:szCs w:val="32"/>
          <w:shd w:val="clear" w:color="auto" w:fill="FFFFFF"/>
        </w:rPr>
      </w:pPr>
      <w:r>
        <w:rPr>
          <w:rFonts w:hint="eastAsia" w:ascii="方正黑体_GBK" w:eastAsia="方正黑体_GBK" w:cs="楷体_GB2312"/>
          <w:bCs/>
          <w:sz w:val="32"/>
          <w:szCs w:val="32"/>
          <w:shd w:val="clear" w:color="auto" w:fill="FFFFFF"/>
        </w:rPr>
        <w:t>六、其他需要报告的事</w:t>
      </w:r>
      <w:bookmarkEnd w:id="1"/>
      <w:r>
        <w:rPr>
          <w:rFonts w:hint="eastAsia" w:ascii="方正黑体_GBK" w:eastAsia="方正黑体_GBK" w:cs="楷体_GB2312"/>
          <w:bCs/>
          <w:sz w:val="32"/>
          <w:szCs w:val="32"/>
          <w:shd w:val="clear" w:color="auto" w:fill="FFFFFF"/>
        </w:rPr>
        <w:t>项</w:t>
      </w:r>
    </w:p>
    <w:p>
      <w:pPr>
        <w:pStyle w:val="27"/>
        <w:adjustRightInd w:val="0"/>
        <w:snapToGrid w:val="0"/>
        <w:ind w:firstLine="624" w:firstLineChars="200"/>
      </w:pPr>
      <w:r>
        <w:t>本年度汕头海关（本级）未收取信息处理费。无其它需要报告的事项。</w:t>
      </w:r>
    </w:p>
    <w:sectPr>
      <w:footerReference r:id="rId5" w:type="first"/>
      <w:footerReference r:id="rId3" w:type="default"/>
      <w:footerReference r:id="rId4" w:type="even"/>
      <w:pgSz w:w="11907" w:h="16840"/>
      <w:pgMar w:top="2098" w:right="1474" w:bottom="1985" w:left="1588" w:header="851" w:footer="992" w:gutter="0"/>
      <w:pgNumType w:fmt="numberInDash" w:start="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40001"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0" w:wrap="around" w:vAnchor="text" w:hAnchor="margin" w:xAlign="outside" w:y="1"/>
      <w:pBdr>
        <w:top w:val="none" w:color="auto" w:sz="0" w:space="0"/>
        <w:left w:val="none" w:color="auto" w:sz="0" w:space="0"/>
        <w:bottom w:val="none" w:color="auto" w:sz="0" w:space="0"/>
        <w:right w:val="none" w:color="auto" w:sz="0" w:space="0"/>
      </w:pBdr>
      <w:rPr>
        <w:rFonts w:hint="eastAsia" w:ascii="宋体" w:eastAsia="宋体"/>
        <w:sz w:val="28"/>
        <w:szCs w:val="28"/>
      </w:rPr>
    </w:pPr>
    <w:r>
      <w:rPr>
        <w:rStyle w:val="10"/>
        <w:rFonts w:hint="eastAsia" w:ascii="宋体" w:eastAsia="宋体"/>
        <w:sz w:val="28"/>
        <w:szCs w:val="28"/>
      </w:rPr>
      <w:fldChar w:fldCharType="begin"/>
    </w:r>
    <w:r>
      <w:rPr>
        <w:rStyle w:val="10"/>
        <w:rFonts w:hint="eastAsia" w:ascii="宋体" w:eastAsia="宋体"/>
        <w:sz w:val="28"/>
        <w:szCs w:val="28"/>
      </w:rPr>
      <w:instrText xml:space="preserve">Page</w:instrText>
    </w:r>
    <w:r>
      <w:rPr>
        <w:rStyle w:val="10"/>
        <w:rFonts w:hint="eastAsia" w:ascii="宋体" w:eastAsia="宋体"/>
        <w:sz w:val="28"/>
        <w:szCs w:val="28"/>
      </w:rPr>
      <w:fldChar w:fldCharType="separate"/>
    </w:r>
    <w:r>
      <w:rPr>
        <w:rStyle w:val="10"/>
        <w:rFonts w:hint="eastAsia" w:ascii="宋体" w:eastAsia="宋体"/>
        <w:sz w:val="28"/>
        <w:szCs w:val="28"/>
      </w:rPr>
      <w:t>- 1 -</w:t>
    </w:r>
    <w:r>
      <w:rPr>
        <w:rStyle w:val="10"/>
        <w:rFonts w:hint="eastAsia" w:ascii="宋体" w:eastAsia="宋体"/>
        <w:sz w:val="28"/>
        <w:szCs w:val="28"/>
      </w:rP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0" w:wrap="around" w:vAnchor="text" w:hAnchor="margin" w:xAlign="outside" w:y="1"/>
      <w:pBdr>
        <w:top w:val="none" w:color="auto" w:sz="0" w:space="0"/>
        <w:left w:val="none" w:color="auto" w:sz="0" w:space="0"/>
        <w:bottom w:val="none" w:color="auto" w:sz="0" w:space="0"/>
        <w:right w:val="none" w:color="auto" w:sz="0" w:space="0"/>
      </w:pBdr>
    </w:pPr>
    <w:r>
      <w:rPr>
        <w:rStyle w:val="10"/>
      </w:rPr>
      <w:fldChar w:fldCharType="begin"/>
    </w:r>
    <w:r>
      <w:rPr>
        <w:rStyle w:val="10"/>
      </w:rPr>
      <w:instrText xml:space="preserve">Page</w:instrText>
    </w:r>
    <w:r>
      <w:rPr>
        <w:rStyle w:val="10"/>
      </w:rPr>
      <w:fldChar w:fldCharType="separate"/>
    </w:r>
    <w:r>
      <w:rPr>
        <w:rStyle w:val="10"/>
      </w:rPr>
      <w:t>- 1 -</w:t>
    </w:r>
    <w:r>
      <w:rPr>
        <w:rStyle w:val="10"/>
      </w:rPr>
      <w:fldChar w:fldCharType="end"/>
    </w:r>
  </w:p>
  <w:p>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w:fldChar w:fldCharType="begin"/>
    </w:r>
    <w:r>
      <w:instrText xml:space="preserve">Page</w:instrText>
    </w:r>
    <w:r>
      <w:fldChar w:fldCharType="separate"/>
    </w:r>
    <w:r>
      <w:t>- 1 -</w:t>
    </w:r>
    <w:r>
      <w:fldChar w:fldCharType="end"/>
    </w:r>
    <w:r>
      <w:fldChar w:fldCharType="begin"/>
    </w:r>
    <w:r>
      <w:instrText xml:space="preserve">NumPages</w:instrText>
    </w:r>
    <w:r>
      <w:fldChar w:fldCharType="separate"/>
    </w:r>
    <w:r>
      <w:t>7</w:t>
    </w:r>
    <w:r>
      <w:fldChar w:fldCharType="end"/>
    </w:r>
    <w:r>
      <w:fldChar w:fldCharType="begin"/>
    </w:r>
    <w:r>
      <w:instrText xml:space="preserve">Page</w:instrText>
    </w:r>
    <w:r>
      <w:fldChar w:fldCharType="separate"/>
    </w:r>
    <w:r>
      <w:t>- 1 -</w:t>
    </w:r>
    <w:r>
      <w:fldChar w:fldCharType="end"/>
    </w:r>
    <w:r>
      <w:fldChar w:fldCharType="begin"/>
    </w:r>
    <w:r>
      <w:instrText xml:space="preserve">Page</w:instrText>
    </w:r>
    <w:r>
      <w:fldChar w:fldCharType="separate"/>
    </w:r>
    <w:r>
      <w:t>- 1 -</w:t>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47ED3E"/>
    <w:multiLevelType w:val="singleLevel"/>
    <w:tmpl w:val="5D47ED3E"/>
    <w:lvl w:ilvl="0" w:tentative="0">
      <w:start w:val="1"/>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val="1"/>
  <w:bordersDoNotSurroundFooter w:val="1"/>
  <w:documentProtection w:enforcement="0"/>
  <w:defaultTabStop w:val="420"/>
  <w:drawingGridHorizontalSpacing w:val="16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000000"/>
    <w:rsid w:val="0B89643B"/>
    <w:rsid w:val="32AF1C14"/>
    <w:rsid w:val="4E301137"/>
    <w:rsid w:val="60FA20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2"/>
      <w:lang w:val="en-US" w:eastAsia="zh-CN" w:bidi="ar-SA"/>
    </w:rPr>
  </w:style>
  <w:style w:type="character" w:default="1" w:styleId="9">
    <w:name w:val="Default Paragraph Font"/>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index 6"/>
    <w:basedOn w:val="1"/>
    <w:next w:val="1"/>
    <w:uiPriority w:val="0"/>
    <w:pPr>
      <w:ind w:left="210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7"/>
      </w:tabs>
      <w:snapToGrid w:val="0"/>
      <w:jc w:val="center"/>
    </w:pPr>
    <w:rPr>
      <w:sz w:val="18"/>
    </w:rPr>
  </w:style>
  <w:style w:type="paragraph" w:styleId="5">
    <w:name w:val="toc 1"/>
    <w:basedOn w:val="1"/>
    <w:next w:val="1"/>
    <w:uiPriority w:val="0"/>
  </w:style>
  <w:style w:type="paragraph" w:styleId="6">
    <w:name w:val="index 7"/>
    <w:basedOn w:val="1"/>
    <w:next w:val="1"/>
    <w:uiPriority w:val="0"/>
    <w:pPr>
      <w:ind w:left="2520"/>
    </w:pPr>
  </w:style>
  <w:style w:type="paragraph" w:styleId="7">
    <w:name w:val="toc 2"/>
    <w:basedOn w:val="1"/>
    <w:next w:val="1"/>
    <w:uiPriority w:val="0"/>
    <w:pPr>
      <w:ind w:left="420"/>
    </w:pPr>
  </w:style>
  <w:style w:type="paragraph" w:styleId="8">
    <w:name w:val="Normal (Web)"/>
    <w:next w:val="3"/>
    <w:uiPriority w:val="0"/>
    <w:pPr>
      <w:widowControl w:val="0"/>
      <w:spacing w:beforeAutospacing="1" w:afterAutospacing="1"/>
    </w:pPr>
    <w:rPr>
      <w:rFonts w:ascii="Times New Roman" w:hAnsi="Times New Roman" w:eastAsia="宋体" w:cs="Times New Roman"/>
      <w:sz w:val="24"/>
      <w:szCs w:val="30"/>
      <w:lang w:val="en-US" w:eastAsia="zh-CN" w:bidi="ar-SA"/>
    </w:rPr>
  </w:style>
  <w:style w:type="character" w:styleId="10">
    <w:name w:val="page number"/>
    <w:basedOn w:val="9"/>
    <w:uiPriority w:val="0"/>
  </w:style>
  <w:style w:type="paragraph" w:customStyle="1" w:styleId="12">
    <w:name w:val="样式 6 三号"/>
    <w:uiPriority w:val="0"/>
    <w:pPr>
      <w:widowControl w:val="0"/>
      <w:spacing w:line="560" w:lineRule="exact"/>
      <w:jc w:val="both"/>
    </w:pPr>
    <w:rPr>
      <w:rFonts w:ascii="Times New Roman" w:hAnsi="Times New Roman" w:eastAsia="方正仿宋_GBK" w:cs="Times New Roman"/>
      <w:spacing w:val="-4"/>
      <w:kern w:val="2"/>
      <w:sz w:val="32"/>
      <w:szCs w:val="28"/>
      <w:lang w:val="en-US" w:eastAsia="zh-CN" w:bidi="ar-SA"/>
    </w:rPr>
  </w:style>
  <w:style w:type="paragraph" w:customStyle="1" w:styleId="13">
    <w:name w:val="样式 24 三号"/>
    <w:uiPriority w:val="0"/>
    <w:pPr>
      <w:widowControl w:val="0"/>
      <w:spacing w:line="560" w:lineRule="exact"/>
      <w:jc w:val="both"/>
    </w:pPr>
    <w:rPr>
      <w:rFonts w:ascii="Times New Roman" w:hAnsi="Times New Roman" w:eastAsia="方正仿宋_GBK" w:cs="Times New Roman"/>
      <w:spacing w:val="-4"/>
      <w:kern w:val="2"/>
      <w:sz w:val="32"/>
      <w:lang w:val="en-US" w:eastAsia="zh-CN" w:bidi="ar-SA"/>
    </w:rPr>
  </w:style>
  <w:style w:type="paragraph" w:customStyle="1" w:styleId="14">
    <w:name w:val="样式 50 三号"/>
    <w:next w:val="2"/>
    <w:uiPriority w:val="0"/>
    <w:pPr>
      <w:widowControl w:val="0"/>
      <w:spacing w:line="560" w:lineRule="exact"/>
      <w:jc w:val="both"/>
    </w:pPr>
    <w:rPr>
      <w:rFonts w:ascii="Times New Roman" w:hAnsi="Times New Roman" w:eastAsia="方正仿宋_GBK" w:cs="Times New Roman"/>
      <w:spacing w:val="-4"/>
      <w:kern w:val="2"/>
      <w:sz w:val="32"/>
      <w:lang w:val="en-US" w:eastAsia="zh-CN" w:bidi="ar-SA"/>
    </w:rPr>
  </w:style>
  <w:style w:type="paragraph" w:customStyle="1" w:styleId="15">
    <w:name w:val="样式 10 磅"/>
    <w:next w:val="3"/>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
    <w:name w:val="h-control-text-cont1"/>
    <w:uiPriority w:val="0"/>
  </w:style>
  <w:style w:type="paragraph" w:customStyle="1" w:styleId="17">
    <w:name w:val="样式 1 三号"/>
    <w:next w:val="5"/>
    <w:qFormat/>
    <w:uiPriority w:val="0"/>
    <w:pPr>
      <w:widowControl w:val="0"/>
      <w:spacing w:line="560" w:lineRule="exact"/>
      <w:jc w:val="both"/>
    </w:pPr>
    <w:rPr>
      <w:rFonts w:ascii="Times New Roman" w:hAnsi="Times New Roman" w:eastAsia="方正仿宋_GBK" w:cs="Times New Roman"/>
      <w:spacing w:val="-4"/>
      <w:kern w:val="2"/>
      <w:sz w:val="32"/>
      <w:szCs w:val="28"/>
      <w:lang w:val="en-US" w:eastAsia="zh-CN" w:bidi="ar-SA"/>
    </w:rPr>
  </w:style>
  <w:style w:type="paragraph" w:customStyle="1" w:styleId="18">
    <w:name w:val="正文5"/>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19">
    <w:name w:val="样式 小三"/>
    <w:next w:val="7"/>
    <w:qFormat/>
    <w:uiPriority w:val="0"/>
    <w:pPr>
      <w:widowControl w:val="0"/>
      <w:jc w:val="both"/>
    </w:pPr>
    <w:rPr>
      <w:rFonts w:ascii="Times New Roman" w:hAnsi="Times New Roman" w:eastAsia="宋体" w:cs="Times New Roman"/>
      <w:kern w:val="2"/>
      <w:sz w:val="30"/>
      <w:szCs w:val="30"/>
      <w:lang w:val="en-US" w:eastAsia="zh-CN" w:bidi="ar-SA"/>
    </w:rPr>
  </w:style>
  <w:style w:type="paragraph" w:customStyle="1" w:styleId="20">
    <w:name w:val="样式 5 小三"/>
    <w:uiPriority w:val="0"/>
    <w:pPr>
      <w:widowControl w:val="0"/>
      <w:jc w:val="both"/>
    </w:pPr>
    <w:rPr>
      <w:rFonts w:ascii="Times New Roman" w:hAnsi="Times New Roman" w:eastAsia="宋体" w:cs="Times New Roman"/>
      <w:kern w:val="2"/>
      <w:sz w:val="30"/>
      <w:szCs w:val="30"/>
      <w:lang w:val="en-US" w:eastAsia="zh-CN" w:bidi="ar-SA"/>
    </w:rPr>
  </w:style>
  <w:style w:type="paragraph" w:customStyle="1" w:styleId="21">
    <w:name w:val="样式 16 小三"/>
    <w:uiPriority w:val="0"/>
    <w:pPr>
      <w:widowControl w:val="0"/>
      <w:jc w:val="both"/>
    </w:pPr>
    <w:rPr>
      <w:rFonts w:ascii="Times New Roman" w:hAnsi="Times New Roman" w:eastAsia="宋体" w:cs="Times New Roman"/>
      <w:kern w:val="2"/>
      <w:sz w:val="30"/>
      <w:szCs w:val="30"/>
      <w:lang w:val="en-US" w:eastAsia="zh-CN" w:bidi="ar-SA"/>
    </w:rPr>
  </w:style>
  <w:style w:type="paragraph" w:customStyle="1" w:styleId="22">
    <w:name w:val="样式 8 小三"/>
    <w:uiPriority w:val="0"/>
    <w:pPr>
      <w:widowControl w:val="0"/>
      <w:jc w:val="both"/>
    </w:pPr>
    <w:rPr>
      <w:rFonts w:ascii="Times New Roman" w:hAnsi="Times New Roman" w:eastAsia="宋体" w:cs="Times New Roman"/>
      <w:kern w:val="2"/>
      <w:sz w:val="30"/>
      <w:szCs w:val="30"/>
      <w:lang w:val="en-US" w:eastAsia="zh-CN" w:bidi="ar-SA"/>
    </w:rPr>
  </w:style>
  <w:style w:type="paragraph" w:customStyle="1" w:styleId="23">
    <w:name w:val="样式 17 小三"/>
    <w:uiPriority w:val="0"/>
    <w:pPr>
      <w:widowControl w:val="0"/>
      <w:jc w:val="both"/>
    </w:pPr>
    <w:rPr>
      <w:rFonts w:ascii="Times New Roman" w:hAnsi="Times New Roman" w:eastAsia="宋体" w:cs="Times New Roman"/>
      <w:kern w:val="2"/>
      <w:sz w:val="30"/>
      <w:szCs w:val="30"/>
      <w:lang w:val="en-US" w:eastAsia="zh-CN" w:bidi="ar-SA"/>
    </w:rPr>
  </w:style>
  <w:style w:type="paragraph" w:customStyle="1" w:styleId="24">
    <w:name w:val="样式 12 小三"/>
    <w:uiPriority w:val="0"/>
    <w:pPr>
      <w:widowControl w:val="0"/>
      <w:jc w:val="both"/>
    </w:pPr>
    <w:rPr>
      <w:rFonts w:ascii="Times New Roman" w:hAnsi="Times New Roman" w:eastAsia="宋体" w:cs="Times New Roman"/>
      <w:kern w:val="2"/>
      <w:sz w:val="30"/>
      <w:szCs w:val="30"/>
      <w:lang w:val="en-US" w:eastAsia="zh-CN" w:bidi="ar-SA"/>
    </w:rPr>
  </w:style>
  <w:style w:type="paragraph" w:customStyle="1" w:styleId="25">
    <w:name w:val="样式 8 三号"/>
    <w:qFormat/>
    <w:uiPriority w:val="0"/>
    <w:pPr>
      <w:widowControl w:val="0"/>
      <w:spacing w:line="560" w:lineRule="exact"/>
      <w:jc w:val="both"/>
    </w:pPr>
    <w:rPr>
      <w:rFonts w:ascii="Times New Roman" w:hAnsi="Times New Roman" w:eastAsia="方正仿宋_GBK" w:cs="Times New Roman"/>
      <w:spacing w:val="-4"/>
      <w:kern w:val="2"/>
      <w:sz w:val="32"/>
      <w:lang w:val="en-US" w:eastAsia="zh-CN" w:bidi="ar-SA"/>
    </w:rPr>
  </w:style>
  <w:style w:type="paragraph" w:customStyle="1" w:styleId="26">
    <w:name w:val="样式 13 三号"/>
    <w:next w:val="6"/>
    <w:qFormat/>
    <w:uiPriority w:val="0"/>
    <w:pPr>
      <w:widowControl w:val="0"/>
      <w:spacing w:line="560" w:lineRule="exact"/>
      <w:jc w:val="both"/>
    </w:pPr>
    <w:rPr>
      <w:rFonts w:ascii="Times New Roman" w:hAnsi="Times New Roman" w:eastAsia="方正仿宋_GBK" w:cs="Times New Roman"/>
      <w:spacing w:val="-4"/>
      <w:kern w:val="2"/>
      <w:sz w:val="32"/>
      <w:lang w:val="en-US" w:eastAsia="zh-CN" w:bidi="ar-SA"/>
    </w:rPr>
  </w:style>
  <w:style w:type="paragraph" w:customStyle="1" w:styleId="27">
    <w:name w:val="样式 7 三号"/>
    <w:qFormat/>
    <w:uiPriority w:val="0"/>
    <w:pPr>
      <w:widowControl w:val="0"/>
      <w:spacing w:line="560" w:lineRule="exact"/>
      <w:jc w:val="both"/>
    </w:pPr>
    <w:rPr>
      <w:rFonts w:ascii="Times New Roman" w:hAnsi="Times New Roman" w:eastAsia="方正仿宋_GBK" w:cs="Times New Roman"/>
      <w:spacing w:val="-4"/>
      <w:kern w:val="2"/>
      <w:sz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6</Pages>
  <Words>2415</Words>
  <Characters>2546</Characters>
  <Lines>431</Lines>
  <Paragraphs>308</Paragraphs>
  <TotalTime>66</TotalTime>
  <ScaleCrop>false</ScaleCrop>
  <LinksUpToDate>false</LinksUpToDate>
  <CharactersWithSpaces>2548</CharactersWithSpaces>
  <Application>WPS Office_11.8.2.8053_F1E327BC-269C-435d-A152-05C5408002CA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2023-12-18T01:50:00Z</dcterms:created>
  <dc:creator>6074820</dc:creator>
  <cp:lastModifiedBy>6074820</cp:lastModifiedBy>
  <dcterms:modified xsi:type="dcterms:W3CDTF">2024-02-20T08:10:29Z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