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3"/>
        <w:spacing w:line="560" w:lineRule="exact"/>
        <w:jc w:val="center"/>
        <w:rPr>
          <w:rFonts w:ascii="方正小标宋_GBK" w:eastAsia="方正小标宋_GBK" w:cs="方正小标宋_GBK" w:hint="eastAsia"/>
          <w:sz w:val="44"/>
          <w:szCs w:val="44"/>
        </w:rPr>
      </w:pPr>
      <w:bookmarkStart w:id="0" w:name="_Hlk25540369"/>
      <w:bookmarkStart w:id="1" w:name="cogw__正文__file"/>
      <w:r>
        <w:rPr>
          <w:rFonts w:ascii="方正小标宋_GBK" w:eastAsia="方正小标宋_GBK" w:cs="方正小标宋_GBK" w:hint="eastAsia"/>
          <w:sz w:val="44"/>
          <w:szCs w:val="44"/>
        </w:rPr>
        <w:t>汕头海关（本级机关）20</w:t>
      </w:r>
      <w:r>
        <w:rPr>
          <w:rFonts w:ascii="方正小标宋_GBK" w:eastAsia="方正小标宋_GBK" w:cs="方正小标宋_GBK"/>
          <w:sz w:val="44"/>
          <w:szCs w:val="44"/>
        </w:rPr>
        <w:t>24</w:t>
      </w:r>
      <w:r>
        <w:rPr>
          <w:rFonts w:ascii="方正小标宋_GBK" w:eastAsia="方正小标宋_GBK" w:cs="方正小标宋_GBK" w:hint="eastAsia"/>
          <w:sz w:val="44"/>
          <w:szCs w:val="44"/>
        </w:rPr>
        <w:t>年政府信息公开</w:t>
      </w:r>
    </w:p>
    <w:p>
      <w:pPr>
        <w:pStyle w:val="23"/>
        <w:spacing w:line="560"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工作年度报告</w:t>
      </w:r>
      <w:bookmarkEnd w:id="0"/>
    </w:p>
    <w:p>
      <w:pPr>
        <w:pStyle w:val="21"/>
        <w:widowControl/>
        <w:shd w:val="clear" w:color="auto" w:fill="FFFFFF"/>
        <w:adjustRightInd w:val="0"/>
        <w:snapToGrid w:val="0"/>
        <w:spacing w:beforeAutospacing="0" w:afterAutospacing="0" w:line="560" w:lineRule="exact"/>
        <w:jc w:val="both"/>
        <w:rPr>
          <w:rFonts w:ascii="楷体_GB2312" w:eastAsia="楷体_GB2312" w:cs="楷体_GB2312" w:hint="eastAsia"/>
          <w:bCs/>
          <w:sz w:val="32"/>
          <w:szCs w:val="32"/>
          <w:shd w:val="clear" w:color="auto" w:fill="FFFFFF"/>
        </w:rPr>
      </w:pPr>
    </w:p>
    <w:p>
      <w:pPr>
        <w:pStyle w:val="21"/>
        <w:widowControl/>
        <w:shd w:val="clear" w:color="auto" w:fill="FFFFFF"/>
        <w:adjustRightInd w:val="0"/>
        <w:snapToGrid w:val="0"/>
        <w:spacing w:beforeAutospacing="0" w:afterAutospacing="0" w:line="560" w:lineRule="exact"/>
        <w:ind w:firstLineChars="200" w:firstLine="624"/>
        <w:jc w:val="both"/>
        <w:rPr>
          <w:rFonts w:eastAsia="方正仿宋_GBK" w:hint="eastAsia"/>
          <w:bCs/>
          <w:spacing w:val="-4"/>
          <w:sz w:val="32"/>
          <w:szCs w:val="32"/>
          <w:shd w:val="clear" w:color="auto" w:fill="FFFFFF"/>
        </w:rPr>
      </w:pPr>
      <w:r>
        <w:rPr>
          <w:rFonts w:eastAsia="方正仿宋_GBK" w:hint="eastAsia"/>
          <w:bCs/>
          <w:spacing w:val="-4"/>
          <w:sz w:val="32"/>
          <w:szCs w:val="32"/>
          <w:shd w:val="clear" w:color="auto" w:fill="FFFFFF"/>
        </w:rPr>
        <w:t>本报告根据《中华人民共和国政府信息公开条例》《国务院办公厅政府信息与政务公开办公室关于政府信息公开工作年度报告有关事项的通知》等规定，梳理20</w:t>
      </w:r>
      <w:r>
        <w:rPr>
          <w:rFonts w:eastAsia="方正仿宋_GBK"/>
          <w:bCs/>
          <w:spacing w:val="-4"/>
          <w:sz w:val="32"/>
          <w:szCs w:val="32"/>
          <w:shd w:val="clear" w:color="auto" w:fill="FFFFFF"/>
        </w:rPr>
        <w:t>24</w:t>
      </w:r>
      <w:r>
        <w:rPr>
          <w:rFonts w:eastAsia="方正仿宋_GBK" w:hint="eastAsia"/>
          <w:bCs/>
          <w:spacing w:val="-4"/>
          <w:sz w:val="32"/>
          <w:szCs w:val="32"/>
          <w:shd w:val="clear" w:color="auto" w:fill="FFFFFF"/>
        </w:rPr>
        <w:t>年度汕头海关（本级</w:t>
      </w:r>
      <w:r>
        <w:rPr>
          <w:rFonts w:eastAsia="方正仿宋_GBK"/>
          <w:bCs/>
          <w:spacing w:val="-4"/>
          <w:sz w:val="32"/>
          <w:szCs w:val="32"/>
          <w:shd w:val="clear" w:color="auto" w:fill="FFFFFF"/>
        </w:rPr>
        <w:t>机关</w:t>
      </w:r>
      <w:r>
        <w:rPr>
          <w:rFonts w:eastAsia="方正仿宋_GBK" w:hint="eastAsia"/>
          <w:bCs/>
          <w:spacing w:val="-4"/>
          <w:sz w:val="32"/>
          <w:szCs w:val="32"/>
          <w:shd w:val="clear" w:color="auto" w:fill="FFFFFF"/>
        </w:rPr>
        <w:t>）政府信息公开工作情况编制而成。</w:t>
      </w:r>
      <w:r>
        <w:rPr>
          <w:rFonts w:eastAsia="方正仿宋_GBK"/>
          <w:bCs/>
          <w:spacing w:val="-4"/>
          <w:sz w:val="32"/>
          <w:szCs w:val="32"/>
          <w:shd w:val="clear" w:color="auto" w:fill="FFFFFF"/>
        </w:rPr>
        <w:t>报告中所有项目数据统计时间为202</w:t>
      </w:r>
      <w:r>
        <w:rPr>
          <w:rFonts w:eastAsia="方正仿宋_GBK"/>
          <w:bCs/>
          <w:spacing w:val="-4"/>
          <w:sz w:val="32"/>
          <w:szCs w:val="32"/>
          <w:shd w:val="clear" w:color="auto" w:fill="FFFFFF"/>
          <w:lang w:val="en-US" w:eastAsia="zh-CN"/>
        </w:rPr>
        <w:t>4</w:t>
      </w:r>
      <w:r>
        <w:rPr>
          <w:rFonts w:eastAsia="方正仿宋_GBK"/>
          <w:bCs/>
          <w:spacing w:val="-4"/>
          <w:sz w:val="32"/>
          <w:szCs w:val="32"/>
          <w:shd w:val="clear" w:color="auto" w:fill="FFFFFF"/>
        </w:rPr>
        <w:t>年1月1日至12月31日。本报告</w:t>
      </w:r>
      <w:r>
        <w:rPr>
          <w:rFonts w:ascii="方正仿宋_GBK" w:eastAsia="方正仿宋_GBK" w:cs="楷体_GB2312" w:hint="eastAsia"/>
          <w:bCs/>
          <w:spacing w:val="-4"/>
          <w:sz w:val="32"/>
          <w:szCs w:val="32"/>
          <w:shd w:val="clear" w:color="auto" w:fill="FFFFFF"/>
        </w:rPr>
        <w:t>的电子版可在“汕头海关门户网站”</w:t>
      </w:r>
      <w:r>
        <w:rPr>
          <w:rFonts w:eastAsia="方正仿宋_GBK"/>
          <w:bCs/>
          <w:spacing w:val="-4"/>
          <w:sz w:val="32"/>
          <w:szCs w:val="32"/>
          <w:shd w:val="clear" w:color="auto" w:fill="FFFFFF"/>
        </w:rPr>
        <w:t>（http://shantou.customs.gov.cn/）</w:t>
      </w:r>
      <w:r>
        <w:rPr>
          <w:rFonts w:ascii="方正仿宋_GBK" w:eastAsia="方正仿宋_GBK" w:cs="楷体_GB2312" w:hint="eastAsia"/>
          <w:bCs/>
          <w:spacing w:val="-4"/>
          <w:sz w:val="32"/>
          <w:szCs w:val="32"/>
          <w:shd w:val="clear" w:color="auto" w:fill="FFFFFF"/>
        </w:rPr>
        <w:t>下</w:t>
      </w:r>
      <w:r>
        <w:rPr>
          <w:rFonts w:eastAsia="方正仿宋_GBK"/>
          <w:bCs/>
          <w:spacing w:val="-4"/>
          <w:sz w:val="32"/>
          <w:szCs w:val="32"/>
          <w:shd w:val="clear" w:color="auto" w:fill="FFFFFF"/>
        </w:rPr>
        <w:t>载。如对本报告有任何疑问，请与</w:t>
      </w:r>
      <w:r>
        <w:rPr>
          <w:rFonts w:eastAsia="方正仿宋_GBK" w:hint="eastAsia"/>
          <w:bCs/>
          <w:spacing w:val="-4"/>
          <w:sz w:val="32"/>
          <w:szCs w:val="32"/>
          <w:shd w:val="clear" w:color="auto" w:fill="FFFFFF"/>
        </w:rPr>
        <w:t>汕头</w:t>
      </w:r>
      <w:r>
        <w:rPr>
          <w:rFonts w:eastAsia="方正仿宋_GBK"/>
          <w:bCs/>
          <w:spacing w:val="-4"/>
          <w:sz w:val="32"/>
          <w:szCs w:val="32"/>
          <w:shd w:val="clear" w:color="auto" w:fill="FFFFFF"/>
        </w:rPr>
        <w:t>海关办公室联系，电话：0754</w:t>
      </w:r>
      <w:r>
        <w:rPr>
          <w:rFonts w:eastAsia="方正仿宋_GBK" w:hint="eastAsia"/>
          <w:bCs/>
          <w:spacing w:val="-4"/>
          <w:sz w:val="32"/>
          <w:szCs w:val="32"/>
          <w:shd w:val="clear" w:color="auto" w:fill="FFFFFF"/>
        </w:rPr>
        <w:t>—</w:t>
      </w:r>
      <w:r>
        <w:rPr>
          <w:bCs/>
          <w:color w:val="000000"/>
          <w:sz w:val="32"/>
          <w:szCs w:val="32"/>
          <w:shd w:val="clear" w:color="auto" w:fill="FFFFFF"/>
        </w:rPr>
        <w:t>88198114</w:t>
      </w:r>
      <w:r>
        <w:rPr>
          <w:rFonts w:eastAsia="方正仿宋_GBK"/>
          <w:bCs/>
          <w:spacing w:val="-4"/>
          <w:sz w:val="32"/>
          <w:szCs w:val="32"/>
          <w:shd w:val="clear" w:color="auto" w:fill="FFFFFF"/>
        </w:rPr>
        <w:t>。</w:t>
      </w:r>
    </w:p>
    <w:p>
      <w:pPr>
        <w:pStyle w:val="24"/>
        <w:adjustRightInd w:val="0"/>
        <w:snapToGrid w:val="0"/>
        <w:ind w:firstLineChars="200" w:firstLine="624"/>
        <w:rPr>
          <w:bCs/>
          <w:color w:val="000000"/>
          <w:szCs w:val="32"/>
          <w:shd w:val="clear" w:color="auto" w:fill="FFFFFF"/>
        </w:rPr>
      </w:pPr>
      <w:r>
        <w:rPr>
          <w:rFonts w:ascii="方正黑体_GBK" w:eastAsia="方正黑体_GBK" w:cs="楷体_GB2312" w:hint="eastAsia"/>
          <w:bCs/>
          <w:szCs w:val="32"/>
          <w:shd w:val="clear" w:color="auto" w:fill="FFFFFF"/>
        </w:rPr>
        <w:t>一、总体情况</w:t>
      </w:r>
    </w:p>
    <w:p>
      <w:pPr>
        <w:pStyle w:val="24"/>
        <w:adjustRightInd w:val="0"/>
        <w:snapToGrid w:val="0"/>
        <w:ind w:firstLineChars="200" w:firstLine="624"/>
        <w:rPr>
          <w:bCs/>
          <w:color w:val="000000"/>
          <w:szCs w:val="32"/>
          <w:shd w:val="clear" w:color="auto" w:fill="FFFFFF"/>
        </w:rPr>
      </w:pPr>
      <w:r>
        <w:rPr>
          <w:bCs/>
          <w:color w:val="000000"/>
          <w:szCs w:val="32"/>
          <w:shd w:val="clear" w:color="auto" w:fill="FFFFFF"/>
        </w:rPr>
        <w:t>2024</w:t>
      </w:r>
      <w:r>
        <w:rPr>
          <w:rFonts w:hint="eastAsia"/>
          <w:bCs/>
          <w:color w:val="000000"/>
          <w:szCs w:val="32"/>
          <w:shd w:val="clear" w:color="auto" w:fill="FFFFFF"/>
        </w:rPr>
        <w:t>年，</w:t>
      </w:r>
      <w:r>
        <w:rPr>
          <w:rFonts w:hint="eastAsia"/>
          <w:bCs/>
          <w:color w:val="000000"/>
          <w:szCs w:val="32"/>
          <w:shd w:val="clear" w:color="auto" w:fill="FFFFFF"/>
          <w:lang w:eastAsia="zh-CN"/>
        </w:rPr>
        <w:t>汕头海关</w:t>
      </w:r>
      <w:r>
        <w:rPr>
          <w:bCs/>
          <w:color w:val="000000"/>
          <w:szCs w:val="32"/>
          <w:shd w:val="clear" w:color="auto" w:fill="FFFFFF"/>
          <w:lang w:eastAsia="zh-CN"/>
        </w:rPr>
        <w:t>本级</w:t>
      </w:r>
      <w:r>
        <w:rPr>
          <w:rFonts w:hint="eastAsia"/>
          <w:bCs/>
          <w:color w:val="000000"/>
          <w:szCs w:val="32"/>
          <w:shd w:val="clear" w:color="auto" w:fill="FFFFFF"/>
        </w:rPr>
        <w:t>围绕学习贯彻党的二十大和二十届二中、三中全会精神，坚决贯彻落实习近平总书记重要指示批示和给红其拉甫海关全体关员的重要回信精神，</w:t>
      </w:r>
      <w:r>
        <w:rPr>
          <w:rFonts w:hint="eastAsia"/>
          <w:bCs/>
          <w:color w:val="000000"/>
          <w:shd w:val="clear" w:color="auto" w:fill="FFFFFF"/>
        </w:rPr>
        <w:t>结合党中央、国务院关于做好新时代政务公开工作的有关精神，落实海关总署关于政务公开工作的具体要求，</w:t>
      </w:r>
      <w:r>
        <w:rPr>
          <w:rFonts w:ascii="方正仿宋_GBK" w:cs="方正楷体_GBK"/>
          <w:lang w:eastAsia="zh-CN"/>
        </w:rPr>
        <w:t>更好发挥汕头海关以政务公开促落实、强监管功能</w:t>
      </w:r>
      <w:r>
        <w:rPr>
          <w:rFonts w:hint="eastAsia"/>
          <w:bCs/>
          <w:color w:val="000000"/>
          <w:shd w:val="clear" w:color="auto" w:fill="FFFFFF"/>
        </w:rPr>
        <w:t>。</w:t>
      </w:r>
    </w:p>
    <w:p>
      <w:pPr>
        <w:pStyle w:val="25"/>
        <w:numPr>
          <w:ilvl w:val="0"/>
          <w:numId w:val="1"/>
        </w:numPr>
        <w:adjustRightInd w:val="0"/>
        <w:snapToGrid w:val="0"/>
        <w:ind w:left="0" w:firstLineChars="200" w:firstLine="624"/>
        <w:rPr>
          <w:rFonts w:hint="eastAsia"/>
        </w:rPr>
      </w:pPr>
      <w:r>
        <w:rPr>
          <w:rFonts w:ascii="方正楷体_GBK" w:eastAsia="方正楷体_GBK" w:hint="eastAsia"/>
          <w:lang w:eastAsia="zh-CN"/>
        </w:rPr>
        <w:t>主动公开</w:t>
      </w:r>
      <w:r>
        <w:rPr>
          <w:rFonts w:ascii="方正楷体_GBK" w:eastAsia="方正楷体_GBK"/>
          <w:lang w:eastAsia="zh-CN"/>
        </w:rPr>
        <w:t>方面</w:t>
      </w:r>
      <w:r>
        <w:rPr>
          <w:rFonts w:ascii="方正楷体_GBK" w:eastAsia="方正楷体_GBK" w:hint="eastAsia"/>
          <w:lang w:eastAsia="zh-CN"/>
        </w:rPr>
        <w:t>。</w:t>
      </w:r>
      <w:r>
        <w:rPr>
          <w:rFonts w:ascii="方正仿宋_GBK"/>
          <w:lang w:eastAsia="zh-CN"/>
        </w:rPr>
        <w:t>转变主动公开理念，推动主动公开从注重公开数量向注重公开质量转变</w:t>
      </w:r>
      <w:r>
        <w:rPr>
          <w:rFonts w:ascii="方正仿宋_GBK" w:hint="eastAsia"/>
          <w:lang w:eastAsia="zh-CN"/>
        </w:rPr>
        <w:t>，明确本关门户网站各栏目维护发布责任分工</w:t>
      </w:r>
      <w:r>
        <w:rPr>
          <w:rFonts w:ascii="方正仿宋_GBK"/>
          <w:lang w:eastAsia="zh-CN"/>
        </w:rPr>
        <w:t>，结合网站绩效评估指标，</w:t>
      </w:r>
      <w:r>
        <w:rPr>
          <w:rFonts w:ascii="方正仿宋_GBK" w:hint="eastAsia"/>
        </w:rPr>
        <w:t>按照“常态化日常管理+关键节点专项清理”工作机制，</w:t>
      </w:r>
      <w:r>
        <w:rPr>
          <w:rFonts w:ascii="方正仿宋_GBK" w:hint="eastAsia"/>
          <w:lang w:eastAsia="zh-CN"/>
        </w:rPr>
        <w:t>针对错情</w:t>
      </w:r>
      <w:r>
        <w:rPr>
          <w:rFonts w:ascii="方正仿宋_GBK"/>
          <w:lang w:eastAsia="zh-CN"/>
        </w:rPr>
        <w:t>、扣分项</w:t>
      </w:r>
      <w:r>
        <w:rPr>
          <w:rFonts w:ascii="方正仿宋_GBK" w:hint="eastAsia"/>
          <w:lang w:eastAsia="zh-CN"/>
        </w:rPr>
        <w:t>进行“点对点”工作提醒</w:t>
      </w:r>
      <w:r>
        <w:rPr>
          <w:rFonts w:ascii="方正仿宋_GBK"/>
          <w:lang w:eastAsia="zh-CN"/>
        </w:rPr>
        <w:t>，及时做好机构职能、政策法规、本关公告、办事指南等动态更新调整，确保相关信息依法主动公开到位</w:t>
      </w:r>
      <w:r>
        <w:rPr>
          <w:rFonts w:ascii="方正仿宋_GBK" w:hint="eastAsia"/>
          <w:lang w:eastAsia="zh-CN"/>
        </w:rPr>
        <w:t>。</w:t>
      </w:r>
    </w:p>
    <w:p>
      <w:pPr>
        <w:pStyle w:val="25"/>
        <w:adjustRightInd w:val="0"/>
        <w:snapToGrid w:val="0"/>
        <w:ind w:firstLineChars="200" w:firstLine="624"/>
        <w:rPr>
          <w:rFonts w:hint="eastAsia"/>
        </w:rPr>
      </w:pPr>
      <w:r>
        <w:rPr>
          <w:rFonts w:ascii="方正楷体_GBK" w:eastAsia="方正楷体_GBK" w:hint="eastAsia"/>
        </w:rPr>
        <w:t>（二）依申请公开</w:t>
      </w:r>
      <w:r>
        <w:rPr>
          <w:rFonts w:ascii="方正楷体_GBK" w:eastAsia="方正楷体_GBK"/>
        </w:rPr>
        <w:t>方面</w:t>
      </w:r>
      <w:r>
        <w:rPr>
          <w:rFonts w:ascii="方正楷体_GBK" w:eastAsia="方正楷体_GBK" w:hint="eastAsia"/>
          <w:lang w:eastAsia="zh-CN"/>
        </w:rPr>
        <w:t>。</w:t>
      </w:r>
      <w:r>
        <w:rPr>
          <w:rFonts w:hint="eastAsia"/>
          <w:lang w:eastAsia="zh-CN"/>
        </w:rPr>
        <w:t>依法依规做好政府信息依申请公开工作，进一步规范依申请公开办理程序，强化部门协调联动，加强与申请人的沟</w:t>
      </w:r>
      <w:r>
        <w:rPr>
          <w:lang w:eastAsia="zh-CN"/>
        </w:rPr>
        <w:t>通</w:t>
      </w:r>
      <w:r>
        <w:rPr>
          <w:rFonts w:hint="eastAsia"/>
          <w:lang w:eastAsia="zh-CN"/>
        </w:rPr>
        <w:t>联系，提升答复质效，2024年以来</w:t>
      </w:r>
      <w:r>
        <w:rPr>
          <w:lang w:eastAsia="zh-CN"/>
        </w:rPr>
        <w:t>汕头海关本级</w:t>
      </w:r>
      <w:r>
        <w:rPr>
          <w:rFonts w:hint="eastAsia"/>
          <w:lang w:eastAsia="zh-CN"/>
        </w:rPr>
        <w:t>共妥善办结依申请公开5件。</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firstLineChars="200" w:firstLine="640"/>
        <w:textAlignment w:val="auto"/>
        <w:rPr>
          <w:rFonts w:ascii="Times New Roman" w:eastAsia="方正仿宋_GBK" w:cs="Times New Roman" w:hAnsi="Times New Roman" w:hint="eastAsia"/>
          <w:spacing w:val="-4"/>
          <w:kern w:val="2"/>
          <w:sz w:val="32"/>
          <w:szCs w:val="22"/>
          <w:lang w:val="en-US" w:eastAsia="zh-CN" w:bidi="ar-SA"/>
        </w:rPr>
      </w:pPr>
      <w:r>
        <w:rPr>
          <w:rFonts w:ascii="方正楷体_GBK" w:eastAsia="方正楷体_GBK" w:cs="方正楷体_GBK" w:hint="eastAsia"/>
          <w:lang w:eastAsia="zh-CN"/>
        </w:rPr>
        <w:t>（三）政府信息管理</w:t>
      </w:r>
      <w:r>
        <w:rPr>
          <w:rFonts w:ascii="方正楷体_GBK" w:eastAsia="方正楷体_GBK" w:cs="方正楷体_GBK"/>
          <w:lang w:eastAsia="zh-CN"/>
        </w:rPr>
        <w:t>方面</w:t>
      </w:r>
      <w:r>
        <w:rPr>
          <w:rFonts w:ascii="方正楷体_GBK" w:eastAsia="方正楷体_GBK" w:cs="方正楷体_GBK" w:hint="eastAsia"/>
          <w:lang w:eastAsia="zh-CN"/>
        </w:rPr>
        <w:t>。</w:t>
      </w:r>
      <w:r>
        <w:rPr>
          <w:rFonts w:ascii="方正仿宋_GBK" w:cs="方正楷体_GBK" w:hint="eastAsia"/>
          <w:lang w:eastAsia="zh-CN"/>
        </w:rPr>
        <w:t>提升政府信息管理规范化，落实压实各部门单位信息发布主体责任，</w:t>
      </w:r>
      <w:r>
        <w:rPr>
          <w:rFonts w:hint="eastAsia"/>
          <w:spacing w:val="-4"/>
        </w:rPr>
        <w:t>严格</w:t>
      </w:r>
      <w:r>
        <w:rPr>
          <w:spacing w:val="-4"/>
        </w:rPr>
        <w:t>执行政府信息公开审查制度，</w:t>
      </w:r>
      <w:r>
        <w:rPr>
          <w:rFonts w:cs="Times New Roman"/>
          <w:spacing w:val="-4"/>
          <w:kern w:val="2"/>
          <w:sz w:val="32"/>
          <w:szCs w:val="22"/>
          <w:lang w:val="en-US" w:eastAsia="zh-CN" w:bidi="ar-SA"/>
        </w:rPr>
        <w:t>进一步健全完善公文公开属性认定和发布审查流程，明确审查责任</w:t>
      </w:r>
      <w:r>
        <w:rPr>
          <w:rFonts w:cs="Times New Roman" w:hint="eastAsia"/>
          <w:spacing w:val="-4"/>
          <w:kern w:val="2"/>
          <w:sz w:val="32"/>
          <w:szCs w:val="22"/>
          <w:lang w:val="en-US" w:eastAsia="zh-CN" w:bidi="ar-SA"/>
        </w:rPr>
        <w:t>，</w:t>
      </w:r>
      <w:r>
        <w:rPr>
          <w:rFonts w:cs="Times New Roman"/>
          <w:spacing w:val="-4"/>
          <w:kern w:val="2"/>
          <w:sz w:val="32"/>
          <w:szCs w:val="22"/>
          <w:lang w:val="en-US" w:eastAsia="zh-CN" w:bidi="ar-SA"/>
        </w:rPr>
        <w:t>专人专责，</w:t>
      </w:r>
      <w:r>
        <w:rPr>
          <w:rFonts w:ascii="Times New Roman" w:eastAsia="方正仿宋_GBK" w:cs="Times New Roman" w:hAnsi="Times New Roman" w:hint="eastAsia"/>
          <w:spacing w:val="-4"/>
          <w:kern w:val="2"/>
          <w:sz w:val="32"/>
          <w:szCs w:val="22"/>
          <w:lang w:val="en-US" w:eastAsia="zh-CN" w:bidi="ar-SA"/>
        </w:rPr>
        <w:t>落实对政府信息</w:t>
      </w:r>
      <w:r>
        <w:rPr>
          <w:rFonts w:ascii="Times New Roman" w:eastAsia="方正仿宋_GBK" w:cs="Times New Roman" w:hAnsi="Times New Roman"/>
          <w:spacing w:val="-4"/>
          <w:kern w:val="2"/>
          <w:sz w:val="32"/>
          <w:szCs w:val="22"/>
          <w:lang w:val="en-US" w:eastAsia="zh-CN" w:bidi="ar-SA"/>
        </w:rPr>
        <w:t>公开情况</w:t>
      </w:r>
      <w:r>
        <w:rPr>
          <w:rFonts w:ascii="Times New Roman" w:eastAsia="方正仿宋_GBK" w:cs="Times New Roman" w:hAnsi="Times New Roman" w:hint="eastAsia"/>
          <w:spacing w:val="-4"/>
          <w:kern w:val="2"/>
          <w:sz w:val="32"/>
          <w:szCs w:val="22"/>
          <w:lang w:val="en-US" w:eastAsia="zh-CN" w:bidi="ar-SA"/>
        </w:rPr>
        <w:t>的日常管理与审查</w:t>
      </w:r>
      <w:r>
        <w:rPr>
          <w:rFonts w:ascii="Times New Roman" w:eastAsia="方正仿宋_GBK" w:cs="Times New Roman" w:hAnsi="Times New Roman"/>
          <w:spacing w:val="-4"/>
          <w:kern w:val="2"/>
          <w:sz w:val="32"/>
          <w:szCs w:val="22"/>
          <w:lang w:val="en-US" w:eastAsia="zh-CN" w:bidi="ar-SA"/>
        </w:rPr>
        <w:t>，强化政务公开全生命周期安全保密管理</w:t>
      </w:r>
      <w:r>
        <w:rPr>
          <w:rFonts w:ascii="Times New Roman" w:eastAsia="方正仿宋_GBK" w:cs="Times New Roman" w:hAnsi="Times New Roman" w:hint="eastAsia"/>
          <w:spacing w:val="-4"/>
          <w:kern w:val="2"/>
          <w:sz w:val="32"/>
          <w:szCs w:val="22"/>
          <w:lang w:val="en-US" w:eastAsia="zh-CN" w:bidi="ar-SA"/>
        </w:rPr>
        <w:t>。</w:t>
      </w:r>
    </w:p>
    <w:p>
      <w:pPr>
        <w:pStyle w:val="56"/>
        <w:adjustRightInd w:val="0"/>
        <w:snapToGrid w:val="0"/>
        <w:ind w:firstLineChars="200" w:firstLine="624"/>
        <w:rPr>
          <w:rFonts w:hint="eastAsia"/>
        </w:rPr>
      </w:pPr>
      <w:r>
        <w:rPr>
          <w:rFonts w:ascii="方正楷体_GBK" w:eastAsia="方正楷体_GBK" w:hint="eastAsia"/>
        </w:rPr>
        <w:t>（</w:t>
      </w:r>
      <w:r>
        <w:rPr>
          <w:rFonts w:ascii="方正楷体_GBK" w:eastAsia="方正楷体_GBK" w:hint="eastAsia"/>
          <w:lang w:eastAsia="zh-CN"/>
        </w:rPr>
        <w:t>四</w:t>
      </w:r>
      <w:r>
        <w:rPr>
          <w:rFonts w:ascii="方正楷体_GBK" w:eastAsia="方正楷体_GBK" w:hint="eastAsia"/>
        </w:rPr>
        <w:t>）</w:t>
      </w:r>
      <w:r>
        <w:rPr>
          <w:rFonts w:ascii="方正楷体_GBK" w:eastAsia="方正楷体_GBK"/>
        </w:rPr>
        <w:t>政府信息公开平台建设方面</w:t>
      </w:r>
      <w:r>
        <w:rPr>
          <w:rFonts w:ascii="方正仿宋_GBK"/>
        </w:rPr>
        <w:t>。加强汕头海关门户网站建设</w:t>
      </w:r>
      <w:r>
        <w:rPr>
          <w:rFonts w:ascii="方正仿宋_GBK" w:hint="eastAsia"/>
        </w:rPr>
        <w:t>，</w:t>
      </w:r>
      <w:r>
        <w:t>2024</w:t>
      </w:r>
      <w:r>
        <w:rPr>
          <w:rFonts w:ascii="方正仿宋_GBK"/>
        </w:rPr>
        <w:t>年我关</w:t>
      </w:r>
      <w:r>
        <w:rPr>
          <w:rFonts w:ascii="方正仿宋_GBK" w:hint="eastAsia"/>
        </w:rPr>
        <w:t>门户网站新增“数说海关”的统计数据展示功能及专题专栏</w:t>
      </w:r>
      <w:r>
        <w:t>2个（AEO国</w:t>
      </w:r>
      <w:r>
        <w:rPr>
          <w:rFonts w:ascii="方正仿宋_GBK" w:hint="eastAsia"/>
        </w:rPr>
        <w:t>际互认合作、加工贸易专题）</w:t>
      </w:r>
      <w:r>
        <w:rPr>
          <w:rFonts w:ascii="方正仿宋_GBK"/>
        </w:rPr>
        <w:t>，</w:t>
      </w:r>
      <w:r>
        <w:rPr>
          <w:rFonts w:ascii="方正仿宋_GBK" w:hint="eastAsia"/>
        </w:rPr>
        <w:t>不断提升网上履职能力和服务水平。</w:t>
      </w:r>
      <w:r>
        <w:rPr>
          <w:rFonts w:cs="Times New Roman" w:hint="eastAsia"/>
          <w:bCs/>
          <w:color w:val="000000"/>
          <w:spacing w:val="-4"/>
          <w:kern w:val="2"/>
          <w:sz w:val="32"/>
          <w:szCs w:val="22"/>
          <w:shd w:val="clear" w:color="auto" w:fill="FFFFFF"/>
          <w:lang w:val="en-US" w:eastAsia="zh-CN" w:bidi="ar-SA"/>
        </w:rPr>
        <w:t>管好用好关长信箱、信访留言、业务咨询</w:t>
      </w:r>
      <w:r>
        <w:rPr>
          <w:rFonts w:cs="Times New Roman"/>
          <w:bCs/>
          <w:color w:val="000000"/>
          <w:spacing w:val="-4"/>
          <w:kern w:val="2"/>
          <w:sz w:val="32"/>
          <w:szCs w:val="22"/>
          <w:shd w:val="clear" w:color="auto" w:fill="FFFFFF"/>
          <w:lang w:val="en-US" w:eastAsia="zh-CN" w:bidi="ar-SA"/>
        </w:rPr>
        <w:t>、12360海关服务热线</w:t>
      </w:r>
      <w:r>
        <w:rPr>
          <w:rFonts w:cs="Times New Roman" w:hint="eastAsia"/>
          <w:bCs/>
          <w:color w:val="000000"/>
          <w:spacing w:val="-4"/>
          <w:kern w:val="2"/>
          <w:sz w:val="32"/>
          <w:szCs w:val="22"/>
          <w:shd w:val="clear" w:color="auto" w:fill="FFFFFF"/>
          <w:lang w:val="en-US" w:eastAsia="zh-CN" w:bidi="ar-SA"/>
        </w:rPr>
        <w:t>等互动</w:t>
      </w:r>
      <w:r>
        <w:rPr>
          <w:rFonts w:cs="Times New Roman"/>
          <w:bCs/>
          <w:color w:val="000000"/>
          <w:spacing w:val="-4"/>
          <w:kern w:val="2"/>
          <w:sz w:val="32"/>
          <w:szCs w:val="22"/>
          <w:shd w:val="clear" w:color="auto" w:fill="FFFFFF"/>
          <w:lang w:val="en-US" w:eastAsia="zh-CN" w:bidi="ar-SA"/>
        </w:rPr>
        <w:t>平台</w:t>
      </w:r>
      <w:r>
        <w:rPr>
          <w:rFonts w:eastAsia="方正仿宋_GBK" w:hint="eastAsia"/>
          <w:kern w:val="2"/>
          <w:sz w:val="32"/>
          <w:szCs w:val="32"/>
          <w:lang w:eastAsia="zh-CN"/>
        </w:rPr>
        <w:t>，</w:t>
      </w:r>
      <w:r>
        <w:rPr>
          <w:rFonts w:cs="Times New Roman"/>
          <w:bCs/>
          <w:color w:val="000000"/>
          <w:spacing w:val="-4"/>
          <w:kern w:val="2"/>
          <w:sz w:val="32"/>
          <w:szCs w:val="22"/>
          <w:shd w:val="clear" w:color="auto" w:fill="FFFFFF"/>
          <w:lang w:val="en-US" w:eastAsia="zh-CN" w:bidi="ar-SA"/>
        </w:rPr>
        <w:t>2024年</w:t>
      </w:r>
      <w:r>
        <w:rPr>
          <w:rFonts w:cs="Times New Roman" w:hint="eastAsia"/>
          <w:bCs/>
          <w:color w:val="000000"/>
          <w:spacing w:val="-4"/>
          <w:kern w:val="2"/>
          <w:sz w:val="32"/>
          <w:szCs w:val="22"/>
          <w:shd w:val="clear" w:color="auto" w:fill="FFFFFF"/>
          <w:lang w:val="en-US" w:eastAsia="zh-CN" w:bidi="ar-SA"/>
        </w:rPr>
        <w:t>以来妥善处理关长信箱</w:t>
      </w:r>
      <w:r>
        <w:rPr>
          <w:rFonts w:cs="Times New Roman"/>
          <w:bCs/>
          <w:color w:val="000000"/>
          <w:spacing w:val="-4"/>
          <w:kern w:val="2"/>
          <w:sz w:val="32"/>
          <w:szCs w:val="22"/>
          <w:shd w:val="clear" w:color="auto" w:fill="FFFFFF"/>
          <w:lang w:val="en-US" w:eastAsia="zh-CN" w:bidi="ar-SA"/>
        </w:rPr>
        <w:t>4</w:t>
      </w:r>
      <w:r>
        <w:rPr>
          <w:rFonts w:cs="Times New Roman" w:hint="eastAsia"/>
          <w:bCs/>
          <w:color w:val="000000"/>
          <w:spacing w:val="-4"/>
          <w:kern w:val="2"/>
          <w:sz w:val="32"/>
          <w:szCs w:val="22"/>
          <w:shd w:val="clear" w:color="auto" w:fill="FFFFFF"/>
          <w:lang w:val="en-US" w:eastAsia="zh-CN" w:bidi="ar-SA"/>
        </w:rPr>
        <w:t>封、信访事项</w:t>
      </w:r>
      <w:r>
        <w:rPr>
          <w:rFonts w:cs="Times New Roman"/>
          <w:bCs/>
          <w:color w:val="000000"/>
          <w:spacing w:val="-4"/>
          <w:kern w:val="2"/>
          <w:sz w:val="32"/>
          <w:szCs w:val="22"/>
          <w:shd w:val="clear" w:color="auto" w:fill="FFFFFF"/>
          <w:lang w:val="en-US" w:eastAsia="zh-CN" w:bidi="ar-SA"/>
        </w:rPr>
        <w:t>21</w:t>
      </w:r>
      <w:r>
        <w:rPr>
          <w:rFonts w:cs="Times New Roman" w:hint="eastAsia"/>
          <w:bCs/>
          <w:color w:val="000000"/>
          <w:spacing w:val="-4"/>
          <w:kern w:val="2"/>
          <w:sz w:val="32"/>
          <w:szCs w:val="22"/>
          <w:shd w:val="clear" w:color="auto" w:fill="FFFFFF"/>
          <w:lang w:val="en-US" w:eastAsia="zh-CN" w:bidi="ar-SA"/>
        </w:rPr>
        <w:t>件、门户网站业务咨询</w:t>
      </w:r>
      <w:r>
        <w:rPr>
          <w:rFonts w:cs="Times New Roman"/>
          <w:bCs/>
          <w:color w:val="000000"/>
          <w:spacing w:val="-4"/>
          <w:kern w:val="2"/>
          <w:sz w:val="32"/>
          <w:szCs w:val="22"/>
          <w:shd w:val="clear" w:color="auto" w:fill="FFFFFF"/>
          <w:lang w:val="en-US" w:eastAsia="zh-CN" w:bidi="ar-SA"/>
        </w:rPr>
        <w:t>52</w:t>
      </w:r>
      <w:r>
        <w:rPr>
          <w:rFonts w:cs="Times New Roman" w:hint="eastAsia"/>
          <w:bCs/>
          <w:color w:val="000000"/>
          <w:spacing w:val="-4"/>
          <w:kern w:val="2"/>
          <w:sz w:val="32"/>
          <w:szCs w:val="22"/>
          <w:shd w:val="clear" w:color="auto" w:fill="FFFFFF"/>
          <w:lang w:val="en-US" w:eastAsia="zh-CN" w:bidi="ar-SA"/>
        </w:rPr>
        <w:t>个</w:t>
      </w:r>
      <w:r>
        <w:rPr>
          <w:rFonts w:cs="Times New Roman"/>
          <w:bCs/>
          <w:color w:val="000000"/>
          <w:spacing w:val="-4"/>
          <w:kern w:val="2"/>
          <w:sz w:val="32"/>
          <w:szCs w:val="22"/>
          <w:shd w:val="clear" w:color="auto" w:fill="FFFFFF"/>
          <w:lang w:val="en-US" w:eastAsia="zh-CN" w:bidi="ar-SA"/>
        </w:rPr>
        <w:t>（业务咨询均能保持在1个工作日内答复），</w:t>
      </w:r>
      <w:r>
        <w:rPr>
          <w:rFonts w:hint="eastAsia"/>
          <w:szCs w:val="20"/>
          <w:lang w:val="en-US" w:eastAsia="zh-CN"/>
        </w:rPr>
        <w:t>12360</w:t>
      </w:r>
      <w:r>
        <w:rPr>
          <w:rFonts w:hint="eastAsia"/>
          <w:szCs w:val="20"/>
        </w:rPr>
        <w:t>热线</w:t>
      </w:r>
      <w:r>
        <w:rPr>
          <w:szCs w:val="20"/>
        </w:rPr>
        <w:t>共</w:t>
      </w:r>
      <w:r>
        <w:rPr>
          <w:rFonts w:hint="eastAsia"/>
          <w:szCs w:val="20"/>
        </w:rPr>
        <w:t>受理电话咨询</w:t>
      </w:r>
      <w:r>
        <w:rPr>
          <w:szCs w:val="20"/>
          <w:lang w:val="en-US" w:eastAsia="zh-CN"/>
        </w:rPr>
        <w:t>2832</w:t>
      </w:r>
      <w:r>
        <w:rPr>
          <w:rFonts w:hint="eastAsia"/>
          <w:szCs w:val="20"/>
        </w:rPr>
        <w:t>次，</w:t>
      </w:r>
      <w:r>
        <w:rPr>
          <w:rFonts w:ascii="方正仿宋_GBK" w:eastAsia="方正仿宋_GBK" w:hint="eastAsia"/>
          <w:b w:val="0"/>
          <w:bCs w:val="0"/>
          <w:i w:val="0"/>
          <w:iCs w:val="0"/>
          <w:caps w:val="0"/>
          <w:smallCaps w:val="0"/>
          <w:color w:val="auto"/>
          <w:spacing w:val="0"/>
          <w:sz w:val="32"/>
          <w:szCs w:val="32"/>
          <w:vertAlign w:val="baseline"/>
        </w:rPr>
        <w:t>热线接通率为</w:t>
      </w:r>
      <w:r>
        <w:rPr>
          <w:rFonts w:ascii="Times New Roman" w:hAnsi="Times New Roman"/>
          <w:b w:val="0"/>
          <w:bCs w:val="0"/>
          <w:i w:val="0"/>
          <w:iCs w:val="0"/>
          <w:caps w:val="0"/>
          <w:smallCaps w:val="0"/>
          <w:color w:val="auto"/>
          <w:spacing w:val="0"/>
          <w:sz w:val="32"/>
          <w:szCs w:val="32"/>
          <w:vertAlign w:val="baseline"/>
        </w:rPr>
        <w:t>99.7%</w:t>
      </w:r>
      <w:r>
        <w:rPr>
          <w:rFonts w:ascii="方正仿宋_GBK" w:eastAsia="方正仿宋_GBK"/>
          <w:b w:val="0"/>
          <w:bCs w:val="0"/>
          <w:i w:val="0"/>
          <w:iCs w:val="0"/>
          <w:caps w:val="0"/>
          <w:smallCaps w:val="0"/>
          <w:color w:val="auto"/>
          <w:spacing w:val="0"/>
          <w:sz w:val="32"/>
          <w:szCs w:val="32"/>
          <w:vertAlign w:val="baseline"/>
        </w:rPr>
        <w:t>，</w:t>
      </w:r>
      <w:r>
        <w:rPr>
          <w:rFonts w:ascii="方正仿宋_GBK" w:eastAsia="方正仿宋_GBK" w:hint="eastAsia"/>
          <w:b w:val="0"/>
          <w:bCs w:val="0"/>
          <w:i w:val="0"/>
          <w:iCs w:val="0"/>
          <w:caps w:val="0"/>
          <w:smallCaps w:val="0"/>
          <w:color w:val="auto"/>
          <w:spacing w:val="0"/>
          <w:sz w:val="32"/>
          <w:szCs w:val="32"/>
          <w:vertAlign w:val="baseline"/>
        </w:rPr>
        <w:t>前台直接答复率</w:t>
      </w:r>
      <w:r>
        <w:rPr>
          <w:rFonts w:ascii="Times New Roman" w:hAnsi="Times New Roman"/>
          <w:b w:val="0"/>
          <w:bCs w:val="0"/>
          <w:i w:val="0"/>
          <w:iCs w:val="0"/>
          <w:caps w:val="0"/>
          <w:smallCaps w:val="0"/>
          <w:color w:val="auto"/>
          <w:spacing w:val="0"/>
          <w:sz w:val="32"/>
          <w:szCs w:val="32"/>
          <w:vertAlign w:val="baseline"/>
        </w:rPr>
        <w:t>99.3%</w:t>
      </w:r>
      <w:r>
        <w:rPr>
          <w:rFonts w:hint="eastAsia"/>
          <w:szCs w:val="20"/>
        </w:rPr>
        <w:t>。</w:t>
      </w:r>
    </w:p>
    <w:p>
      <w:pPr>
        <w:pStyle w:val="25"/>
        <w:adjustRightInd w:val="0"/>
        <w:snapToGrid w:val="0"/>
        <w:ind w:firstLineChars="200" w:firstLine="624"/>
        <w:rPr>
          <w:lang w:val="en-US" w:eastAsia="zh-CN"/>
        </w:rPr>
      </w:pPr>
      <w:r>
        <w:rPr>
          <w:rFonts w:ascii="方正楷体_GBK" w:eastAsia="方正楷体_GBK" w:hint="eastAsia"/>
        </w:rPr>
        <w:t>（</w:t>
      </w:r>
      <w:r>
        <w:rPr>
          <w:rFonts w:ascii="方正楷体_GBK" w:eastAsia="方正楷体_GBK"/>
          <w:lang w:eastAsia="zh-CN"/>
        </w:rPr>
        <w:t>六</w:t>
      </w:r>
      <w:r>
        <w:rPr>
          <w:rFonts w:ascii="方正楷体_GBK" w:eastAsia="方正楷体_GBK" w:hint="eastAsia"/>
        </w:rPr>
        <w:t>）监督保障方面</w:t>
      </w:r>
      <w:r>
        <w:rPr>
          <w:rFonts w:ascii="方正楷体_GBK" w:eastAsia="方正楷体_GBK" w:hint="eastAsia"/>
          <w:lang w:eastAsia="zh-CN"/>
        </w:rPr>
        <w:t>。</w:t>
      </w:r>
      <w:r>
        <w:rPr>
          <w:rFonts w:ascii="方正仿宋_GBK" w:hint="eastAsia"/>
          <w:lang w:eastAsia="zh-CN"/>
        </w:rPr>
        <w:t>继续将政务公开工作纳入年度考核，加强对各部门单位政府信息公开工作的指导监督，</w:t>
      </w:r>
      <w:r>
        <w:rPr>
          <w:rFonts w:hint="eastAsia"/>
          <w:szCs w:val="32"/>
        </w:rPr>
        <w:t>紧盯干部交流、职责调整等关键节点，严控风险隐患</w:t>
      </w:r>
      <w:r>
        <w:rPr>
          <w:szCs w:val="32"/>
        </w:rPr>
        <w:t>，</w:t>
      </w:r>
      <w:r>
        <w:rPr>
          <w:rFonts w:ascii="方正仿宋_GBK" w:eastAsia="方正仿宋_GBK" w:cs="方正仿宋_GBK"/>
          <w:lang w:eastAsia="zh-CN"/>
        </w:rPr>
        <w:t>确保网站栏目安全运行。</w:t>
      </w:r>
      <w:r>
        <w:rPr>
          <w:rFonts w:hint="eastAsia"/>
          <w:lang w:val="en-US" w:eastAsia="zh-CN"/>
        </w:rPr>
        <w:t>通过汕头海关门户网站“交流互动”栏目发布汕头海关基层政务公开工作情况、信访工作、12360服务热线等调查问卷</w:t>
      </w:r>
      <w:r>
        <w:rPr>
          <w:lang w:val="en-US" w:eastAsia="zh-CN"/>
        </w:rPr>
        <w:t>6</w:t>
      </w:r>
      <w:r>
        <w:rPr>
          <w:rFonts w:hint="eastAsia"/>
          <w:lang w:val="en-US" w:eastAsia="zh-CN"/>
        </w:rPr>
        <w:t>期，收集公众意见建议，接受社会监督。</w:t>
      </w:r>
    </w:p>
    <w:p>
      <w:pPr>
        <w:pStyle w:val="25"/>
        <w:adjustRightInd w:val="0"/>
        <w:snapToGrid w:val="0"/>
        <w:spacing w:beforeLines="50" w:before="218" w:afterLines="50" w:after="218"/>
        <w:ind w:firstLineChars="200" w:firstLine="624"/>
        <w:rPr>
          <w:rFonts w:ascii="方正黑体_GBK" w:eastAsia="方正黑体_GBK" w:cs="楷体_GB2312" w:hint="eastAsia"/>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第二十条第（一）项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cBorders>
            <w:shd w:val="clear" w:color="auto" w:fill="auto"/>
            <w:noWrap/>
            <w:vAlign w:val="center"/>
          </w:tcPr>
          <w:p>
            <w:pPr>
              <w:pStyle w:val="30"/>
              <w:widowControl/>
              <w:jc w:val="center"/>
              <w:rPr>
                <w:sz w:val="24"/>
                <w:szCs w:val="24"/>
              </w:rPr>
            </w:pPr>
            <w:r>
              <w:rPr>
                <w:rFonts w:ascii="宋体" w:cs="宋体" w:hint="eastAsia"/>
                <w:kern w:val="0"/>
                <w:sz w:val="24"/>
                <w:szCs w:val="24"/>
              </w:rPr>
              <w:t>现行有效件数</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val="en-US" w:eastAsia="zh-CN"/>
              </w:rPr>
            </w:pPr>
            <w:r>
              <w:rPr>
                <w:rFonts w:eastAsia="方正仿宋_GBK"/>
                <w:sz w:val="24"/>
                <w:szCs w:val="24"/>
                <w:lang w:val="en-US" w:eastAsia="zh-CN"/>
              </w:rPr>
              <w:t>0</w:t>
            </w:r>
          </w:p>
        </w:tc>
        <w:tc>
          <w:tcPr>
            <w:tcW w:w="193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val="en-US" w:eastAsia="zh-CN"/>
              </w:rPr>
            </w:pPr>
            <w:r>
              <w:rPr>
                <w:rFonts w:eastAsia="方正仿宋_GBK" w:hint="eastAsia"/>
                <w:sz w:val="24"/>
                <w:szCs w:val="24"/>
                <w:lang w:val="en-US" w:eastAsia="zh-CN"/>
              </w:rPr>
              <w:t>0</w:t>
            </w:r>
          </w:p>
        </w:tc>
        <w:tc>
          <w:tcPr>
            <w:tcW w:w="2156"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sz w:val="24"/>
                <w:szCs w:val="24"/>
                <w:lang w:val="en-US" w:eastAsia="zh-CN"/>
              </w:rPr>
            </w:pPr>
            <w:r>
              <w:rPr>
                <w:rFonts w:eastAsia="方正仿宋_GBK"/>
                <w:sz w:val="24"/>
                <w:szCs w:val="24"/>
                <w:lang w:val="en-US" w:eastAsia="zh-CN"/>
              </w:rPr>
              <w:t>5</w:t>
            </w:r>
          </w:p>
        </w:tc>
      </w:tr>
      <w:tr>
        <w:trPr>
          <w:trHeight w:val="435"/>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第二十条第（五）项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1"/>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2"/>
              <w:jc w:val="center"/>
              <w:rPr>
                <w:rFonts w:eastAsia="方正仿宋_GBK" w:cs="宋体"/>
                <w:sz w:val="24"/>
                <w:szCs w:val="24"/>
                <w:lang w:val="en-US" w:eastAsia="zh-CN"/>
              </w:rPr>
            </w:pPr>
            <w:r>
              <w:rPr>
                <w:rFonts w:eastAsia="方正仿宋_GBK" w:cs="宋体"/>
                <w:sz w:val="24"/>
                <w:szCs w:val="24"/>
                <w:lang w:val="en-US" w:eastAsia="zh-CN"/>
              </w:rPr>
              <w:t>286</w:t>
            </w:r>
          </w:p>
        </w:tc>
      </w:tr>
      <w:tr>
        <w:trPr>
          <w:trHeight w:val="406"/>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第二十条第（六）项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3"/>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cs="宋体"/>
                <w:sz w:val="24"/>
                <w:szCs w:val="24"/>
                <w:lang w:val="en-US" w:eastAsia="zh-CN"/>
              </w:rPr>
            </w:pPr>
            <w:r>
              <w:rPr>
                <w:rFonts w:eastAsia="方正仿宋_GBK" w:cs="宋体"/>
                <w:sz w:val="24"/>
                <w:szCs w:val="24"/>
                <w:lang w:val="en-US" w:eastAsia="zh-CN"/>
              </w:rPr>
              <w:t>39</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4"/>
              <w:jc w:val="center"/>
              <w:rPr>
                <w:rFonts w:eastAsia="方正仿宋_GBK" w:cs="宋体"/>
                <w:sz w:val="24"/>
                <w:szCs w:val="24"/>
                <w:lang w:val="en-US" w:eastAsia="zh-CN"/>
              </w:rPr>
            </w:pPr>
            <w:r>
              <w:rPr>
                <w:rFonts w:eastAsia="方正仿宋_GBK" w:cs="宋体"/>
                <w:sz w:val="24"/>
                <w:szCs w:val="24"/>
                <w:lang w:val="en-US" w:eastAsia="zh-CN"/>
              </w:rPr>
              <w:t>12</w:t>
            </w:r>
          </w:p>
        </w:tc>
      </w:tr>
      <w:tr>
        <w:trPr>
          <w:trHeight w:val="474"/>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第二十条第（八）项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noWrap/>
            <w:tcMar>
              <w:left w:w="108" w:type="dxa"/>
              <w:right w:w="108" w:type="dxa"/>
            </w:tcMar>
            <w:vAlign w:val="center"/>
          </w:tcPr>
          <w:p>
            <w:pPr>
              <w:pStyle w:val="35"/>
              <w:widowControl/>
              <w:adjustRightInd w:val="0"/>
              <w:snapToGrid w:val="0"/>
              <w:spacing w:line="260" w:lineRule="exact"/>
              <w:jc w:val="center"/>
              <w:rPr>
                <w:sz w:val="24"/>
                <w:szCs w:val="24"/>
              </w:rPr>
            </w:pPr>
            <w:r>
              <w:rPr>
                <w:rFonts w:ascii="宋体" w:cs="宋体" w:hint="eastAsia"/>
                <w:kern w:val="0"/>
                <w:sz w:val="24"/>
                <w:szCs w:val="24"/>
              </w:rPr>
              <w:t>本年收费金额（单位：万元）</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noWrap/>
            <w:tcMar>
              <w:left w:w="108" w:type="dxa"/>
              <w:right w:w="108" w:type="dxa"/>
            </w:tcMar>
            <w:vAlign w:val="center"/>
          </w:tcPr>
          <w:p>
            <w:pPr>
              <w:pStyle w:val="30"/>
              <w:jc w:val="center"/>
              <w:rPr>
                <w:rFonts w:eastAsia="方正仿宋_GBK" w:cs="宋体" w:hint="eastAsia"/>
                <w:sz w:val="24"/>
                <w:szCs w:val="24"/>
                <w:lang w:val="en-US" w:eastAsia="zh-CN"/>
              </w:rPr>
            </w:pPr>
            <w:r>
              <w:rPr>
                <w:rFonts w:eastAsia="方正仿宋_GBK" w:cs="宋体" w:hint="eastAsia"/>
                <w:sz w:val="24"/>
                <w:szCs w:val="24"/>
                <w:lang w:val="en-US" w:eastAsia="zh-CN"/>
              </w:rPr>
              <w:t>0</w:t>
            </w:r>
          </w:p>
        </w:tc>
      </w:tr>
    </w:tbl>
    <w:p>
      <w:pPr>
        <w:pStyle w:val="21"/>
        <w:widowControl/>
        <w:shd w:val="clear" w:color="auto" w:fill="FFFFFF"/>
        <w:adjustRightInd w:val="0"/>
        <w:snapToGrid w:val="0"/>
        <w:spacing w:beforeAutospacing="0" w:afterLines="50" w:after="218"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35"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35"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4</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5</w:t>
            </w: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val="restart"/>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rPr>
                <w:rFonts w:ascii="楷体" w:eastAsia="楷体" w:cs="楷体" w:hint="eastAsia"/>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2</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1</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3</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4</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5</w:t>
            </w: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bl>
    <w:p>
      <w:pPr>
        <w:pStyle w:val="21"/>
        <w:widowControl/>
        <w:shd w:val="clear" w:color="auto" w:fill="FFFFFF"/>
        <w:spacing w:beforeLines="50" w:before="218" w:beforeAutospacing="0" w:after="120" w:afterAutospacing="0"/>
        <w:ind w:firstLineChars="200" w:firstLine="640"/>
        <w:jc w:val="both"/>
        <w:rPr>
          <w:rFonts w:ascii="宋体" w:cs="宋体" w:hint="eastAsia"/>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58"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5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rFonts w:hint="eastAsia"/>
                <w:kern w:val="0"/>
                <w:sz w:val="28"/>
                <w:szCs w:val="28"/>
              </w:rPr>
            </w:pPr>
            <w:r>
              <w:rPr>
                <w:rFonts w:hint="eastAsia"/>
                <w:kern w:val="0"/>
                <w:sz w:val="28"/>
                <w:szCs w:val="28"/>
              </w:rPr>
              <w:t>0</w:t>
            </w:r>
          </w:p>
        </w:tc>
      </w:tr>
    </w:tbl>
    <w:p>
      <w:pPr>
        <w:pStyle w:val="21"/>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36"/>
        <w:adjustRightInd w:val="0"/>
        <w:snapToGrid w:val="0"/>
        <w:ind w:firstLineChars="200" w:firstLine="624"/>
        <w:rPr>
          <w:rFonts w:ascii="Times New Roman" w:eastAsia="方正楷体_GBK" w:cs="Times New Roman" w:hAnsi="Times New Roman"/>
          <w:b/>
          <w:bCs/>
        </w:rPr>
      </w:pPr>
      <w:r>
        <w:rPr>
          <w:rFonts w:ascii="方正楷体_GBK" w:eastAsia="方正楷体_GBK" w:hint="eastAsia"/>
          <w:b w:val="0"/>
          <w:bCs w:val="0"/>
        </w:rPr>
        <w:t>（一）</w:t>
      </w:r>
      <w:r>
        <w:rPr>
          <w:rFonts w:ascii="Times New Roman" w:eastAsia="方正楷体_GBK" w:cs="Times New Roman" w:hAnsi="Times New Roman"/>
          <w:bCs w:val="0"/>
        </w:rPr>
        <w:t>202</w:t>
      </w:r>
      <w:r>
        <w:rPr>
          <w:rFonts w:ascii="Times New Roman" w:eastAsia="方正楷体_GBK" w:cs="Times New Roman" w:hAnsi="Times New Roman"/>
          <w:bCs w:val="0"/>
          <w:lang w:val="en-US" w:eastAsia="zh-CN"/>
        </w:rPr>
        <w:t>3</w:t>
      </w:r>
      <w:r>
        <w:rPr>
          <w:rFonts w:ascii="Times New Roman" w:eastAsia="方正楷体_GBK" w:cs="Times New Roman" w:hAnsi="Times New Roman"/>
          <w:b w:val="0"/>
          <w:bCs w:val="0"/>
        </w:rPr>
        <w:t>年年报中所提问题整改情况</w:t>
      </w:r>
    </w:p>
    <w:p>
      <w:pPr>
        <w:pStyle w:val="46"/>
        <w:adjustRightInd w:val="0"/>
        <w:snapToGrid w:val="0"/>
        <w:ind w:firstLineChars="200" w:firstLine="624"/>
        <w:rPr>
          <w:rFonts w:hint="eastAsia"/>
        </w:rPr>
      </w:pPr>
      <w:r>
        <w:rPr>
          <w:rFonts w:cs="Times New Roman" w:hint="eastAsia"/>
          <w:kern w:val="0"/>
          <w:lang w:val="en-US" w:eastAsia="zh-CN"/>
        </w:rPr>
        <w:t>202</w:t>
      </w:r>
      <w:r>
        <w:rPr>
          <w:rFonts w:cs="Times New Roman"/>
          <w:kern w:val="0"/>
          <w:lang w:val="en-US" w:eastAsia="zh-CN"/>
        </w:rPr>
        <w:t>3</w:t>
      </w:r>
      <w:r>
        <w:rPr>
          <w:rFonts w:cs="Times New Roman" w:hint="eastAsia"/>
          <w:kern w:val="0"/>
          <w:lang w:val="en-US" w:eastAsia="zh-CN"/>
        </w:rPr>
        <w:t>年报中</w:t>
      </w:r>
      <w:r>
        <w:rPr>
          <w:rFonts w:ascii="Times New Roman" w:cs="Times New Roman" w:hAnsi="Times New Roman"/>
          <w:kern w:val="0"/>
        </w:rPr>
        <w:t>存在问题：</w:t>
      </w:r>
      <w:r>
        <w:rPr>
          <w:rFonts w:ascii="方正仿宋_GBK" w:cs="方正仿宋_GBK"/>
          <w:b w:val="0"/>
          <w:bCs w:val="0"/>
          <w:szCs w:val="22"/>
          <w:lang w:eastAsia="zh-CN"/>
        </w:rPr>
        <w:t>针对发挥</w:t>
      </w:r>
      <w:r>
        <w:rPr>
          <w:rFonts w:ascii="方正仿宋_GBK" w:cs="方正仿宋_GBK" w:hint="eastAsia"/>
          <w:b w:val="0"/>
          <w:bCs w:val="0"/>
          <w:szCs w:val="22"/>
          <w:lang w:eastAsia="zh-CN"/>
        </w:rPr>
        <w:t>“</w:t>
      </w:r>
      <w:r>
        <w:rPr>
          <w:rFonts w:ascii="方正仿宋_GBK" w:cs="方正仿宋_GBK"/>
          <w:b w:val="0"/>
          <w:bCs w:val="0"/>
          <w:szCs w:val="22"/>
          <w:lang w:eastAsia="zh-CN"/>
        </w:rPr>
        <w:t>主动公开</w:t>
      </w:r>
      <w:r>
        <w:rPr>
          <w:rFonts w:ascii="方正仿宋_GBK" w:cs="方正仿宋_GBK" w:hint="eastAsia"/>
          <w:b w:val="0"/>
          <w:bCs w:val="0"/>
          <w:szCs w:val="22"/>
          <w:lang w:eastAsia="zh-CN"/>
        </w:rPr>
        <w:t>”效能方面</w:t>
      </w:r>
      <w:r>
        <w:rPr>
          <w:rFonts w:ascii="方正仿宋_GBK" w:cs="方正仿宋_GBK"/>
          <w:b w:val="0"/>
          <w:bCs w:val="0"/>
          <w:szCs w:val="22"/>
          <w:lang w:eastAsia="zh-CN"/>
        </w:rPr>
        <w:t>的培训力度尚有</w:t>
      </w:r>
      <w:r>
        <w:rPr>
          <w:rFonts w:ascii="方正仿宋_GBK" w:cs="方正仿宋_GBK" w:hint="eastAsia"/>
          <w:b w:val="0"/>
          <w:bCs w:val="0"/>
          <w:szCs w:val="22"/>
          <w:lang w:eastAsia="zh-CN"/>
        </w:rPr>
        <w:t>不足</w:t>
      </w:r>
      <w:r>
        <w:rPr>
          <w:rFonts w:ascii="Times New Roman" w:cs="Times New Roman" w:hAnsi="Times New Roman"/>
          <w:kern w:val="0"/>
        </w:rPr>
        <w:t>。</w:t>
      </w:r>
    </w:p>
    <w:p>
      <w:pPr>
        <w:pStyle w:val="37"/>
        <w:adjustRightInd w:val="0"/>
        <w:snapToGrid w:val="0"/>
        <w:ind w:firstLineChars="200" w:firstLine="624"/>
        <w:rPr>
          <w:rFonts w:cs="Times New Roman" w:hint="eastAsia"/>
          <w:kern w:val="0"/>
          <w:lang w:eastAsia="zh-CN"/>
        </w:rPr>
      </w:pPr>
      <w:r>
        <w:rPr>
          <w:rFonts w:ascii="Times New Roman" w:cs="Times New Roman" w:hAnsi="Times New Roman"/>
          <w:b/>
          <w:bCs/>
        </w:rPr>
        <w:t>整改情况：</w:t>
      </w:r>
      <w:r>
        <w:rPr>
          <w:rFonts w:ascii="Times New Roman" w:cs="Times New Roman" w:hAnsi="Times New Roman"/>
          <w:kern w:val="0"/>
        </w:rPr>
        <w:t>2024年，汕头海关</w:t>
      </w:r>
      <w:r>
        <w:rPr>
          <w:rFonts w:ascii="Times New Roman" w:cs="Times New Roman" w:hAnsi="Times New Roman" w:hint="eastAsia"/>
          <w:kern w:val="0"/>
        </w:rPr>
        <w:t>全面推进政务公开工作高标准、高质量发展，</w:t>
      </w:r>
      <w:r>
        <w:rPr>
          <w:rFonts w:ascii="Times New Roman" w:cs="Times New Roman" w:hAnsi="Times New Roman"/>
          <w:kern w:val="0"/>
        </w:rPr>
        <w:t>加大政务公开工作培训力度，结合</w:t>
      </w:r>
      <w:r>
        <w:rPr>
          <w:rFonts w:ascii="Times New Roman" w:cs="Times New Roman" w:hAnsi="Times New Roman" w:hint="eastAsia"/>
          <w:kern w:val="0"/>
        </w:rPr>
        <w:t>“国门卫士能力提升3年行动”</w:t>
      </w:r>
      <w:r>
        <w:rPr>
          <w:rFonts w:ascii="Times New Roman" w:cs="Times New Roman" w:hAnsi="Times New Roman"/>
          <w:kern w:val="0"/>
        </w:rPr>
        <w:t>，</w:t>
      </w:r>
      <w:r>
        <w:rPr>
          <w:rFonts w:ascii="Times New Roman" w:cs="Times New Roman" w:hAnsi="Times New Roman" w:hint="eastAsia"/>
          <w:kern w:val="0"/>
        </w:rPr>
        <w:t>将政务公开专题授课纳入2024年年轻科级干部、执法一线科长（基层党支部书记）习近平新时代中国特色社会主义思想理论进修班</w:t>
      </w:r>
      <w:r>
        <w:rPr>
          <w:rFonts w:ascii="Times New Roman" w:cs="Times New Roman" w:hAnsi="Times New Roman"/>
          <w:kern w:val="0"/>
        </w:rPr>
        <w:t>、</w:t>
      </w:r>
      <w:r>
        <w:rPr>
          <w:rFonts w:ascii="Times New Roman" w:cs="Times New Roman" w:hAnsi="Times New Roman" w:hint="eastAsia"/>
          <w:kern w:val="0"/>
        </w:rPr>
        <w:t>青年党校</w:t>
      </w:r>
      <w:r>
        <w:rPr>
          <w:rFonts w:ascii="Times New Roman" w:cs="Times New Roman" w:hAnsi="Times New Roman"/>
          <w:kern w:val="0"/>
        </w:rPr>
        <w:t>培训班、</w:t>
      </w:r>
      <w:r>
        <w:rPr>
          <w:rFonts w:ascii="Times New Roman" w:cs="Times New Roman" w:hAnsi="Times New Roman" w:hint="eastAsia"/>
          <w:kern w:val="0"/>
        </w:rPr>
        <w:t>新录用公务员集中入职培训</w:t>
      </w:r>
      <w:r>
        <w:rPr>
          <w:rFonts w:ascii="Times New Roman" w:cs="Times New Roman" w:hAnsi="Times New Roman"/>
          <w:kern w:val="0"/>
        </w:rPr>
        <w:t>、新招聘事业编制人员入职培训</w:t>
      </w:r>
      <w:r>
        <w:rPr>
          <w:rFonts w:ascii="Times New Roman" w:cs="Times New Roman" w:hAnsi="Times New Roman" w:hint="eastAsia"/>
          <w:kern w:val="0"/>
        </w:rPr>
        <w:t>中，通过培训让海关干部对新时代政务公开工作新要求、新任务有</w:t>
      </w:r>
      <w:r>
        <w:rPr>
          <w:rFonts w:ascii="Times New Roman" w:cs="Times New Roman" w:hAnsi="Times New Roman"/>
          <w:kern w:val="0"/>
        </w:rPr>
        <w:t>更加</w:t>
      </w:r>
      <w:r>
        <w:rPr>
          <w:rFonts w:ascii="Times New Roman" w:cs="Times New Roman" w:hAnsi="Times New Roman" w:hint="eastAsia"/>
          <w:kern w:val="0"/>
        </w:rPr>
        <w:t>全面、准确的理解把握，达到以训促学、以学促干的目的</w:t>
      </w:r>
      <w:r>
        <w:rPr>
          <w:rFonts w:ascii="Times New Roman" w:cs="Times New Roman" w:hAnsi="Times New Roman"/>
          <w:kern w:val="0"/>
        </w:rPr>
        <w:t>，切实提升各条线海关干部政务公开业务能力和水平</w:t>
      </w:r>
      <w:r>
        <w:rPr>
          <w:rFonts w:cs="Times New Roman" w:hint="eastAsia"/>
          <w:kern w:val="0"/>
          <w:lang w:eastAsia="zh-CN"/>
        </w:rPr>
        <w:t>。</w:t>
      </w:r>
    </w:p>
    <w:p>
      <w:pPr>
        <w:pStyle w:val="37"/>
        <w:adjustRightInd w:val="0"/>
        <w:snapToGrid w:val="0"/>
        <w:ind w:firstLineChars="200" w:firstLine="624"/>
      </w:pPr>
      <w:r>
        <w:rPr>
          <w:rFonts w:ascii="方正楷体_GBK" w:eastAsia="方正楷体_GBK" w:hint="eastAsia"/>
          <w:b w:val="0"/>
          <w:bCs w:val="0"/>
        </w:rPr>
        <w:t>（二）目前存在问题</w:t>
      </w:r>
    </w:p>
    <w:p>
      <w:pPr>
        <w:pStyle w:val="37"/>
        <w:adjustRightInd w:val="0"/>
        <w:snapToGrid w:val="0"/>
        <w:ind w:firstLineChars="200" w:firstLine="624"/>
        <w:rPr>
          <w:rFonts w:eastAsia="方正仿宋_GBK" w:hint="eastAsia"/>
          <w:b w:val="0"/>
          <w:bCs w:val="0"/>
          <w:lang w:val="en-US" w:eastAsia="zh-CN"/>
        </w:rPr>
      </w:pPr>
      <w:r>
        <w:t>汕头海关本级目前在政府信息公开工作中存在的主要问题</w:t>
      </w:r>
      <w:r>
        <w:rPr>
          <w:rFonts w:hint="eastAsia"/>
        </w:rPr>
        <w:t>是</w:t>
      </w:r>
      <w:r>
        <w:t>：主动公开类的政策解读形式单一，内容较为简单</w:t>
      </w:r>
      <w:r>
        <w:rPr>
          <w:rFonts w:ascii="方正仿宋_GBK" w:cs="方正仿宋_GBK" w:hint="eastAsia"/>
          <w:b w:val="0"/>
          <w:bCs w:val="0"/>
          <w:szCs w:val="22"/>
          <w:lang w:eastAsia="zh-CN"/>
        </w:rPr>
        <w:t>。</w:t>
      </w:r>
    </w:p>
    <w:p>
      <w:pPr>
        <w:pStyle w:val="21"/>
        <w:widowControl/>
        <w:shd w:val="clear" w:color="auto" w:fill="FFFFFF"/>
        <w:spacing w:beforeAutospacing="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六、其他需要报告的事</w:t>
      </w:r>
      <w:bookmarkEnd w:id="1"/>
      <w:r>
        <w:rPr>
          <w:rFonts w:ascii="方正黑体_GBK" w:eastAsia="方正黑体_GBK" w:cs="楷体_GB2312" w:hint="eastAsia"/>
          <w:bCs/>
          <w:sz w:val="32"/>
          <w:szCs w:val="32"/>
          <w:shd w:val="clear" w:color="auto" w:fill="FFFFFF"/>
        </w:rPr>
        <w:t>项</w:t>
      </w:r>
    </w:p>
    <w:p>
      <w:pPr>
        <w:pStyle w:val="38"/>
        <w:adjustRightInd w:val="0"/>
        <w:snapToGrid w:val="0"/>
        <w:ind w:firstLineChars="200" w:firstLine="624"/>
      </w:pPr>
      <w:r>
        <w:t>本年度汕头海关（本级）未收取信息处理费。无其它需要报告的事项。</w:t>
      </w:r>
    </w:p>
    <w:sectPr>
      <w:footerReference w:type="default" r:id="rId2"/>
      <w:footerReference w:type="even" r:id="rId3"/>
      <w:footerReference w:type="first" r:id="rId4"/>
      <w:pgSz w:w="11907" w:h="16840"/>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方正小标宋_GBK">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楷体">
    <w:panose1 w:val="02010609060101010101"/>
    <w:charset w:val="86"/>
    <w:family w:val="modern"/>
    <w:pitch w:val="variable"/>
    <w:sig w:usb0="800002BF" w:usb1="38CF7CFA" w:usb2="00000016" w:usb3="00000000" w:csb0="00040001" w:csb1="00000000"/>
  </w:font>
  <w:font w:name="SimSun">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rPr>
        <w:rFonts w:ascii="宋体" w:eastAsia="宋体" w:hint="eastAsia"/>
        <w:sz w:val="28"/>
        <w:szCs w:val="28"/>
      </w:rPr>
    </w:pPr>
    <w:r>
      <w:rPr>
        <w:rStyle w:val="22"/>
        <w:rFonts w:ascii="宋体" w:eastAsia="宋体" w:hint="eastAsia"/>
        <w:sz w:val="28"/>
        <w:szCs w:val="28"/>
      </w:rPr>
      <w:fldChar w:fldCharType="begin"/>
    </w:r>
    <w:r>
      <w:rPr>
        <w:rStyle w:val="22"/>
        <w:rFonts w:ascii="宋体" w:eastAsia="宋体" w:hint="eastAsia"/>
        <w:sz w:val="28"/>
        <w:szCs w:val="28"/>
      </w:rPr>
      <w:instrText>Page</w:instrText>
    </w:r>
    <w:r>
      <w:rPr>
        <w:rStyle w:val="22"/>
        <w:rFonts w:ascii="宋体" w:eastAsia="宋体" w:hint="eastAsia"/>
        <w:sz w:val="28"/>
        <w:szCs w:val="28"/>
      </w:rPr>
      <w:fldChar w:fldCharType="separate"/>
    </w:r>
    <w:r>
      <w:rPr>
        <w:rStyle w:val="22"/>
        <w:rFonts w:ascii="宋体" w:eastAsia="宋体" w:hint="eastAsia"/>
        <w:sz w:val="28"/>
        <w:szCs w:val="28"/>
      </w:rPr>
      <w:t>- 1 -</w:t>
    </w:r>
    <w:r>
      <w:rPr>
        <w:rStyle w:val="22"/>
        <w:rFonts w:ascii="宋体" w:eastAsia="宋体" w:hint="eastAsia"/>
        <w:sz w:val="28"/>
        <w:szCs w:val="28"/>
      </w:rPr>
      <w:fldChar w:fldCharType="end"/>
    </w:r>
  </w:p>
  <w:p>
    <w:pPr>
      <w:pStyle w:val="16"/>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Pr>
      <w:t>- 1 -</w:t>
    </w:r>
    <w:r>
      <w:rPr>
        <w:rStyle w:val="22"/>
      </w:rPr>
      <w:fldChar w:fldCharType="end"/>
    </w:r>
  </w:p>
  <w:p>
    <w:pPr>
      <w:pStyle w:val="16"/>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7</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16"/>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5D47ED3E"/>
    <w:multiLevelType w:val="singleLevel"/>
    <w:tmpl w:val="5D47ED3E"/>
    <w:lvl w:ilvl="0">
      <w:start w:val="1"/>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bordersDoNotSurroundHeader/>
  <w:bordersDoNotSurroundFooter/>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character" w:default="1" w:styleId="10">
    <w:name w:val="Default Paragraph Font"/>
  </w:style>
  <w:style w:type="paragraph" w:styleId="15">
    <w:name w:val="index 6"/>
    <w:basedOn w:val="0"/>
    <w:next w:val="0"/>
    <w:pPr>
      <w:ind w:left="2100"/>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7"/>
      </w:tabs>
      <w:snapToGrid w:val="0"/>
      <w:jc w:val="center"/>
    </w:pPr>
    <w:rPr>
      <w:sz w:val="18"/>
    </w:rPr>
  </w:style>
  <w:style w:type="paragraph" w:styleId="18">
    <w:name w:val="toc 1"/>
    <w:basedOn w:val="0"/>
    <w:next w:val="0"/>
  </w:style>
  <w:style w:type="paragraph" w:styleId="19">
    <w:name w:val="index 7"/>
    <w:basedOn w:val="0"/>
    <w:next w:val="0"/>
    <w:pPr>
      <w:ind w:left="2520"/>
    </w:pPr>
  </w:style>
  <w:style w:type="paragraph" w:styleId="20">
    <w:name w:val="toc 2"/>
    <w:basedOn w:val="0"/>
    <w:next w:val="0"/>
    <w:pPr>
      <w:ind w:left="420"/>
    </w:pPr>
  </w:style>
  <w:style w:type="paragraph" w:styleId="21">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character" w:styleId="22">
    <w:name w:val="page number"/>
    <w:basedOn w:val="10"/>
  </w:style>
  <w:style w:type="paragraph" w:customStyle="1" w:styleId="23">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4">
    <w:name w:val="样式 2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5">
    <w:name w:val="样式 50 三号"/>
    <w:next w:val="1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6">
    <w:name w:val="样式 10 磅"/>
    <w:next w:val="16"/>
    <w:pPr>
      <w:widowControl w:val="0"/>
      <w:jc w:val="both"/>
    </w:pPr>
    <w:rPr>
      <w:rFonts w:ascii="Times New Roman" w:eastAsia="宋体" w:cs="Times New Roman" w:hAnsi="Times New Roman"/>
      <w:kern w:val="2"/>
      <w:sz w:val="21"/>
      <w:szCs w:val="24"/>
      <w:lang w:val="en-US" w:eastAsia="zh-CN" w:bidi="ar-SA"/>
    </w:rPr>
  </w:style>
  <w:style w:type="character" w:customStyle="1" w:styleId="27">
    <w:name w:val="h-control-text-cont1"/>
  </w:style>
  <w:style w:type="paragraph" w:customStyle="1" w:styleId="28">
    <w:name w:val="样式 1 三号"/>
    <w:next w:val="18"/>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9">
    <w:name w:val="正文5"/>
    <w:pPr>
      <w:widowControl w:val="0"/>
      <w:jc w:val="both"/>
    </w:pPr>
    <w:rPr>
      <w:rFonts w:ascii="Times New Roman" w:eastAsia="方正仿宋_GBK" w:cs="Times New Roman" w:hAnsi="Times New Roman"/>
      <w:kern w:val="2"/>
      <w:sz w:val="32"/>
      <w:lang w:val="en-US" w:eastAsia="zh-CN" w:bidi="ar-SA"/>
    </w:rPr>
  </w:style>
  <w:style w:type="paragraph" w:customStyle="1" w:styleId="30">
    <w:name w:val="样式 小三"/>
    <w:next w:val="20"/>
    <w:pPr>
      <w:widowControl w:val="0"/>
      <w:jc w:val="both"/>
    </w:pPr>
    <w:rPr>
      <w:rFonts w:ascii="Times New Roman" w:eastAsia="宋体" w:cs="Times New Roman" w:hAnsi="Times New Roman"/>
      <w:kern w:val="2"/>
      <w:sz w:val="30"/>
      <w:szCs w:val="30"/>
      <w:lang w:val="en-US" w:eastAsia="zh-CN" w:bidi="ar-SA"/>
    </w:rPr>
  </w:style>
  <w:style w:type="paragraph" w:customStyle="1" w:styleId="31">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32">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33">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34">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35">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36">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7">
    <w:name w:val="样式 13 三号"/>
    <w:next w:val="19"/>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8">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9">
    <w:name w:val="样式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0">
    <w:name w:val="样式 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41">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42">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3">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4">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
    <w:name w:val="样式 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6">
    <w:name w:val="样式 1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
    <w:name w:val="样式 1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
    <w:name w:val="样式 1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49">
    <w:name w:val="样式 14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0">
    <w:name w:val="样式 15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1">
    <w:name w:val="样式 1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2">
    <w:name w:val="样式 1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3">
    <w:name w:val="样式 18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4">
    <w:name w:val="样式 19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5">
    <w:name w:val="样式 2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6">
    <w:name w:val="样式 2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7">
    <w:name w:val="样式 1 小四"/>
    <w:rPr>
      <w:rFonts w:ascii="Times New Roman" w:eastAsia="SimSun" w:cs="Times New Roman" w:hAnsi="Times New Roman"/>
      <w:sz w:val="24"/>
      <w:szCs w:val="24"/>
      <w:lang w:val="en-US" w:eastAsia="en-US" w:bidi="ar-SA"/>
    </w:rPr>
  </w:style>
  <w:style w:type="paragraph" w:customStyle="1" w:styleId="58">
    <w:name w:val="样式 2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9">
    <w:name w:val="样式 2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0">
    <w:name w:val="样式 2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1">
    <w:name w:val="样式 26 三号"/>
    <w:pPr>
      <w:widowControl w:val="0"/>
      <w:jc w:val="both"/>
    </w:pPr>
    <w:rPr>
      <w:rFonts w:ascii="Times New Roman" w:eastAsia="方正仿宋_GBK" w:cs="Times New Roman" w:hAnsi="Times New Roman"/>
      <w:kern w:val="2"/>
      <w:sz w:val="32"/>
      <w:lang w:val="en-US" w:eastAsia="zh-CN" w:bidi="ar-SA"/>
    </w:rPr>
  </w:style>
  <w:style w:type="paragraph" w:customStyle="1" w:styleId="62">
    <w:name w:val="样式 2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numbering" Target="numbering.xml"/><Relationship Id="rId7" Type="http://schemas.openxmlformats.org/officeDocument/2006/relationships/fontTable" Target="fontTable.xml"/></Relationships>
</file>

<file path=docProps/app.xml><?xml version="1.0" encoding="utf-8"?>
<Properties xmlns="http://schemas.openxmlformats.org/officeDocument/2006/extended-properties">
  <Template>Normal.eit</Template>
  <TotalTime>2092</TotalTime>
  <Application>Yozo_Office</Application>
  <Pages>1</Pages>
  <Words>24</Words>
  <Characters>27</Characters>
  <Lines>2</Lines>
  <Paragraphs>2</Paragraphs>
  <CharactersWithSpaces>27</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6074820</dc:creator>
  <cp:lastModifiedBy>赖薇薇</cp:lastModifiedBy>
  <cp:revision>1</cp:revision>
  <dcterms:created xsi:type="dcterms:W3CDTF">2023-12-18T01:50:00Z</dcterms:created>
  <dcterms:modified xsi:type="dcterms:W3CDTF">2025-01-17T09:13:49Z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2052-11.8.2.8053</vt:lpwstr>
  </property>
</Properties>
</file>