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23"/>
        <w:spacing w:line="560" w:lineRule="exact"/>
        <w:jc w:val="center"/>
        <w:rPr>
          <w:rFonts w:ascii="方正小标宋_GBK" w:eastAsia="方正小标宋_GBK" w:cs="方正小标宋_GBK" w:hint="eastAsia"/>
          <w:sz w:val="44"/>
          <w:szCs w:val="44"/>
        </w:rPr>
      </w:pPr>
      <w:bookmarkStart w:id="0" w:name="_Hlk25540369"/>
      <w:bookmarkStart w:id="1" w:name="cogw__正文__file"/>
      <w:bookmarkStart w:id="2" w:name="_GoBack"/>
      <w:bookmarkEnd w:id="2"/>
      <w:r>
        <w:rPr>
          <w:rFonts w:ascii="方正小标宋_GBK" w:eastAsia="方正小标宋_GBK" w:cs="方正小标宋_GBK" w:hint="eastAsia"/>
          <w:sz w:val="44"/>
          <w:szCs w:val="44"/>
        </w:rPr>
        <w:t>汕头海关（本级机关）20</w:t>
      </w:r>
      <w:r>
        <w:rPr>
          <w:rFonts w:ascii="方正小标宋_GBK" w:eastAsia="方正小标宋_GBK" w:cs="方正小标宋_GBK"/>
          <w:sz w:val="44"/>
          <w:szCs w:val="44"/>
        </w:rPr>
        <w:t>25</w:t>
      </w:r>
      <w:r>
        <w:rPr>
          <w:rFonts w:ascii="方正小标宋_GBK" w:eastAsia="方正小标宋_GBK" w:cs="方正小标宋_GBK" w:hint="eastAsia"/>
          <w:sz w:val="44"/>
          <w:szCs w:val="44"/>
        </w:rPr>
        <w:t>年政府信息公开</w:t>
      </w:r>
    </w:p>
    <w:p>
      <w:pPr>
        <w:pStyle w:val="23"/>
        <w:spacing w:line="560" w:lineRule="exact"/>
        <w:jc w:val="center"/>
        <w:rPr>
          <w:rFonts w:ascii="方正小标宋_GBK" w:eastAsia="方正小标宋_GBK" w:cs="方正小标宋_GBK" w:hint="eastAsia"/>
          <w:sz w:val="44"/>
          <w:szCs w:val="44"/>
        </w:rPr>
      </w:pPr>
      <w:r>
        <w:rPr>
          <w:rFonts w:ascii="方正小标宋_GBK" w:eastAsia="方正小标宋_GBK" w:cs="方正小标宋_GBK" w:hint="eastAsia"/>
          <w:sz w:val="44"/>
          <w:szCs w:val="44"/>
        </w:rPr>
        <w:t>工作年度报告</w:t>
      </w:r>
      <w:bookmarkEnd w:id="0"/>
    </w:p>
    <w:p>
      <w:pPr>
        <w:pStyle w:val="21"/>
        <w:widowControl/>
        <w:shd w:val="clear" w:color="auto" w:fill="FFFFFF"/>
        <w:adjustRightInd w:val="0"/>
        <w:snapToGrid w:val="0"/>
        <w:spacing w:beforeAutospacing="0" w:afterAutospacing="0" w:line="560" w:lineRule="exact"/>
        <w:jc w:val="both"/>
        <w:rPr>
          <w:rFonts w:ascii="楷体_GB2312" w:eastAsia="楷体_GB2312" w:cs="楷体_GB2312" w:hint="eastAsia"/>
          <w:bCs/>
          <w:sz w:val="32"/>
          <w:szCs w:val="32"/>
          <w:shd w:val="clear" w:color="auto" w:fill="FFFFFF"/>
        </w:rPr>
      </w:pPr>
    </w:p>
    <w:p>
      <w:pPr>
        <w:pStyle w:val="21"/>
        <w:widowControl/>
        <w:shd w:val="clear" w:color="auto" w:fill="FFFFFF"/>
        <w:adjustRightInd w:val="0"/>
        <w:snapToGrid w:val="0"/>
        <w:spacing w:beforeAutospacing="0" w:afterAutospacing="0" w:line="560" w:lineRule="exact"/>
        <w:ind w:firstLineChars="200" w:firstLine="624"/>
        <w:jc w:val="both"/>
        <w:rPr>
          <w:rFonts w:eastAsia="方正仿宋_GBK" w:hint="eastAsia"/>
          <w:bCs/>
          <w:spacing w:val="-4"/>
          <w:sz w:val="32"/>
          <w:szCs w:val="32"/>
          <w:shd w:val="clear" w:color="auto" w:fill="FFFFFF"/>
        </w:rPr>
      </w:pPr>
      <w:r>
        <w:rPr>
          <w:rFonts w:eastAsia="方正仿宋_GBK" w:hint="eastAsia"/>
          <w:bCs/>
          <w:spacing w:val="-4"/>
          <w:sz w:val="32"/>
          <w:szCs w:val="32"/>
          <w:shd w:val="clear" w:color="auto" w:fill="FFFFFF"/>
        </w:rPr>
        <w:t>根据《中华人民共和国政府信息公开条例》《国务院办公厅政府信息与政务公开办公室关于政府信息公开工作年度报告有关事项的通知》等规定，</w:t>
      </w:r>
      <w:r>
        <w:rPr>
          <w:rFonts w:eastAsia="方正仿宋_GBK"/>
          <w:bCs/>
          <w:spacing w:val="-4"/>
          <w:sz w:val="32"/>
          <w:szCs w:val="32"/>
          <w:shd w:val="clear" w:color="auto" w:fill="FFFFFF"/>
        </w:rPr>
        <w:t>现公布</w:t>
      </w:r>
      <w:r>
        <w:rPr>
          <w:rFonts w:eastAsia="方正仿宋_GBK" w:hint="eastAsia"/>
          <w:bCs/>
          <w:spacing w:val="-4"/>
          <w:sz w:val="32"/>
          <w:szCs w:val="32"/>
          <w:shd w:val="clear" w:color="auto" w:fill="FFFFFF"/>
        </w:rPr>
        <w:t>20</w:t>
      </w:r>
      <w:r>
        <w:rPr>
          <w:rFonts w:eastAsia="方正仿宋_GBK"/>
          <w:bCs/>
          <w:spacing w:val="-4"/>
          <w:sz w:val="32"/>
          <w:szCs w:val="32"/>
          <w:shd w:val="clear" w:color="auto" w:fill="FFFFFF"/>
        </w:rPr>
        <w:t>25</w:t>
      </w:r>
      <w:r>
        <w:rPr>
          <w:rFonts w:eastAsia="方正仿宋_GBK" w:hint="eastAsia"/>
          <w:bCs/>
          <w:spacing w:val="-4"/>
          <w:sz w:val="32"/>
          <w:szCs w:val="32"/>
          <w:shd w:val="clear" w:color="auto" w:fill="FFFFFF"/>
        </w:rPr>
        <w:t>年度汕头海关（本级</w:t>
      </w:r>
      <w:r>
        <w:rPr>
          <w:rFonts w:eastAsia="方正仿宋_GBK"/>
          <w:bCs/>
          <w:spacing w:val="-4"/>
          <w:sz w:val="32"/>
          <w:szCs w:val="32"/>
          <w:shd w:val="clear" w:color="auto" w:fill="FFFFFF"/>
        </w:rPr>
        <w:t>机关</w:t>
      </w:r>
      <w:r>
        <w:rPr>
          <w:rFonts w:eastAsia="方正仿宋_GBK" w:hint="eastAsia"/>
          <w:bCs/>
          <w:spacing w:val="-4"/>
          <w:sz w:val="32"/>
          <w:szCs w:val="32"/>
          <w:shd w:val="clear" w:color="auto" w:fill="FFFFFF"/>
        </w:rPr>
        <w:t>）政府信息公开工作</w:t>
      </w:r>
      <w:r>
        <w:rPr>
          <w:rFonts w:eastAsia="方正仿宋_GBK"/>
          <w:bCs/>
          <w:spacing w:val="-4"/>
          <w:sz w:val="32"/>
          <w:szCs w:val="32"/>
          <w:shd w:val="clear" w:color="auto" w:fill="FFFFFF"/>
        </w:rPr>
        <w:t>年度报告</w:t>
      </w:r>
      <w:r>
        <w:rPr>
          <w:rFonts w:eastAsia="方正仿宋_GBK" w:hint="eastAsia"/>
          <w:bCs/>
          <w:spacing w:val="-4"/>
          <w:sz w:val="32"/>
          <w:szCs w:val="32"/>
          <w:shd w:val="clear" w:color="auto" w:fill="FFFFFF"/>
        </w:rPr>
        <w:t>。</w:t>
      </w:r>
      <w:r>
        <w:rPr>
          <w:rFonts w:eastAsia="方正仿宋_GBK"/>
          <w:bCs/>
          <w:spacing w:val="-4"/>
          <w:sz w:val="32"/>
          <w:szCs w:val="32"/>
          <w:shd w:val="clear" w:color="auto" w:fill="FFFFFF"/>
        </w:rPr>
        <w:t>报告中所有项目数据统计时间为202</w:t>
      </w:r>
      <w:r>
        <w:rPr>
          <w:rFonts w:eastAsia="方正仿宋_GBK"/>
          <w:bCs/>
          <w:spacing w:val="-4"/>
          <w:sz w:val="32"/>
          <w:szCs w:val="32"/>
          <w:shd w:val="clear" w:color="auto" w:fill="FFFFFF"/>
          <w:lang w:val="en-US" w:eastAsia="zh-CN"/>
        </w:rPr>
        <w:t>5</w:t>
      </w:r>
      <w:r>
        <w:rPr>
          <w:rFonts w:eastAsia="方正仿宋_GBK"/>
          <w:bCs/>
          <w:spacing w:val="-4"/>
          <w:sz w:val="32"/>
          <w:szCs w:val="32"/>
          <w:shd w:val="clear" w:color="auto" w:fill="FFFFFF"/>
        </w:rPr>
        <w:t>年1月1日至12月31日。本报告</w:t>
      </w:r>
      <w:r>
        <w:rPr>
          <w:rFonts w:ascii="方正仿宋_GBK" w:eastAsia="方正仿宋_GBK" w:cs="楷体_GB2312" w:hint="eastAsia"/>
          <w:bCs/>
          <w:spacing w:val="-4"/>
          <w:sz w:val="32"/>
          <w:szCs w:val="32"/>
          <w:shd w:val="clear" w:color="auto" w:fill="FFFFFF"/>
        </w:rPr>
        <w:t>的电子版可在“汕头海关门户网站”</w:t>
      </w:r>
      <w:r>
        <w:rPr>
          <w:rFonts w:eastAsia="方正仿宋_GBK"/>
          <w:bCs/>
          <w:spacing w:val="-4"/>
          <w:sz w:val="32"/>
          <w:szCs w:val="32"/>
          <w:shd w:val="clear" w:color="auto" w:fill="FFFFFF"/>
        </w:rPr>
        <w:t>（http://shantou.customs.gov.cn/）</w:t>
      </w:r>
      <w:r>
        <w:rPr>
          <w:rFonts w:ascii="方正仿宋_GBK" w:eastAsia="方正仿宋_GBK" w:cs="楷体_GB2312" w:hint="eastAsia"/>
          <w:bCs/>
          <w:spacing w:val="-4"/>
          <w:sz w:val="32"/>
          <w:szCs w:val="32"/>
          <w:shd w:val="clear" w:color="auto" w:fill="FFFFFF"/>
        </w:rPr>
        <w:t>下</w:t>
      </w:r>
      <w:r>
        <w:rPr>
          <w:rFonts w:eastAsia="方正仿宋_GBK"/>
          <w:bCs/>
          <w:spacing w:val="-4"/>
          <w:sz w:val="32"/>
          <w:szCs w:val="32"/>
          <w:shd w:val="clear" w:color="auto" w:fill="FFFFFF"/>
        </w:rPr>
        <w:t>载。如对本报告有任何疑问，请与</w:t>
      </w:r>
      <w:r>
        <w:rPr>
          <w:rFonts w:eastAsia="方正仿宋_GBK" w:hint="eastAsia"/>
          <w:bCs/>
          <w:spacing w:val="-4"/>
          <w:sz w:val="32"/>
          <w:szCs w:val="32"/>
          <w:shd w:val="clear" w:color="auto" w:fill="FFFFFF"/>
        </w:rPr>
        <w:t>汕头</w:t>
      </w:r>
      <w:r>
        <w:rPr>
          <w:rFonts w:eastAsia="方正仿宋_GBK"/>
          <w:bCs/>
          <w:spacing w:val="-4"/>
          <w:sz w:val="32"/>
          <w:szCs w:val="32"/>
          <w:shd w:val="clear" w:color="auto" w:fill="FFFFFF"/>
        </w:rPr>
        <w:t>海关办公室联系，电话：0754</w:t>
      </w:r>
      <w:r>
        <w:rPr>
          <w:rFonts w:eastAsia="方正仿宋_GBK" w:hint="eastAsia"/>
          <w:bCs/>
          <w:spacing w:val="-4"/>
          <w:sz w:val="32"/>
          <w:szCs w:val="32"/>
          <w:shd w:val="clear" w:color="auto" w:fill="FFFFFF"/>
        </w:rPr>
        <w:t>—</w:t>
      </w:r>
      <w:r>
        <w:rPr>
          <w:bCs/>
          <w:color w:val="000000"/>
          <w:sz w:val="32"/>
          <w:szCs w:val="32"/>
          <w:shd w:val="clear" w:color="auto" w:fill="FFFFFF"/>
        </w:rPr>
        <w:t>88198114</w:t>
      </w:r>
      <w:r>
        <w:rPr>
          <w:rFonts w:eastAsia="方正仿宋_GBK"/>
          <w:bCs/>
          <w:spacing w:val="-4"/>
          <w:sz w:val="32"/>
          <w:szCs w:val="32"/>
          <w:shd w:val="clear" w:color="auto" w:fill="FFFFFF"/>
        </w:rPr>
        <w:t>。</w:t>
      </w:r>
    </w:p>
    <w:p>
      <w:pPr>
        <w:pStyle w:val="24"/>
        <w:adjustRightInd w:val="0"/>
        <w:snapToGrid w:val="0"/>
        <w:ind w:firstLineChars="200" w:firstLine="624"/>
        <w:rPr>
          <w:bCs/>
          <w:color w:val="000000"/>
          <w:szCs w:val="32"/>
          <w:shd w:val="clear" w:color="auto" w:fill="FFFFFF"/>
        </w:rPr>
      </w:pPr>
      <w:r>
        <w:rPr>
          <w:rFonts w:ascii="方正黑体_GBK" w:eastAsia="方正黑体_GBK" w:cs="楷体_GB2312" w:hint="eastAsia"/>
          <w:bCs/>
          <w:szCs w:val="32"/>
          <w:shd w:val="clear" w:color="auto" w:fill="FFFFFF"/>
        </w:rPr>
        <w:t>一、总体情况</w:t>
      </w:r>
    </w:p>
    <w:p>
      <w:pPr>
        <w:pStyle w:val="24"/>
        <w:adjustRightInd w:val="0"/>
        <w:snapToGrid w:val="0"/>
        <w:ind w:firstLineChars="200" w:firstLine="624"/>
        <w:rPr>
          <w:bCs/>
          <w:color w:val="000000"/>
          <w:szCs w:val="32"/>
          <w:shd w:val="clear" w:color="auto" w:fill="FFFFFF"/>
        </w:rPr>
      </w:pPr>
      <w:r>
        <w:rPr>
          <w:bCs/>
          <w:color w:val="000000"/>
          <w:szCs w:val="32"/>
          <w:shd w:val="clear" w:color="auto" w:fill="FFFFFF"/>
        </w:rPr>
        <w:t>2025</w:t>
      </w:r>
      <w:r>
        <w:rPr>
          <w:rFonts w:hint="eastAsia"/>
          <w:bCs/>
          <w:color w:val="000000"/>
          <w:szCs w:val="32"/>
          <w:shd w:val="clear" w:color="auto" w:fill="FFFFFF"/>
        </w:rPr>
        <w:t>年，</w:t>
      </w:r>
      <w:r>
        <w:rPr>
          <w:bCs/>
          <w:color w:val="000000"/>
          <w:szCs w:val="32"/>
          <w:shd w:val="clear" w:color="auto" w:fill="FFFFFF"/>
        </w:rPr>
        <w:t>汕头海关</w:t>
      </w:r>
      <w:r>
        <w:rPr>
          <w:rFonts w:hint="eastAsia"/>
        </w:rPr>
        <w:t>深入学习宣传贯彻</w:t>
      </w:r>
      <w:r>
        <w:rPr>
          <w:rFonts w:hint="eastAsia"/>
          <w:spacing w:val="0"/>
          <w:kern w:val="0"/>
        </w:rPr>
        <w:t>党的二十大和二十届历次全会精神，</w:t>
      </w:r>
      <w:r>
        <w:rPr>
          <w:spacing w:val="0"/>
          <w:kern w:val="0"/>
        </w:rPr>
        <w:t>深入学习</w:t>
      </w:r>
      <w:r>
        <w:rPr>
          <w:rFonts w:hint="eastAsia"/>
          <w:spacing w:val="0"/>
          <w:kern w:val="0"/>
        </w:rPr>
        <w:t>贯彻习近平总书记对海关工作的重要指示批示和给红其拉甫海关全体关员重要回信精神，贯彻落实习近平总书记视察广东、视察潮州、汕头、梅州重要讲话重要指示精神，</w:t>
      </w:r>
      <w:r>
        <w:rPr>
          <w:rFonts w:hint="eastAsia"/>
          <w:bCs/>
          <w:color w:val="000000"/>
          <w:shd w:val="clear" w:color="auto" w:fill="FFFFFF"/>
        </w:rPr>
        <w:t>落实海关总署关于政务公开工作的具体要求，</w:t>
      </w:r>
      <w:r>
        <w:t>认真做好政务公开各项工作</w:t>
      </w:r>
      <w:r>
        <w:rPr>
          <w:rFonts w:hint="eastAsia"/>
          <w:bCs/>
          <w:color w:val="000000"/>
          <w:shd w:val="clear" w:color="auto" w:fill="FFFFFF"/>
        </w:rPr>
        <w:t>。</w:t>
      </w:r>
    </w:p>
    <w:p>
      <w:pPr>
        <w:pStyle w:val="69"/>
        <w:adjustRightInd w:val="0"/>
        <w:snapToGrid w:val="0"/>
        <w:ind w:firstLineChars="200" w:firstLine="624"/>
        <w:rPr>
          <w:rFonts w:ascii="方正仿宋_GBK"/>
        </w:rPr>
      </w:pPr>
      <w:r>
        <w:rPr>
          <w:rFonts w:ascii="方正楷体_GBK" w:eastAsia="方正楷体_GBK" w:hint="eastAsia"/>
          <w:bCs/>
          <w:color w:val="000000"/>
          <w:shd w:val="clear" w:color="auto" w:fill="FFFFFF"/>
        </w:rPr>
        <w:t>（一）</w:t>
      </w:r>
      <w:r>
        <w:rPr>
          <w:rFonts w:ascii="方正楷体_GBK" w:eastAsia="方正楷体_GBK" w:hint="eastAsia"/>
          <w:lang w:eastAsia="zh-CN"/>
        </w:rPr>
        <w:t>主动公开</w:t>
      </w:r>
      <w:r>
        <w:rPr>
          <w:rFonts w:ascii="方正楷体_GBK" w:eastAsia="方正楷体_GBK"/>
          <w:lang w:eastAsia="zh-CN"/>
        </w:rPr>
        <w:t>方面</w:t>
      </w:r>
      <w:r>
        <w:rPr>
          <w:rFonts w:ascii="方正楷体_GBK" w:eastAsia="方正楷体_GBK" w:hint="eastAsia"/>
          <w:lang w:eastAsia="zh-CN"/>
        </w:rPr>
        <w:t>。</w:t>
      </w:r>
      <w:r>
        <w:rPr>
          <w:rFonts w:ascii="方正仿宋_GBK" w:hint="eastAsia"/>
          <w:lang w:eastAsia="zh-CN"/>
        </w:rPr>
        <w:t>完善信息公开制度，明确</w:t>
      </w:r>
      <w:r>
        <w:rPr>
          <w:rFonts w:ascii="方正仿宋_GBK"/>
          <w:lang w:eastAsia="zh-CN"/>
        </w:rPr>
        <w:t>政府信息主动</w:t>
      </w:r>
      <w:r>
        <w:rPr>
          <w:rFonts w:ascii="方正仿宋_GBK" w:hint="eastAsia"/>
          <w:lang w:eastAsia="zh-CN"/>
        </w:rPr>
        <w:t>公开的“范围-内容-形式-时限”四维标准，</w:t>
      </w:r>
      <w:r>
        <w:rPr>
          <w:rFonts w:ascii="方正仿宋_GBK"/>
          <w:lang w:eastAsia="zh-CN"/>
        </w:rPr>
        <w:t>通过系统化归类、规范化公开，做到</w:t>
      </w:r>
      <w:r>
        <w:rPr>
          <w:rFonts w:ascii="方正仿宋_GBK" w:hint="eastAsia"/>
          <w:lang w:eastAsia="zh-CN"/>
        </w:rPr>
        <w:t>固定性工作“长期公开”</w:t>
      </w:r>
      <w:r>
        <w:rPr>
          <w:rFonts w:ascii="方正仿宋_GBK"/>
          <w:lang w:eastAsia="zh-CN"/>
        </w:rPr>
        <w:t>、</w:t>
      </w:r>
      <w:r>
        <w:rPr>
          <w:rFonts w:ascii="方正仿宋_GBK" w:hint="eastAsia"/>
          <w:lang w:eastAsia="zh-CN"/>
        </w:rPr>
        <w:t>常规性工作“定期公开”</w:t>
      </w:r>
      <w:r>
        <w:rPr>
          <w:rFonts w:ascii="方正仿宋_GBK"/>
          <w:lang w:eastAsia="zh-CN"/>
        </w:rPr>
        <w:t>、</w:t>
      </w:r>
      <w:r>
        <w:rPr>
          <w:rFonts w:ascii="方正仿宋_GBK" w:hint="eastAsia"/>
          <w:lang w:eastAsia="zh-CN"/>
        </w:rPr>
        <w:t>临时性工作“</w:t>
      </w:r>
      <w:r>
        <w:rPr>
          <w:rFonts w:ascii="方正仿宋_GBK"/>
          <w:lang w:eastAsia="zh-CN"/>
        </w:rPr>
        <w:t>按时</w:t>
      </w:r>
      <w:r>
        <w:rPr>
          <w:rFonts w:ascii="方正仿宋_GBK" w:hint="eastAsia"/>
          <w:lang w:eastAsia="zh-CN"/>
        </w:rPr>
        <w:t>公开”</w:t>
      </w:r>
      <w:r>
        <w:rPr>
          <w:rFonts w:ascii="方正仿宋_GBK"/>
          <w:lang w:eastAsia="zh-CN"/>
        </w:rPr>
        <w:t>，确保政府信息依法主动公开到位</w:t>
      </w:r>
      <w:r>
        <w:rPr>
          <w:rFonts w:ascii="方正仿宋_GBK" w:hint="eastAsia"/>
          <w:lang w:eastAsia="zh-CN"/>
        </w:rPr>
        <w:t>。</w:t>
      </w:r>
    </w:p>
    <w:p>
      <w:pPr>
        <w:pStyle w:val="25"/>
        <w:adjustRightInd w:val="0"/>
        <w:snapToGrid w:val="0"/>
        <w:ind w:firstLineChars="200" w:firstLine="624"/>
        <w:rPr>
          <w:rFonts w:hint="eastAsia"/>
        </w:rPr>
      </w:pPr>
      <w:r>
        <w:rPr>
          <w:rFonts w:ascii="方正楷体_GBK" w:eastAsia="方正楷体_GBK" w:hint="eastAsia"/>
        </w:rPr>
        <w:t>（二）依申请公开</w:t>
      </w:r>
      <w:r>
        <w:rPr>
          <w:rFonts w:ascii="方正楷体_GBK" w:eastAsia="方正楷体_GBK"/>
        </w:rPr>
        <w:t>方面</w:t>
      </w:r>
      <w:r>
        <w:rPr>
          <w:rFonts w:ascii="方正楷体_GBK" w:eastAsia="方正楷体_GBK" w:hint="eastAsia"/>
          <w:lang w:eastAsia="zh-CN"/>
        </w:rPr>
        <w:t>。</w:t>
      </w:r>
      <w:r>
        <w:rPr>
          <w:rFonts w:ascii="方正仿宋_GBK" w:hint="eastAsia"/>
          <w:lang w:eastAsia="zh-CN"/>
        </w:rPr>
        <w:t>完善政府信息公开指南</w:t>
      </w:r>
      <w:r>
        <w:rPr>
          <w:rFonts w:ascii="方正仿宋_GBK"/>
          <w:lang w:eastAsia="zh-CN"/>
        </w:rPr>
        <w:t>内容指引</w:t>
      </w:r>
      <w:r>
        <w:rPr>
          <w:rFonts w:ascii="方正仿宋_GBK" w:hint="eastAsia"/>
          <w:lang w:eastAsia="zh-CN"/>
        </w:rPr>
        <w:t>，规范依申请公开办理程序，</w:t>
      </w:r>
      <w:r>
        <w:rPr>
          <w:rFonts w:hint="eastAsia"/>
          <w:lang w:eastAsia="zh-CN"/>
        </w:rPr>
        <w:t>依法依规做好政府信息依申请公开工作</w:t>
      </w:r>
      <w:r>
        <w:rPr>
          <w:lang w:eastAsia="zh-CN"/>
        </w:rPr>
        <w:t>，确保答复内容合法规范、准确严谨。</w:t>
      </w:r>
      <w:r>
        <w:rPr>
          <w:rFonts w:hint="eastAsia"/>
          <w:lang w:eastAsia="zh-CN"/>
        </w:rPr>
        <w:t>20</w:t>
      </w:r>
      <w:r>
        <w:rPr>
          <w:lang w:eastAsia="zh-CN"/>
        </w:rPr>
        <w:t>25</w:t>
      </w:r>
      <w:r>
        <w:rPr>
          <w:rFonts w:hint="eastAsia"/>
          <w:lang w:eastAsia="zh-CN"/>
        </w:rPr>
        <w:t>年</w:t>
      </w:r>
      <w:r>
        <w:rPr>
          <w:lang w:eastAsia="zh-CN"/>
        </w:rPr>
        <w:t>汕头海关本级</w:t>
      </w:r>
      <w:r>
        <w:rPr>
          <w:rFonts w:hint="eastAsia"/>
          <w:lang w:eastAsia="zh-CN"/>
        </w:rPr>
        <w:t>共</w:t>
      </w:r>
      <w:r>
        <w:rPr>
          <w:lang w:eastAsia="zh-CN"/>
        </w:rPr>
        <w:t>接收处理</w:t>
      </w:r>
      <w:r>
        <w:rPr>
          <w:rFonts w:hint="eastAsia"/>
          <w:lang w:eastAsia="zh-CN"/>
        </w:rPr>
        <w:t>依申请公开</w:t>
      </w:r>
      <w:r>
        <w:rPr>
          <w:lang w:eastAsia="zh-CN"/>
        </w:rPr>
        <w:t>10</w:t>
      </w:r>
      <w:r>
        <w:rPr>
          <w:rFonts w:hint="eastAsia"/>
          <w:lang w:eastAsia="zh-CN"/>
        </w:rPr>
        <w:t>件</w:t>
      </w:r>
      <w:r>
        <w:rPr>
          <w:lang w:eastAsia="zh-CN"/>
        </w:rPr>
        <w:t>，其中</w:t>
      </w:r>
      <w:r>
        <w:rPr>
          <w:rFonts w:hint="eastAsia"/>
          <w:lang w:eastAsia="zh-CN"/>
        </w:rPr>
        <w:t>妥善办结</w:t>
      </w:r>
      <w:r>
        <w:rPr>
          <w:lang w:eastAsia="zh-CN"/>
        </w:rPr>
        <w:t>8件，均在法定时限内答复，结转至下一年办理件数2件</w:t>
      </w:r>
      <w:r>
        <w:rPr>
          <w:rFonts w:hint="eastAsia"/>
          <w:lang w:eastAsia="zh-CN"/>
        </w:rPr>
        <w:t>。</w:t>
      </w:r>
    </w:p>
    <w:p>
      <w:pPr>
        <w:pStyle w:val="15"/>
        <w:keepNext w:val="0"/>
        <w:keepLines w:val="0"/>
        <w:pageBreakBefore w:val="0"/>
        <w:widowControl w:val="0"/>
        <w:kinsoku/>
        <w:wordWrap/>
        <w:overflowPunct/>
        <w:topLinePunct w:val="0"/>
        <w:autoSpaceDE/>
        <w:autoSpaceDN/>
        <w:adjustRightInd w:val="0"/>
        <w:snapToGrid w:val="0"/>
        <w:spacing w:line="560" w:lineRule="exact"/>
        <w:ind w:left="0" w:firstLineChars="200" w:firstLine="640"/>
        <w:rPr>
          <w:rFonts w:ascii="方正仿宋_GBK" w:cs="方正楷体_GBK" w:hint="eastAsia"/>
        </w:rPr>
      </w:pPr>
      <w:r>
        <w:rPr>
          <w:rFonts w:ascii="方正楷体_GBK" w:eastAsia="方正楷体_GBK" w:cs="方正楷体_GBK" w:hint="eastAsia"/>
          <w:lang w:eastAsia="zh-CN"/>
        </w:rPr>
        <w:t>（三）政府信息管理</w:t>
      </w:r>
      <w:r>
        <w:rPr>
          <w:rFonts w:ascii="方正楷体_GBK" w:eastAsia="方正楷体_GBK" w:cs="方正楷体_GBK"/>
          <w:lang w:eastAsia="zh-CN"/>
        </w:rPr>
        <w:t>方面</w:t>
      </w:r>
      <w:r>
        <w:rPr>
          <w:rFonts w:ascii="方正楷体_GBK" w:eastAsia="方正楷体_GBK" w:cs="方正楷体_GBK" w:hint="eastAsia"/>
          <w:lang w:eastAsia="zh-CN"/>
        </w:rPr>
        <w:t>。</w:t>
      </w:r>
      <w:r>
        <w:rPr>
          <w:rFonts w:ascii="方正仿宋_GBK" w:cs="方正楷体_GBK" w:hint="eastAsia"/>
          <w:lang w:eastAsia="zh-CN"/>
        </w:rPr>
        <w:t>落实</w:t>
      </w:r>
      <w:r>
        <w:rPr>
          <w:rFonts w:ascii="方正仿宋_GBK" w:cs="方正楷体_GBK"/>
          <w:lang w:eastAsia="zh-CN"/>
        </w:rPr>
        <w:t>信息</w:t>
      </w:r>
      <w:r>
        <w:rPr>
          <w:rFonts w:ascii="方正仿宋_GBK" w:cs="方正楷体_GBK" w:hint="eastAsia"/>
          <w:lang w:eastAsia="zh-CN"/>
        </w:rPr>
        <w:t>安全责任制，严守信息内容安全关</w:t>
      </w:r>
      <w:r>
        <w:rPr>
          <w:rFonts w:ascii="方正仿宋_GBK" w:cs="方正楷体_GBK"/>
          <w:lang w:eastAsia="zh-CN"/>
        </w:rPr>
        <w:t>，</w:t>
      </w:r>
      <w:r>
        <w:rPr>
          <w:rFonts w:ascii="方正仿宋_GBK" w:cs="方正楷体_GBK" w:hint="eastAsia"/>
          <w:lang w:eastAsia="zh-CN"/>
        </w:rPr>
        <w:t>加强日常监测与维护</w:t>
      </w:r>
      <w:r>
        <w:rPr>
          <w:rFonts w:ascii="方正仿宋_GBK" w:cs="方正楷体_GBK"/>
          <w:lang w:eastAsia="zh-CN"/>
        </w:rPr>
        <w:t>，</w:t>
      </w:r>
      <w:r>
        <w:rPr>
          <w:rFonts w:ascii="方正仿宋_GBK" w:cs="方正楷体_GBK" w:hint="eastAsia"/>
          <w:lang w:eastAsia="zh-CN"/>
        </w:rPr>
        <w:t>建立内容巡查机制，定期</w:t>
      </w:r>
      <w:r>
        <w:rPr>
          <w:rFonts w:ascii="方正仿宋_GBK" w:cs="方正楷体_GBK"/>
          <w:lang w:eastAsia="zh-CN"/>
        </w:rPr>
        <w:t>对</w:t>
      </w:r>
      <w:r>
        <w:rPr>
          <w:rFonts w:ascii="方正仿宋_GBK" w:cs="方正楷体_GBK" w:hint="eastAsia"/>
          <w:lang w:eastAsia="zh-CN"/>
        </w:rPr>
        <w:t>错别字</w:t>
      </w:r>
      <w:r>
        <w:rPr>
          <w:rFonts w:ascii="方正仿宋_GBK" w:cs="方正楷体_GBK"/>
          <w:lang w:eastAsia="zh-CN"/>
        </w:rPr>
        <w:t>、</w:t>
      </w:r>
      <w:r>
        <w:rPr>
          <w:rFonts w:ascii="方正仿宋_GBK" w:cs="方正楷体_GBK" w:hint="eastAsia"/>
          <w:lang w:eastAsia="zh-CN"/>
        </w:rPr>
        <w:t>敏感</w:t>
      </w:r>
      <w:r>
        <w:rPr>
          <w:rFonts w:ascii="方正仿宋_GBK" w:cs="方正楷体_GBK"/>
          <w:lang w:eastAsia="zh-CN"/>
        </w:rPr>
        <w:t>信息、</w:t>
      </w:r>
      <w:r>
        <w:rPr>
          <w:rFonts w:ascii="方正仿宋_GBK" w:cs="方正楷体_GBK" w:hint="eastAsia"/>
          <w:lang w:eastAsia="zh-CN"/>
        </w:rPr>
        <w:t>错链死链</w:t>
      </w:r>
      <w:r>
        <w:rPr>
          <w:rFonts w:ascii="方正仿宋_GBK" w:cs="方正楷体_GBK"/>
          <w:lang w:eastAsia="zh-CN"/>
        </w:rPr>
        <w:t>等开展专项扫描整改</w:t>
      </w:r>
      <w:r>
        <w:rPr>
          <w:rFonts w:ascii="方正仿宋_GBK" w:cs="方正楷体_GBK" w:hint="eastAsia"/>
          <w:lang w:eastAsia="zh-CN"/>
        </w:rPr>
        <w:t>。完善信息发布多级审核机制，坚持“先审后发、反复核校”原则，</w:t>
      </w:r>
      <w:r>
        <w:rPr>
          <w:rFonts w:ascii="方正仿宋_GBK" w:cs="方正楷体_GBK"/>
          <w:lang w:eastAsia="zh-CN"/>
        </w:rPr>
        <w:t>发现问题点对点通报，即查即改，</w:t>
      </w:r>
      <w:r>
        <w:rPr>
          <w:rFonts w:ascii="方正仿宋_GBK" w:cs="方正楷体_GBK" w:hint="eastAsia"/>
          <w:lang w:eastAsia="zh-CN"/>
        </w:rPr>
        <w:t>从源头把关政府信息公开质量</w:t>
      </w:r>
      <w:r>
        <w:rPr>
          <w:rFonts w:ascii="方正仿宋_GBK" w:cs="方正楷体_GBK"/>
          <w:lang w:eastAsia="zh-CN"/>
        </w:rPr>
        <w:t>，</w:t>
      </w:r>
      <w:r>
        <w:rPr>
          <w:rFonts w:ascii="方正仿宋_GBK" w:cs="方正楷体_GBK" w:hint="eastAsia"/>
          <w:lang w:eastAsia="zh-CN"/>
        </w:rPr>
        <w:t>全年未发生</w:t>
      </w:r>
      <w:r>
        <w:rPr>
          <w:rFonts w:ascii="方正仿宋_GBK" w:cs="方正楷体_GBK"/>
          <w:lang w:eastAsia="zh-CN"/>
        </w:rPr>
        <w:t>信息泄密</w:t>
      </w:r>
      <w:r>
        <w:rPr>
          <w:rFonts w:ascii="方正仿宋_GBK" w:cs="方正楷体_GBK" w:hint="eastAsia"/>
          <w:lang w:eastAsia="zh-CN"/>
        </w:rPr>
        <w:t>事件</w:t>
      </w:r>
      <w:r>
        <w:rPr>
          <w:rFonts w:ascii="方正仿宋_GBK" w:cs="方正楷体_GBK"/>
          <w:lang w:eastAsia="zh-CN"/>
        </w:rPr>
        <w:t>。</w:t>
      </w:r>
    </w:p>
    <w:p>
      <w:pPr>
        <w:pStyle w:val="77"/>
        <w:adjustRightInd w:val="0"/>
        <w:snapToGrid w:val="0"/>
        <w:ind w:firstLineChars="200" w:firstLine="624"/>
        <w:rPr>
          <w:rFonts w:ascii="方正仿宋_GBK"/>
        </w:rPr>
      </w:pPr>
      <w:r>
        <w:rPr>
          <w:rFonts w:ascii="方正楷体_GBK" w:eastAsia="方正楷体_GBK" w:hint="eastAsia"/>
        </w:rPr>
        <w:t>（</w:t>
      </w:r>
      <w:r>
        <w:rPr>
          <w:rFonts w:ascii="方正楷体_GBK" w:eastAsia="方正楷体_GBK" w:hint="eastAsia"/>
          <w:lang w:eastAsia="zh-CN"/>
        </w:rPr>
        <w:t>四</w:t>
      </w:r>
      <w:r>
        <w:rPr>
          <w:rFonts w:ascii="方正楷体_GBK" w:eastAsia="方正楷体_GBK" w:hint="eastAsia"/>
        </w:rPr>
        <w:t>）</w:t>
      </w:r>
      <w:r>
        <w:rPr>
          <w:rFonts w:ascii="方正楷体_GBK" w:eastAsia="方正楷体_GBK"/>
        </w:rPr>
        <w:t>政府信息公开平台建设方面</w:t>
      </w:r>
      <w:r>
        <w:rPr>
          <w:rFonts w:ascii="方正仿宋_GBK"/>
        </w:rPr>
        <w:t>。提升栏目有效性，</w:t>
      </w:r>
      <w:r>
        <w:t>2025年新增1个</w:t>
      </w:r>
      <w:r>
        <w:rPr>
          <w:rFonts w:hint="eastAsia"/>
        </w:rPr>
        <w:t>“隶属海关行政检查</w:t>
      </w:r>
      <w:r>
        <w:t>随机抽查事项清单</w:t>
      </w:r>
      <w:r>
        <w:rPr>
          <w:rFonts w:hint="eastAsia"/>
        </w:rPr>
        <w:t>”栏目，</w:t>
      </w:r>
      <w:r>
        <w:t>设立2个行</w:t>
      </w:r>
      <w:r>
        <w:rPr>
          <w:rFonts w:hint="eastAsia"/>
        </w:rPr>
        <w:t>政许可结果</w:t>
      </w:r>
      <w:r>
        <w:t>公示超链接，为公众提供更便捷查询体验。</w:t>
      </w:r>
      <w:r>
        <w:rPr>
          <w:rFonts w:ascii="方正仿宋_GBK"/>
          <w:lang w:eastAsia="zh-CN"/>
        </w:rPr>
        <w:t>积极开展智慧海关门户网站政务地图上线运行工作，为企业和群众提供更加直观、精准的办事事项和机构信息查询服务。</w:t>
      </w:r>
      <w:r>
        <w:rPr>
          <w:rFonts w:cs="Times New Roman" w:hint="eastAsia"/>
          <w:bCs/>
          <w:color w:val="000000"/>
          <w:spacing w:val="-4"/>
          <w:kern w:val="2"/>
          <w:sz w:val="32"/>
          <w:szCs w:val="22"/>
          <w:shd w:val="clear" w:color="auto" w:fill="FFFFFF"/>
          <w:lang w:val="en-US" w:eastAsia="zh-CN" w:bidi="ar-SA"/>
        </w:rPr>
        <w:t>管好用好关长信箱、业务咨询</w:t>
      </w:r>
      <w:r>
        <w:rPr>
          <w:rFonts w:cs="Times New Roman"/>
          <w:bCs/>
          <w:color w:val="000000"/>
          <w:spacing w:val="-4"/>
          <w:kern w:val="2"/>
          <w:sz w:val="32"/>
          <w:szCs w:val="22"/>
          <w:shd w:val="clear" w:color="auto" w:fill="FFFFFF"/>
          <w:lang w:val="en-US" w:eastAsia="zh-CN" w:bidi="ar-SA"/>
        </w:rPr>
        <w:t>、12360海关服务热线</w:t>
      </w:r>
      <w:r>
        <w:rPr>
          <w:rFonts w:cs="Times New Roman" w:hint="eastAsia"/>
          <w:bCs/>
          <w:color w:val="000000"/>
          <w:spacing w:val="-4"/>
          <w:kern w:val="2"/>
          <w:sz w:val="32"/>
          <w:szCs w:val="22"/>
          <w:shd w:val="clear" w:color="auto" w:fill="FFFFFF"/>
          <w:lang w:val="en-US" w:eastAsia="zh-CN" w:bidi="ar-SA"/>
        </w:rPr>
        <w:t>等互动</w:t>
      </w:r>
      <w:r>
        <w:rPr>
          <w:rFonts w:cs="Times New Roman"/>
          <w:bCs/>
          <w:color w:val="000000"/>
          <w:spacing w:val="-4"/>
          <w:kern w:val="2"/>
          <w:sz w:val="32"/>
          <w:szCs w:val="22"/>
          <w:shd w:val="clear" w:color="auto" w:fill="FFFFFF"/>
          <w:lang w:val="en-US" w:eastAsia="zh-CN" w:bidi="ar-SA"/>
        </w:rPr>
        <w:t>平台</w:t>
      </w:r>
      <w:r>
        <w:rPr>
          <w:rFonts w:eastAsia="方正仿宋_GBK" w:hint="eastAsia"/>
          <w:kern w:val="2"/>
          <w:sz w:val="32"/>
          <w:szCs w:val="32"/>
          <w:lang w:eastAsia="zh-CN"/>
        </w:rPr>
        <w:t>，</w:t>
      </w:r>
      <w:r>
        <w:rPr>
          <w:rFonts w:cs="Times New Roman"/>
          <w:bCs/>
          <w:color w:val="000000"/>
          <w:spacing w:val="-4"/>
          <w:kern w:val="2"/>
          <w:sz w:val="32"/>
          <w:szCs w:val="22"/>
          <w:shd w:val="clear" w:color="auto" w:fill="FFFFFF"/>
          <w:lang w:val="en-US" w:eastAsia="zh-CN" w:bidi="ar-SA"/>
        </w:rPr>
        <w:t>2025年共</w:t>
      </w:r>
      <w:r>
        <w:rPr>
          <w:rFonts w:cs="Times New Roman" w:hint="eastAsia"/>
          <w:bCs/>
          <w:color w:val="000000"/>
          <w:spacing w:val="-4"/>
          <w:kern w:val="2"/>
          <w:sz w:val="32"/>
          <w:szCs w:val="22"/>
          <w:shd w:val="clear" w:color="auto" w:fill="FFFFFF"/>
          <w:lang w:val="en-US" w:eastAsia="zh-CN" w:bidi="ar-SA"/>
        </w:rPr>
        <w:t>妥善处理</w:t>
      </w:r>
      <w:r>
        <w:rPr>
          <w:rFonts w:cs="Times New Roman" w:hint="eastAsia"/>
          <w:bCs/>
          <w:spacing w:val="-4"/>
          <w:kern w:val="2"/>
          <w:sz w:val="32"/>
          <w:szCs w:val="22"/>
          <w:shd w:val="clear" w:color="auto" w:fill="FFFFFF"/>
          <w:lang w:val="en-US" w:eastAsia="zh-CN" w:bidi="ar-SA"/>
        </w:rPr>
        <w:t>关长信箱</w:t>
      </w:r>
      <w:r>
        <w:rPr>
          <w:rFonts w:cs="Times New Roman"/>
          <w:bCs/>
          <w:spacing w:val="-4"/>
          <w:kern w:val="2"/>
          <w:sz w:val="32"/>
          <w:szCs w:val="22"/>
          <w:shd w:val="clear" w:color="auto" w:fill="FFFFFF"/>
          <w:lang w:val="en-US" w:eastAsia="zh-CN" w:bidi="ar-SA"/>
        </w:rPr>
        <w:t>6</w:t>
      </w:r>
      <w:r>
        <w:rPr>
          <w:rFonts w:cs="Times New Roman" w:hint="eastAsia"/>
          <w:bCs/>
          <w:spacing w:val="-4"/>
          <w:kern w:val="2"/>
          <w:sz w:val="32"/>
          <w:szCs w:val="22"/>
          <w:shd w:val="clear" w:color="auto" w:fill="FFFFFF"/>
          <w:lang w:val="en-US" w:eastAsia="zh-CN" w:bidi="ar-SA"/>
        </w:rPr>
        <w:t>封、</w:t>
      </w:r>
      <w:r>
        <w:rPr>
          <w:rFonts w:cs="Times New Roman" w:hint="eastAsia"/>
          <w:bCs/>
          <w:color w:val="000000"/>
          <w:spacing w:val="-4"/>
          <w:kern w:val="2"/>
          <w:sz w:val="32"/>
          <w:szCs w:val="22"/>
          <w:shd w:val="clear" w:color="auto" w:fill="FFFFFF"/>
          <w:lang w:val="en-US" w:eastAsia="zh-CN" w:bidi="ar-SA"/>
        </w:rPr>
        <w:t>门户网站业务咨</w:t>
      </w:r>
      <w:r>
        <w:rPr>
          <w:rFonts w:cs="Times New Roman" w:hint="eastAsia"/>
          <w:bCs/>
          <w:spacing w:val="-4"/>
          <w:kern w:val="2"/>
          <w:sz w:val="32"/>
          <w:szCs w:val="22"/>
          <w:shd w:val="clear" w:color="auto" w:fill="FFFFFF"/>
          <w:lang w:val="en-US" w:eastAsia="zh-CN" w:bidi="ar-SA"/>
        </w:rPr>
        <w:t>询</w:t>
      </w:r>
      <w:r>
        <w:rPr>
          <w:rFonts w:cs="Times New Roman"/>
          <w:bCs/>
          <w:spacing w:val="-4"/>
          <w:kern w:val="2"/>
          <w:sz w:val="32"/>
          <w:szCs w:val="22"/>
          <w:shd w:val="clear" w:color="auto" w:fill="FFFFFF"/>
          <w:lang w:val="en-US" w:eastAsia="zh-CN" w:bidi="ar-SA"/>
        </w:rPr>
        <w:t>69</w:t>
      </w:r>
      <w:r>
        <w:rPr>
          <w:rFonts w:cs="Times New Roman" w:hint="eastAsia"/>
          <w:bCs/>
          <w:color w:val="000000"/>
          <w:spacing w:val="-4"/>
          <w:kern w:val="2"/>
          <w:sz w:val="32"/>
          <w:szCs w:val="22"/>
          <w:shd w:val="clear" w:color="auto" w:fill="FFFFFF"/>
          <w:lang w:val="en-US" w:eastAsia="zh-CN" w:bidi="ar-SA"/>
        </w:rPr>
        <w:t>个</w:t>
      </w:r>
      <w:r>
        <w:rPr>
          <w:rFonts w:cs="Times New Roman"/>
          <w:bCs/>
          <w:color w:val="000000"/>
          <w:spacing w:val="-4"/>
          <w:kern w:val="2"/>
          <w:sz w:val="32"/>
          <w:szCs w:val="22"/>
          <w:shd w:val="clear" w:color="auto" w:fill="FFFFFF"/>
          <w:lang w:val="en-US" w:eastAsia="zh-CN" w:bidi="ar-SA"/>
        </w:rPr>
        <w:t>，答复率100%；</w:t>
      </w:r>
      <w:r>
        <w:rPr>
          <w:rFonts w:hint="eastAsia"/>
          <w:szCs w:val="20"/>
          <w:lang w:val="en-US" w:eastAsia="zh-CN"/>
        </w:rPr>
        <w:t>12360</w:t>
      </w:r>
      <w:r>
        <w:rPr>
          <w:rFonts w:hint="eastAsia"/>
          <w:szCs w:val="20"/>
        </w:rPr>
        <w:t>热线</w:t>
      </w:r>
      <w:r>
        <w:rPr>
          <w:szCs w:val="20"/>
        </w:rPr>
        <w:t>共</w:t>
      </w:r>
      <w:r>
        <w:rPr>
          <w:rFonts w:hint="eastAsia"/>
          <w:szCs w:val="20"/>
        </w:rPr>
        <w:t>受理电话咨询</w:t>
      </w:r>
      <w:r>
        <w:rPr>
          <w:szCs w:val="20"/>
          <w:lang w:val="en-US" w:eastAsia="zh-CN"/>
        </w:rPr>
        <w:t>2727</w:t>
      </w:r>
      <w:r>
        <w:rPr>
          <w:rFonts w:hint="eastAsia"/>
          <w:szCs w:val="20"/>
        </w:rPr>
        <w:t>次，</w:t>
      </w:r>
      <w:r>
        <w:rPr>
          <w:rFonts w:ascii="方正仿宋_GBK" w:eastAsia="方正仿宋_GBK" w:hint="eastAsia"/>
          <w:b w:val="0"/>
          <w:bCs w:val="0"/>
          <w:i w:val="0"/>
          <w:iCs w:val="0"/>
          <w:caps w:val="0"/>
          <w:smallCaps w:val="0"/>
          <w:spacing w:val="0"/>
          <w:sz w:val="32"/>
          <w:szCs w:val="32"/>
          <w:vertAlign w:val="baseline"/>
        </w:rPr>
        <w:t>热线接通率为</w:t>
      </w:r>
      <w:r>
        <w:rPr>
          <w:rFonts w:ascii="Times New Roman" w:hAnsi="Times New Roman"/>
          <w:b w:val="0"/>
          <w:bCs w:val="0"/>
          <w:i w:val="0"/>
          <w:iCs w:val="0"/>
          <w:caps w:val="0"/>
          <w:smallCaps w:val="0"/>
          <w:spacing w:val="0"/>
          <w:sz w:val="32"/>
          <w:szCs w:val="32"/>
          <w:vertAlign w:val="baseline"/>
        </w:rPr>
        <w:t>99.4%</w:t>
      </w:r>
      <w:r>
        <w:rPr>
          <w:rFonts w:ascii="方正仿宋_GBK" w:eastAsia="方正仿宋_GBK"/>
          <w:b w:val="0"/>
          <w:bCs w:val="0"/>
          <w:i w:val="0"/>
          <w:iCs w:val="0"/>
          <w:caps w:val="0"/>
          <w:smallCaps w:val="0"/>
          <w:spacing w:val="0"/>
          <w:sz w:val="32"/>
          <w:szCs w:val="32"/>
          <w:vertAlign w:val="baseline"/>
        </w:rPr>
        <w:t>，</w:t>
      </w:r>
      <w:r>
        <w:rPr>
          <w:rFonts w:ascii="方正仿宋_GBK" w:eastAsia="方正仿宋_GBK" w:hint="eastAsia"/>
          <w:b w:val="0"/>
          <w:bCs w:val="0"/>
          <w:i w:val="0"/>
          <w:iCs w:val="0"/>
          <w:caps w:val="0"/>
          <w:smallCaps w:val="0"/>
          <w:spacing w:val="0"/>
          <w:sz w:val="32"/>
          <w:szCs w:val="32"/>
          <w:vertAlign w:val="baseline"/>
        </w:rPr>
        <w:t>前台直接答复率</w:t>
      </w:r>
      <w:r>
        <w:rPr>
          <w:rFonts w:ascii="Times New Roman" w:hAnsi="Times New Roman"/>
          <w:b w:val="0"/>
          <w:bCs w:val="0"/>
          <w:i w:val="0"/>
          <w:iCs w:val="0"/>
          <w:caps w:val="0"/>
          <w:smallCaps w:val="0"/>
          <w:spacing w:val="0"/>
          <w:sz w:val="32"/>
          <w:szCs w:val="32"/>
          <w:vertAlign w:val="baseline"/>
        </w:rPr>
        <w:t>99.7%</w:t>
      </w:r>
      <w:r>
        <w:rPr>
          <w:rFonts w:hint="eastAsia"/>
          <w:szCs w:val="20"/>
        </w:rPr>
        <w:t>。</w:t>
      </w:r>
    </w:p>
    <w:p>
      <w:pPr>
        <w:pStyle w:val="25"/>
        <w:adjustRightInd w:val="0"/>
        <w:snapToGrid w:val="0"/>
        <w:ind w:firstLineChars="200" w:firstLine="624"/>
        <w:rPr>
          <w:lang w:val="en-US" w:eastAsia="zh-CN"/>
        </w:rPr>
      </w:pPr>
      <w:r>
        <w:rPr>
          <w:rFonts w:ascii="方正楷体_GBK" w:eastAsia="方正楷体_GBK" w:hint="eastAsia"/>
        </w:rPr>
        <w:t>（</w:t>
      </w:r>
      <w:r>
        <w:rPr>
          <w:rFonts w:ascii="方正楷体_GBK" w:eastAsia="方正楷体_GBK"/>
          <w:lang w:eastAsia="zh-CN"/>
        </w:rPr>
        <w:t>五</w:t>
      </w:r>
      <w:r>
        <w:rPr>
          <w:rFonts w:ascii="方正楷体_GBK" w:eastAsia="方正楷体_GBK" w:hint="eastAsia"/>
        </w:rPr>
        <w:t>）监督保障方面</w:t>
      </w:r>
      <w:r>
        <w:rPr>
          <w:rFonts w:ascii="方正楷体_GBK" w:eastAsia="方正楷体_GBK" w:hint="eastAsia"/>
          <w:lang w:eastAsia="zh-CN"/>
        </w:rPr>
        <w:t>。</w:t>
      </w:r>
      <w:r>
        <w:rPr>
          <w:rFonts w:hint="eastAsia"/>
          <w:lang w:val="en-US" w:eastAsia="zh-CN"/>
        </w:rPr>
        <w:t>通过汕头海关门户网站“交流互动”栏目发布汕头海关基层政务公开工作情况、信访工作、12360服务热线等调查问卷</w:t>
      </w:r>
      <w:r>
        <w:rPr>
          <w:lang w:val="en-US" w:eastAsia="zh-CN"/>
        </w:rPr>
        <w:t>6</w:t>
      </w:r>
      <w:r>
        <w:rPr>
          <w:rFonts w:hint="eastAsia"/>
          <w:lang w:val="en-US" w:eastAsia="zh-CN"/>
        </w:rPr>
        <w:t>期，收集公众意见建议，接受社会监督。</w:t>
      </w:r>
      <w:r>
        <w:rPr>
          <w:lang w:val="en-US" w:eastAsia="zh-CN"/>
        </w:rPr>
        <w:t>聘请属地党政机关、新闻机构以及企业等25位代表为特约监督员，公布《汕头海关第七届特约监督员名单》，扎实做好外部监督。</w:t>
      </w:r>
    </w:p>
    <w:p>
      <w:pPr>
        <w:pStyle w:val="25"/>
        <w:adjustRightInd w:val="0"/>
        <w:snapToGrid w:val="0"/>
        <w:spacing w:beforeLines="50" w:before="218" w:afterLines="50" w:after="218"/>
        <w:ind w:firstLineChars="200" w:firstLine="624"/>
        <w:rPr>
          <w:rFonts w:ascii="方正黑体_GBK" w:eastAsia="方正黑体_GBK" w:cs="楷体_GB2312" w:hint="eastAsia"/>
          <w:bCs/>
          <w:szCs w:val="32"/>
          <w:shd w:val="clear" w:color="auto" w:fill="FFFFFF"/>
        </w:rPr>
      </w:pPr>
      <w:r>
        <w:rPr>
          <w:rFonts w:ascii="方正黑体_GBK" w:eastAsia="方正黑体_GBK" w:cs="楷体_GB2312" w:hint="eastAsia"/>
          <w:bCs/>
          <w:szCs w:val="32"/>
          <w:shd w:val="clear" w:color="auto" w:fill="FFFFFF"/>
        </w:rPr>
        <w:t>二、主动公开政府信息情况</w:t>
      </w:r>
    </w:p>
    <w:tbl>
      <w:tblPr>
        <w:jc w:val="center"/>
        <w:tblW w:w="8994"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2719"/>
        <w:gridCol w:w="2183"/>
        <w:gridCol w:w="1936"/>
        <w:gridCol w:w="2156"/>
      </w:tblGrid>
      <w:tr>
        <w:trPr>
          <w:trHeight w:val="495"/>
        </w:trPr>
        <w:tc>
          <w:tcPr>
            <w:tcW w:w="8994" w:type="dxa"/>
            <w:gridSpan w:val="4"/>
            <w:tcBorders>
              <w:top w:val="single" w:sz="8" w:space="0" w:color="auto"/>
              <w:left w:val="single" w:sz="8" w:space="0" w:color="auto"/>
              <w:bottom w:val="single" w:sz="8" w:space="0" w:color="auto"/>
              <w:right w:val="single" w:sz="8" w:space="0" w:color="auto"/>
            </w:tcBorders>
            <w:shd w:val="clear" w:color="auto" w:fill="C6D9F1"/>
            <w:noWrap/>
            <w:tcMar>
              <w:left w:w="108" w:type="dxa"/>
              <w:right w:w="108" w:type="dxa"/>
            </w:tcMar>
            <w:vAlign w:val="center"/>
          </w:tcPr>
          <w:p>
            <w:pPr>
              <w:pStyle w:val="30"/>
              <w:widowControl/>
              <w:jc w:val="center"/>
              <w:rPr>
                <w:sz w:val="24"/>
                <w:szCs w:val="24"/>
              </w:rPr>
            </w:pPr>
            <w:r>
              <w:rPr>
                <w:rFonts w:ascii="宋体" w:cs="宋体" w:hint="eastAsia"/>
                <w:kern w:val="0"/>
                <w:sz w:val="24"/>
                <w:szCs w:val="24"/>
              </w:rPr>
              <w:t>第二十条第（一）项</w:t>
            </w:r>
          </w:p>
        </w:tc>
      </w:tr>
      <w:tr>
        <w:trPr>
          <w:trHeight w:val="68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信息内容</w:t>
            </w:r>
          </w:p>
        </w:tc>
        <w:tc>
          <w:tcPr>
            <w:tcW w:w="2183"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本年</w:t>
            </w:r>
            <w:r>
              <w:rPr>
                <w:kern w:val="0"/>
                <w:sz w:val="24"/>
                <w:szCs w:val="24"/>
              </w:rPr>
              <w:t>制发件数</w:t>
            </w:r>
          </w:p>
        </w:tc>
        <w:tc>
          <w:tcPr>
            <w:tcW w:w="1936"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本年废止件</w:t>
            </w:r>
            <w:r>
              <w:rPr>
                <w:kern w:val="0"/>
                <w:sz w:val="24"/>
                <w:szCs w:val="24"/>
              </w:rPr>
              <w:t>数</w:t>
            </w:r>
          </w:p>
        </w:tc>
        <w:tc>
          <w:tcPr>
            <w:tcW w:w="2156" w:type="dxa"/>
            <w:tcBorders>
              <w:top w:val="nil"/>
              <w:left w:val="nil"/>
              <w:bottom w:val="single" w:sz="8" w:space="0" w:color="auto"/>
              <w:right w:val="single" w:sz="8" w:space="0" w:color="auto"/>
            </w:tcBorders>
            <w:shd w:val="clear" w:color="auto" w:fill="auto"/>
            <w:noWrap/>
            <w:vAlign w:val="center"/>
          </w:tcPr>
          <w:p>
            <w:pPr>
              <w:pStyle w:val="30"/>
              <w:widowControl/>
              <w:jc w:val="center"/>
              <w:rPr>
                <w:sz w:val="24"/>
                <w:szCs w:val="24"/>
              </w:rPr>
            </w:pPr>
            <w:r>
              <w:rPr>
                <w:rFonts w:ascii="宋体" w:cs="宋体" w:hint="eastAsia"/>
                <w:kern w:val="0"/>
                <w:sz w:val="24"/>
                <w:szCs w:val="24"/>
              </w:rPr>
              <w:t>现行有效件数</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rPr>
                <w:sz w:val="24"/>
                <w:szCs w:val="24"/>
              </w:rPr>
            </w:pPr>
            <w:r>
              <w:rPr>
                <w:rFonts w:ascii="宋体" w:cs="宋体" w:hint="eastAsia"/>
                <w:kern w:val="0"/>
                <w:sz w:val="24"/>
                <w:szCs w:val="24"/>
              </w:rPr>
              <w:t>规章</w:t>
            </w:r>
          </w:p>
        </w:tc>
        <w:tc>
          <w:tcPr>
            <w:tcW w:w="2183"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1936"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2156"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rPr>
                <w:sz w:val="24"/>
                <w:szCs w:val="24"/>
              </w:rPr>
            </w:pPr>
            <w:r>
              <w:rPr>
                <w:rFonts w:ascii="宋体" w:cs="宋体" w:hint="eastAsia"/>
                <w:kern w:val="0"/>
                <w:sz w:val="24"/>
                <w:szCs w:val="24"/>
              </w:rPr>
              <w:t>行政规范性文件</w:t>
            </w:r>
          </w:p>
        </w:tc>
        <w:tc>
          <w:tcPr>
            <w:tcW w:w="2183"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lang w:val="en-US" w:eastAsia="zh-CN"/>
              </w:rPr>
            </w:pPr>
            <w:r>
              <w:rPr>
                <w:rFonts w:eastAsia="方正仿宋_GBK"/>
                <w:sz w:val="24"/>
                <w:szCs w:val="24"/>
                <w:lang w:val="en-US" w:eastAsia="zh-CN"/>
              </w:rPr>
              <w:t>0</w:t>
            </w:r>
          </w:p>
        </w:tc>
        <w:tc>
          <w:tcPr>
            <w:tcW w:w="1936"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lang w:val="en-US" w:eastAsia="zh-CN"/>
              </w:rPr>
            </w:pPr>
            <w:r>
              <w:rPr>
                <w:rFonts w:eastAsia="方正仿宋_GBK" w:hint="eastAsia"/>
                <w:sz w:val="24"/>
                <w:szCs w:val="24"/>
                <w:lang w:val="en-US" w:eastAsia="zh-CN"/>
              </w:rPr>
              <w:t>0</w:t>
            </w:r>
          </w:p>
        </w:tc>
        <w:tc>
          <w:tcPr>
            <w:tcW w:w="2156"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sz w:val="24"/>
                <w:szCs w:val="24"/>
                <w:lang w:val="en-US" w:eastAsia="zh-CN"/>
              </w:rPr>
            </w:pPr>
            <w:r>
              <w:rPr>
                <w:rFonts w:eastAsia="方正仿宋_GBK"/>
                <w:sz w:val="24"/>
                <w:szCs w:val="24"/>
                <w:lang w:val="en-US" w:eastAsia="zh-CN"/>
              </w:rPr>
              <w:t>5</w:t>
            </w:r>
          </w:p>
        </w:tc>
      </w:tr>
      <w:tr>
        <w:trPr>
          <w:trHeight w:val="435"/>
        </w:trPr>
        <w:tc>
          <w:tcPr>
            <w:tcW w:w="8994" w:type="dxa"/>
            <w:gridSpan w:val="4"/>
            <w:tcBorders>
              <w:top w:val="nil"/>
              <w:left w:val="single" w:sz="8" w:space="0" w:color="auto"/>
              <w:bottom w:val="single" w:sz="8" w:space="0" w:color="auto"/>
              <w:right w:val="single" w:sz="8" w:space="0" w:color="auto"/>
            </w:tcBorders>
            <w:shd w:val="clear" w:color="auto" w:fill="C6D9F1"/>
            <w:noWrap/>
            <w:tcMar>
              <w:left w:w="108" w:type="dxa"/>
              <w:right w:w="108" w:type="dxa"/>
            </w:tcMar>
            <w:vAlign w:val="center"/>
          </w:tcPr>
          <w:p>
            <w:pPr>
              <w:pStyle w:val="30"/>
              <w:widowControl/>
              <w:jc w:val="center"/>
              <w:rPr>
                <w:sz w:val="24"/>
                <w:szCs w:val="24"/>
              </w:rPr>
            </w:pPr>
            <w:r>
              <w:rPr>
                <w:rFonts w:ascii="宋体" w:cs="宋体" w:hint="eastAsia"/>
                <w:kern w:val="0"/>
                <w:sz w:val="24"/>
                <w:szCs w:val="24"/>
              </w:rPr>
              <w:t>第二十条第（五）项</w:t>
            </w:r>
          </w:p>
        </w:tc>
      </w:tr>
      <w:tr>
        <w:trPr>
          <w:trHeight w:val="68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rPr>
                <w:sz w:val="24"/>
                <w:szCs w:val="24"/>
              </w:rPr>
            </w:pPr>
            <w:r>
              <w:rPr>
                <w:rFonts w:ascii="宋体" w:cs="宋体" w:hint="eastAsia"/>
                <w:kern w:val="0"/>
                <w:sz w:val="24"/>
                <w:szCs w:val="24"/>
              </w:rPr>
              <w:t>信息内容</w:t>
            </w:r>
          </w:p>
        </w:tc>
        <w:tc>
          <w:tcPr>
            <w:tcW w:w="6275" w:type="dxa"/>
            <w:gridSpan w:val="3"/>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1"/>
              <w:widowControl/>
              <w:adjustRightInd w:val="0"/>
              <w:snapToGrid w:val="0"/>
              <w:spacing w:line="260" w:lineRule="exact"/>
              <w:jc w:val="center"/>
              <w:rPr>
                <w:sz w:val="24"/>
                <w:szCs w:val="24"/>
              </w:rPr>
            </w:pPr>
            <w:r>
              <w:rPr>
                <w:rFonts w:ascii="宋体" w:cs="宋体" w:hint="eastAsia"/>
                <w:kern w:val="0"/>
                <w:sz w:val="24"/>
                <w:szCs w:val="24"/>
              </w:rPr>
              <w:t>本年处理决定数量</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rPr>
                <w:sz w:val="24"/>
                <w:szCs w:val="24"/>
              </w:rPr>
            </w:pPr>
            <w:r>
              <w:rPr>
                <w:rFonts w:ascii="宋体" w:cs="宋体" w:hint="eastAsia"/>
                <w:kern w:val="0"/>
                <w:sz w:val="24"/>
                <w:szCs w:val="24"/>
              </w:rPr>
              <w:t>行政许可</w:t>
            </w:r>
          </w:p>
        </w:tc>
        <w:tc>
          <w:tcPr>
            <w:tcW w:w="6275" w:type="dxa"/>
            <w:gridSpan w:val="3"/>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2"/>
              <w:jc w:val="center"/>
              <w:rPr>
                <w:rFonts w:eastAsia="方正仿宋_GBK" w:cs="宋体"/>
                <w:sz w:val="24"/>
                <w:szCs w:val="24"/>
                <w:lang w:val="en-US" w:eastAsia="zh-CN"/>
              </w:rPr>
            </w:pPr>
            <w:r>
              <w:rPr>
                <w:rFonts w:eastAsia="方正仿宋_GBK" w:cs="宋体"/>
                <w:sz w:val="24"/>
                <w:szCs w:val="24"/>
                <w:lang w:val="en-US" w:eastAsia="zh-CN"/>
              </w:rPr>
              <w:t>85</w:t>
            </w:r>
          </w:p>
        </w:tc>
      </w:tr>
      <w:tr>
        <w:trPr>
          <w:trHeight w:val="406"/>
        </w:trPr>
        <w:tc>
          <w:tcPr>
            <w:tcW w:w="8994" w:type="dxa"/>
            <w:gridSpan w:val="4"/>
            <w:tcBorders>
              <w:top w:val="nil"/>
              <w:left w:val="single" w:sz="8" w:space="0" w:color="auto"/>
              <w:bottom w:val="single" w:sz="8" w:space="0" w:color="auto"/>
              <w:right w:val="single" w:sz="8" w:space="0" w:color="auto"/>
            </w:tcBorders>
            <w:shd w:val="clear" w:color="auto" w:fill="C6D9F1"/>
            <w:noWrap/>
            <w:tcMar>
              <w:left w:w="108" w:type="dxa"/>
              <w:right w:w="108" w:type="dxa"/>
            </w:tcMar>
            <w:vAlign w:val="center"/>
          </w:tcPr>
          <w:p>
            <w:pPr>
              <w:pStyle w:val="30"/>
              <w:widowControl/>
              <w:jc w:val="center"/>
              <w:rPr>
                <w:sz w:val="24"/>
                <w:szCs w:val="24"/>
              </w:rPr>
            </w:pPr>
            <w:r>
              <w:rPr>
                <w:rFonts w:ascii="宋体" w:cs="宋体" w:hint="eastAsia"/>
                <w:kern w:val="0"/>
                <w:sz w:val="24"/>
                <w:szCs w:val="24"/>
              </w:rPr>
              <w:t>第二十条第（六）项</w:t>
            </w:r>
          </w:p>
        </w:tc>
      </w:tr>
      <w:tr>
        <w:trPr>
          <w:trHeight w:val="68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rPr>
                <w:sz w:val="24"/>
                <w:szCs w:val="24"/>
              </w:rPr>
            </w:pPr>
            <w:r>
              <w:rPr>
                <w:rFonts w:ascii="宋体" w:cs="宋体" w:hint="eastAsia"/>
                <w:kern w:val="0"/>
                <w:sz w:val="24"/>
                <w:szCs w:val="24"/>
              </w:rPr>
              <w:t>信息内容</w:t>
            </w:r>
          </w:p>
        </w:tc>
        <w:tc>
          <w:tcPr>
            <w:tcW w:w="6275" w:type="dxa"/>
            <w:gridSpan w:val="3"/>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3"/>
              <w:widowControl/>
              <w:adjustRightInd w:val="0"/>
              <w:snapToGrid w:val="0"/>
              <w:spacing w:line="260" w:lineRule="exact"/>
              <w:jc w:val="center"/>
              <w:rPr>
                <w:sz w:val="24"/>
                <w:szCs w:val="24"/>
              </w:rPr>
            </w:pPr>
            <w:r>
              <w:rPr>
                <w:rFonts w:ascii="宋体" w:cs="宋体" w:hint="eastAsia"/>
                <w:kern w:val="0"/>
                <w:sz w:val="24"/>
                <w:szCs w:val="24"/>
              </w:rPr>
              <w:t>本年处理决定数量</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rPr>
                <w:sz w:val="24"/>
                <w:szCs w:val="24"/>
              </w:rPr>
            </w:pPr>
            <w:r>
              <w:rPr>
                <w:rFonts w:ascii="宋体" w:cs="宋体" w:hint="eastAsia"/>
                <w:kern w:val="0"/>
                <w:sz w:val="24"/>
                <w:szCs w:val="24"/>
              </w:rPr>
              <w:t>行政处罚</w:t>
            </w:r>
          </w:p>
        </w:tc>
        <w:tc>
          <w:tcPr>
            <w:tcW w:w="6275" w:type="dxa"/>
            <w:gridSpan w:val="3"/>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cs="宋体"/>
                <w:sz w:val="24"/>
                <w:szCs w:val="24"/>
                <w:lang w:val="en-US" w:eastAsia="zh-CN"/>
              </w:rPr>
            </w:pPr>
            <w:r>
              <w:rPr>
                <w:rFonts w:eastAsia="方正仿宋_GBK" w:cs="宋体"/>
                <w:sz w:val="24"/>
                <w:szCs w:val="24"/>
                <w:lang w:val="en-US" w:eastAsia="zh-CN"/>
              </w:rPr>
              <w:t>43</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rPr>
                <w:sz w:val="24"/>
                <w:szCs w:val="24"/>
              </w:rPr>
            </w:pPr>
            <w:r>
              <w:rPr>
                <w:rFonts w:ascii="宋体" w:cs="宋体" w:hint="eastAsia"/>
                <w:kern w:val="0"/>
                <w:sz w:val="24"/>
                <w:szCs w:val="24"/>
              </w:rPr>
              <w:t>行政强制</w:t>
            </w:r>
          </w:p>
        </w:tc>
        <w:tc>
          <w:tcPr>
            <w:tcW w:w="6275" w:type="dxa"/>
            <w:gridSpan w:val="3"/>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4"/>
              <w:jc w:val="center"/>
              <w:rPr>
                <w:rFonts w:eastAsia="方正仿宋_GBK" w:cs="宋体"/>
                <w:sz w:val="24"/>
                <w:szCs w:val="24"/>
                <w:lang w:val="en-US" w:eastAsia="zh-CN"/>
              </w:rPr>
            </w:pPr>
            <w:r>
              <w:rPr>
                <w:rFonts w:eastAsia="方正仿宋_GBK" w:cs="宋体"/>
                <w:sz w:val="24"/>
                <w:szCs w:val="24"/>
                <w:lang w:val="en-US" w:eastAsia="zh-CN"/>
              </w:rPr>
              <w:t>41</w:t>
            </w:r>
          </w:p>
        </w:tc>
      </w:tr>
      <w:tr>
        <w:trPr>
          <w:trHeight w:val="474"/>
        </w:trPr>
        <w:tc>
          <w:tcPr>
            <w:tcW w:w="8994" w:type="dxa"/>
            <w:gridSpan w:val="4"/>
            <w:tcBorders>
              <w:top w:val="nil"/>
              <w:left w:val="single" w:sz="8" w:space="0" w:color="auto"/>
              <w:bottom w:val="single" w:sz="8" w:space="0" w:color="auto"/>
              <w:right w:val="single" w:sz="8" w:space="0" w:color="auto"/>
            </w:tcBorders>
            <w:shd w:val="clear" w:color="auto" w:fill="C6D9F1"/>
            <w:noWrap/>
            <w:tcMar>
              <w:left w:w="108" w:type="dxa"/>
              <w:right w:w="108" w:type="dxa"/>
            </w:tcMar>
            <w:vAlign w:val="center"/>
          </w:tcPr>
          <w:p>
            <w:pPr>
              <w:pStyle w:val="30"/>
              <w:widowControl/>
              <w:jc w:val="center"/>
              <w:rPr>
                <w:sz w:val="24"/>
                <w:szCs w:val="24"/>
              </w:rPr>
            </w:pPr>
            <w:r>
              <w:rPr>
                <w:rFonts w:ascii="宋体" w:cs="宋体" w:hint="eastAsia"/>
                <w:kern w:val="0"/>
                <w:sz w:val="24"/>
                <w:szCs w:val="24"/>
              </w:rPr>
              <w:t>第二十条第（八）项</w:t>
            </w:r>
          </w:p>
        </w:tc>
      </w:tr>
      <w:tr>
        <w:trPr>
          <w:trHeight w:val="68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rPr>
                <w:sz w:val="24"/>
                <w:szCs w:val="24"/>
              </w:rPr>
            </w:pPr>
            <w:r>
              <w:rPr>
                <w:rFonts w:ascii="宋体" w:cs="宋体" w:hint="eastAsia"/>
                <w:kern w:val="0"/>
                <w:sz w:val="24"/>
                <w:szCs w:val="24"/>
              </w:rPr>
              <w:t>信息内容</w:t>
            </w:r>
          </w:p>
        </w:tc>
        <w:tc>
          <w:tcPr>
            <w:tcW w:w="6275" w:type="dxa"/>
            <w:gridSpan w:val="3"/>
            <w:tcBorders>
              <w:top w:val="nil"/>
              <w:left w:val="nil"/>
              <w:bottom w:val="single" w:sz="8" w:space="0" w:color="auto"/>
              <w:right w:val="single" w:sz="8" w:space="0" w:color="000000"/>
            </w:tcBorders>
            <w:shd w:val="clear" w:color="auto" w:fill="auto"/>
            <w:noWrap/>
            <w:tcMar>
              <w:left w:w="108" w:type="dxa"/>
              <w:right w:w="108" w:type="dxa"/>
            </w:tcMar>
            <w:vAlign w:val="center"/>
          </w:tcPr>
          <w:p>
            <w:pPr>
              <w:pStyle w:val="35"/>
              <w:widowControl/>
              <w:adjustRightInd w:val="0"/>
              <w:snapToGrid w:val="0"/>
              <w:spacing w:line="260" w:lineRule="exact"/>
              <w:jc w:val="center"/>
              <w:rPr>
                <w:sz w:val="24"/>
                <w:szCs w:val="24"/>
              </w:rPr>
            </w:pPr>
            <w:r>
              <w:rPr>
                <w:rFonts w:ascii="宋体" w:cs="宋体" w:hint="eastAsia"/>
                <w:kern w:val="0"/>
                <w:sz w:val="24"/>
                <w:szCs w:val="24"/>
              </w:rPr>
              <w:t>本年收费金额（单位：万元）</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pPr>
            <w:r>
              <w:rPr>
                <w:rFonts w:ascii="宋体" w:cs="宋体" w:hint="eastAsia"/>
                <w:kern w:val="0"/>
                <w:sz w:val="24"/>
                <w:szCs w:val="24"/>
              </w:rPr>
              <w:t>行政事业性收费</w:t>
            </w:r>
          </w:p>
        </w:tc>
        <w:tc>
          <w:tcPr>
            <w:tcW w:w="6275" w:type="dxa"/>
            <w:gridSpan w:val="3"/>
            <w:tcBorders>
              <w:top w:val="nil"/>
              <w:left w:val="nil"/>
              <w:bottom w:val="single" w:sz="8" w:space="0" w:color="auto"/>
              <w:right w:val="single" w:sz="8" w:space="0" w:color="000000"/>
            </w:tcBorders>
            <w:shd w:val="clear" w:color="auto" w:fill="auto"/>
            <w:noWrap/>
            <w:tcMar>
              <w:left w:w="108" w:type="dxa"/>
              <w:right w:w="108" w:type="dxa"/>
            </w:tcMar>
            <w:vAlign w:val="center"/>
          </w:tcPr>
          <w:p>
            <w:pPr>
              <w:pStyle w:val="30"/>
              <w:jc w:val="center"/>
              <w:rPr>
                <w:rFonts w:eastAsia="方正仿宋_GBK" w:cs="宋体" w:hint="eastAsia"/>
                <w:sz w:val="24"/>
                <w:szCs w:val="24"/>
                <w:lang w:val="en-US" w:eastAsia="zh-CN"/>
              </w:rPr>
            </w:pPr>
            <w:r>
              <w:rPr>
                <w:rFonts w:eastAsia="方正仿宋_GBK" w:cs="宋体" w:hint="eastAsia"/>
                <w:sz w:val="24"/>
                <w:szCs w:val="24"/>
                <w:lang w:val="en-US" w:eastAsia="zh-CN"/>
              </w:rPr>
              <w:t>0</w:t>
            </w:r>
          </w:p>
        </w:tc>
      </w:tr>
    </w:tbl>
    <w:p>
      <w:pPr>
        <w:pStyle w:val="21"/>
        <w:widowControl/>
        <w:shd w:val="clear" w:color="auto" w:fill="FFFFFF"/>
        <w:adjustRightInd w:val="0"/>
        <w:snapToGrid w:val="0"/>
        <w:spacing w:beforeAutospacing="0" w:afterLines="50" w:after="218" w:afterAutospacing="0" w:line="560" w:lineRule="exact"/>
        <w:ind w:firstLineChars="200" w:firstLine="640"/>
        <w:jc w:val="both"/>
        <w:rPr>
          <w:rFonts w:ascii="方正黑体_GBK" w:eastAsia="方正黑体_GBK" w:cs="楷体_GB2312" w:hint="eastAsia"/>
          <w:bCs/>
          <w:sz w:val="32"/>
          <w:szCs w:val="32"/>
          <w:shd w:val="clear" w:color="auto" w:fill="FFFFFF"/>
        </w:rPr>
      </w:pPr>
      <w:r>
        <w:rPr>
          <w:rFonts w:ascii="方正黑体_GBK" w:eastAsia="方正黑体_GBK" w:cs="楷体_GB2312" w:hint="eastAsia"/>
          <w:bCs/>
          <w:sz w:val="32"/>
          <w:szCs w:val="32"/>
          <w:shd w:val="clear" w:color="auto" w:fill="FFFFFF"/>
        </w:rPr>
        <w:t>三、收到和处理政府信息公开申请情况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96"/>
        <w:gridCol w:w="936"/>
        <w:gridCol w:w="2670"/>
        <w:gridCol w:w="635"/>
        <w:gridCol w:w="675"/>
        <w:gridCol w:w="750"/>
        <w:gridCol w:w="765"/>
        <w:gridCol w:w="765"/>
        <w:gridCol w:w="497"/>
        <w:gridCol w:w="682"/>
      </w:tblGrid>
      <w:tr>
        <w:trPr>
          <w:tblHeader/>
        </w:trPr>
        <w:tc>
          <w:tcPr>
            <w:tcW w:w="4302" w:type="dxa"/>
            <w:gridSpan w:val="3"/>
            <w:vMerge w:val="restart"/>
            <w:tcBorders>
              <w:top w:val="single" w:sz="8" w:space="0" w:color="auto"/>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（本列数据的勾稽关系为：第一项加第二项之和，等于第三项加第四项之和）</w:t>
            </w:r>
          </w:p>
        </w:tc>
        <w:tc>
          <w:tcPr>
            <w:tcW w:w="4769" w:type="dxa"/>
            <w:gridSpan w:val="7"/>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申请人情况</w:t>
            </w:r>
          </w:p>
        </w:tc>
      </w:tr>
      <w:tr>
        <w:trPr>
          <w:tblHeader/>
        </w:trPr>
        <w:tc>
          <w:tcPr>
            <w:tcW w:w="4302" w:type="dxa"/>
            <w:gridSpan w:val="3"/>
            <w:vMerge/>
            <w:tcBorders>
              <w:top w:val="single" w:sz="8" w:space="0" w:color="auto"/>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635" w:type="dxa"/>
            <w:vMerge w:val="restart"/>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自然人</w:t>
            </w:r>
          </w:p>
        </w:tc>
        <w:tc>
          <w:tcPr>
            <w:tcW w:w="3452" w:type="dxa"/>
            <w:gridSpan w:val="5"/>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法人或其他组织</w:t>
            </w:r>
          </w:p>
        </w:tc>
        <w:tc>
          <w:tcPr>
            <w:tcW w:w="682" w:type="dxa"/>
            <w:vMerge w:val="restart"/>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总计</w:t>
            </w:r>
          </w:p>
        </w:tc>
      </w:tr>
      <w:tr>
        <w:trPr>
          <w:trHeight w:val="649"/>
          <w:tblHeader/>
        </w:trPr>
        <w:tc>
          <w:tcPr>
            <w:tcW w:w="4302" w:type="dxa"/>
            <w:gridSpan w:val="3"/>
            <w:vMerge/>
            <w:tcBorders>
              <w:top w:val="single" w:sz="8" w:space="0" w:color="auto"/>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635"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商业企业</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科研机构</w:t>
            </w:r>
          </w:p>
        </w:tc>
        <w:tc>
          <w:tcPr>
            <w:tcW w:w="765"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社会公益组织</w:t>
            </w:r>
          </w:p>
        </w:tc>
        <w:tc>
          <w:tcPr>
            <w:tcW w:w="765"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法律服务机构</w:t>
            </w:r>
          </w:p>
        </w:tc>
        <w:tc>
          <w:tcPr>
            <w:tcW w:w="497"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其他</w:t>
            </w:r>
          </w:p>
        </w:tc>
        <w:tc>
          <w:tcPr>
            <w:tcW w:w="682" w:type="dxa"/>
            <w:vMerge/>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tc>
      </w:tr>
      <w:tr>
        <w:tc>
          <w:tcPr>
            <w:tcW w:w="4302" w:type="dxa"/>
            <w:gridSpan w:val="3"/>
            <w:tcBorders>
              <w:top w:val="nil"/>
              <w:left w:val="single" w:sz="8" w:space="0" w:color="auto"/>
              <w:bottom w:val="single" w:sz="8" w:space="0" w:color="auto"/>
              <w:right w:val="single" w:sz="8" w:space="0" w:color="auto"/>
            </w:tcBorders>
            <w:shd w:val="clear" w:color="auto" w:fill="auto"/>
            <w:noWrap/>
            <w:tcMar>
              <w:left w:w="108" w:type="dxa"/>
              <w:right w:w="108" w:type="dxa"/>
            </w:tcMar>
          </w:tcPr>
          <w:p>
            <w:pPr>
              <w:pStyle w:val="30"/>
              <w:widowControl/>
              <w:jc w:val="left"/>
              <w:rPr>
                <w:sz w:val="24"/>
                <w:szCs w:val="24"/>
              </w:rPr>
            </w:pPr>
            <w:r>
              <w:rPr>
                <w:rFonts w:ascii="宋体" w:cs="宋体" w:hint="eastAsia"/>
                <w:kern w:val="0"/>
                <w:sz w:val="24"/>
                <w:szCs w:val="24"/>
              </w:rPr>
              <w:t>一、本年新收政府信息公开申请数量</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lang w:eastAsia="zh-CN"/>
              </w:rPr>
            </w:pPr>
            <w:r>
              <w:rPr>
                <w:rFonts w:eastAsia="方正仿宋_GBK"/>
                <w:sz w:val="24"/>
                <w:szCs w:val="24"/>
                <w:lang w:val="en-US" w:eastAsia="zh-CN"/>
              </w:rPr>
              <w:t>10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lang w:eastAsia="zh-CN"/>
              </w:rPr>
            </w:pPr>
            <w:r>
              <w:rPr>
                <w:rFonts w:eastAsia="方正仿宋_GBK"/>
                <w:sz w:val="24"/>
                <w:szCs w:val="24"/>
                <w:lang w:val="en-US" w:eastAsia="zh-CN"/>
              </w:rPr>
              <w:t>10</w:t>
            </w:r>
          </w:p>
        </w:tc>
      </w:tr>
      <w:tr>
        <w:tc>
          <w:tcPr>
            <w:tcW w:w="4302" w:type="dxa"/>
            <w:gridSpan w:val="3"/>
            <w:tcBorders>
              <w:top w:val="nil"/>
              <w:left w:val="single" w:sz="8" w:space="0" w:color="auto"/>
              <w:bottom w:val="single" w:sz="8" w:space="0" w:color="auto"/>
              <w:right w:val="single" w:sz="8" w:space="0" w:color="auto"/>
            </w:tcBorders>
            <w:shd w:val="clear" w:color="auto" w:fill="auto"/>
            <w:noWrap/>
            <w:tcMar>
              <w:left w:w="108" w:type="dxa"/>
              <w:right w:w="108" w:type="dxa"/>
            </w:tcMar>
          </w:tcPr>
          <w:p>
            <w:pPr>
              <w:pStyle w:val="30"/>
              <w:widowControl/>
              <w:jc w:val="left"/>
              <w:rPr>
                <w:sz w:val="24"/>
                <w:szCs w:val="24"/>
              </w:rPr>
            </w:pPr>
            <w:r>
              <w:rPr>
                <w:rFonts w:ascii="宋体" w:cs="宋体" w:hint="eastAsia"/>
                <w:kern w:val="0"/>
                <w:sz w:val="24"/>
                <w:szCs w:val="24"/>
              </w:rPr>
              <w:t>二、上年结转政府信息公开申请数量</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rPr>
          <w:trHeight w:val="375"/>
        </w:trPr>
        <w:tc>
          <w:tcPr>
            <w:tcW w:w="696" w:type="dxa"/>
            <w:vMerge w:val="restart"/>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三、本年度办理结果</w:t>
            </w:r>
          </w:p>
        </w:tc>
        <w:tc>
          <w:tcPr>
            <w:tcW w:w="3606" w:type="dxa"/>
            <w:gridSpan w:val="2"/>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left"/>
              <w:rPr>
                <w:sz w:val="24"/>
                <w:szCs w:val="24"/>
              </w:rPr>
            </w:pPr>
            <w:r>
              <w:rPr>
                <w:rFonts w:ascii="楷体" w:eastAsia="楷体" w:cs="楷体" w:hint="eastAsia"/>
                <w:kern w:val="0"/>
                <w:sz w:val="24"/>
                <w:szCs w:val="24"/>
              </w:rPr>
              <w:t>（一）予以公开</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3606" w:type="dxa"/>
            <w:gridSpan w:val="2"/>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left"/>
              <w:rPr>
                <w:sz w:val="24"/>
                <w:szCs w:val="24"/>
              </w:rPr>
            </w:pPr>
            <w:r>
              <w:rPr>
                <w:rFonts w:ascii="楷体" w:eastAsia="楷体" w:cs="楷体" w:hint="eastAsia"/>
                <w:kern w:val="0"/>
                <w:sz w:val="24"/>
                <w:szCs w:val="24"/>
              </w:rPr>
              <w:t>（二）部分公开（区分处理的，只计这一情形，不计其他情形）</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val="restart"/>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（三）不予公开</w:t>
            </w: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1.属于国家秘密</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2.其他法律行政法规禁止公开</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3.危及“三安全一稳定”</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4.保护第三方合法权益</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5.属于三类内部事务信息</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1</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1</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6.属于四类过程性信息</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7.属于行政执法案卷</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8.属于行政查询事项</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val="restart"/>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（四）无法提供</w:t>
            </w: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1.本机关不掌握相关政府信息</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2.没有现成信息需要另行制作</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lang w:eastAsia="zh-CN"/>
              </w:rPr>
            </w:pPr>
            <w:r>
              <w:rPr>
                <w:rFonts w:eastAsia="方正仿宋_GBK" w:hint="eastAsia"/>
                <w:sz w:val="24"/>
                <w:szCs w:val="24"/>
                <w:lang w:val="en-US" w:eastAsia="zh-CN"/>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lang w:eastAsia="zh-CN"/>
              </w:rPr>
            </w:pPr>
            <w:r>
              <w:rPr>
                <w:rFonts w:eastAsia="方正仿宋_GBK" w:hint="eastAsia"/>
                <w:sz w:val="24"/>
                <w:szCs w:val="24"/>
                <w:lang w:val="en-US" w:eastAsia="zh-CN"/>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3.补正后申请内容仍不明确</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val="restart"/>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（五）不予处理</w:t>
            </w: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1.信访举报投诉类申请</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2.重复申请</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3.要求提供公开出版物</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rPr>
          <w:trHeight w:val="810"/>
        </w:trP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4.无正当理由大量反复申请</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5.要求行政机关确认或重新出具已获取信息</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rPr>
          <w:trHeight w:val="567"/>
        </w:trP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val="restart"/>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（六）其他处理</w:t>
            </w:r>
          </w:p>
        </w:tc>
        <w:tc>
          <w:tcPr>
            <w:tcW w:w="2670" w:type="dxa"/>
            <w:tcBorders>
              <w:top w:val="nil"/>
              <w:left w:val="single" w:sz="8" w:space="0" w:color="auto"/>
              <w:bottom w:val="single" w:sz="8" w:space="0" w:color="auto"/>
              <w:right w:val="single" w:sz="8" w:space="0" w:color="auto"/>
            </w:tcBorders>
            <w:shd w:val="clear" w:color="auto" w:fill="auto"/>
            <w:noWrap/>
            <w:tcMar>
              <w:left w:w="108" w:type="dxa"/>
              <w:right w:w="108" w:type="dxa"/>
            </w:tcMar>
          </w:tcPr>
          <w:p>
            <w:pPr>
              <w:pStyle w:val="30"/>
              <w:widowControl/>
              <w:rPr>
                <w:rFonts w:ascii="楷体" w:eastAsia="楷体" w:cs="楷体" w:hint="eastAsia"/>
                <w:kern w:val="0"/>
                <w:sz w:val="24"/>
                <w:szCs w:val="24"/>
              </w:rPr>
            </w:pPr>
            <w:r>
              <w:rPr>
                <w:rFonts w:ascii="楷体" w:eastAsia="楷体" w:cs="楷体" w:hint="eastAsia"/>
                <w:kern w:val="0"/>
                <w:sz w:val="24"/>
                <w:szCs w:val="24"/>
              </w:rPr>
              <w:t>1.申请人无正当理由逾期不补正、行政机关不再处理其政府信息公开申请</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1</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1</w:t>
            </w:r>
          </w:p>
        </w:tc>
      </w:tr>
      <w:tr>
        <w:trPr>
          <w:trHeight w:val="567"/>
        </w:trPr>
        <w:tc>
          <w:tcPr>
            <w:tcW w:w="696" w:type="dxa"/>
            <w:vMerge/>
            <w:tcBorders>
              <w:top w:val="nil"/>
              <w:left w:val="single" w:sz="8" w:space="0" w:color="auto"/>
              <w:bottom w:val="single" w:sz="8" w:space="0" w:color="auto"/>
              <w:right w:val="single" w:sz="8" w:space="0" w:color="auto"/>
            </w:tcBorders>
            <w:shd w:val="clear" w:color="auto" w:fill="auto"/>
            <w:noWrap/>
            <w:vAlign w:val="center"/>
          </w:tcPr>
          <w:p/>
        </w:tc>
        <w:tc>
          <w:tcPr>
            <w:tcW w:w="936" w:type="dxa"/>
            <w:vMerge/>
            <w:tcBorders>
              <w:top w:val="nil"/>
              <w:left w:val="nil"/>
              <w:bottom w:val="single" w:sz="8" w:space="0" w:color="auto"/>
              <w:right w:val="single" w:sz="8" w:space="0" w:color="auto"/>
            </w:tcBorders>
            <w:shd w:val="clear" w:color="auto" w:fill="auto"/>
            <w:noWrap/>
            <w:vAlign w:val="center"/>
          </w:tcPr>
          <w:p/>
        </w:tc>
        <w:tc>
          <w:tcPr>
            <w:tcW w:w="2670" w:type="dxa"/>
            <w:tcBorders>
              <w:top w:val="nil"/>
              <w:left w:val="single" w:sz="8" w:space="0" w:color="auto"/>
              <w:bottom w:val="single" w:sz="8" w:space="0" w:color="auto"/>
              <w:right w:val="single" w:sz="8" w:space="0" w:color="auto"/>
            </w:tcBorders>
            <w:shd w:val="clear" w:color="auto" w:fill="auto"/>
            <w:noWrap/>
          </w:tcPr>
          <w:p>
            <w:pPr>
              <w:pStyle w:val="30"/>
              <w:widowControl/>
              <w:rPr>
                <w:rFonts w:ascii="楷体" w:eastAsia="楷体" w:cs="楷体" w:hint="eastAsia"/>
                <w:kern w:val="0"/>
                <w:sz w:val="24"/>
                <w:szCs w:val="24"/>
              </w:rPr>
            </w:pPr>
            <w:r>
              <w:rPr>
                <w:rFonts w:ascii="楷体" w:eastAsia="楷体" w:cs="楷体" w:hint="eastAsia"/>
                <w:kern w:val="0"/>
                <w:sz w:val="24"/>
                <w:szCs w:val="24"/>
              </w:rPr>
              <w:t>2.申请人逾期未按收费通知要求缴纳费用、行政机关不再处理其政府信息公开申请</w:t>
            </w:r>
          </w:p>
        </w:tc>
        <w:tc>
          <w:tcPr>
            <w:tcW w:w="63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r>
      <w:tr>
        <w:trPr>
          <w:trHeight w:val="567"/>
        </w:trPr>
        <w:tc>
          <w:tcPr>
            <w:tcW w:w="696" w:type="dxa"/>
            <w:vMerge/>
            <w:tcBorders>
              <w:top w:val="nil"/>
              <w:left w:val="single" w:sz="8" w:space="0" w:color="auto"/>
              <w:bottom w:val="single" w:sz="8" w:space="0" w:color="auto"/>
              <w:right w:val="single" w:sz="8" w:space="0" w:color="auto"/>
            </w:tcBorders>
            <w:shd w:val="clear" w:color="auto" w:fill="auto"/>
            <w:noWrap/>
            <w:vAlign w:val="center"/>
          </w:tcPr>
          <w:p/>
        </w:tc>
        <w:tc>
          <w:tcPr>
            <w:tcW w:w="936" w:type="dxa"/>
            <w:vMerge/>
            <w:tcBorders>
              <w:top w:val="nil"/>
              <w:left w:val="nil"/>
              <w:bottom w:val="single" w:sz="8" w:space="0" w:color="auto"/>
              <w:right w:val="single" w:sz="8" w:space="0" w:color="auto"/>
            </w:tcBorders>
            <w:shd w:val="clear" w:color="auto" w:fill="auto"/>
            <w:noWrap/>
            <w:vAlign w:val="center"/>
          </w:tcPr>
          <w:p/>
        </w:tc>
        <w:tc>
          <w:tcPr>
            <w:tcW w:w="2670" w:type="dxa"/>
            <w:tcBorders>
              <w:top w:val="nil"/>
              <w:left w:val="single" w:sz="8" w:space="0" w:color="auto"/>
              <w:bottom w:val="single" w:sz="8" w:space="0" w:color="auto"/>
              <w:right w:val="single" w:sz="8" w:space="0" w:color="auto"/>
            </w:tcBorders>
            <w:shd w:val="clear" w:color="auto" w:fill="auto"/>
            <w:noWrap/>
          </w:tcPr>
          <w:p>
            <w:pPr>
              <w:pStyle w:val="30"/>
              <w:widowControl/>
              <w:rPr>
                <w:rFonts w:ascii="楷体" w:eastAsia="楷体" w:cs="楷体" w:hint="eastAsia"/>
                <w:kern w:val="0"/>
                <w:sz w:val="24"/>
                <w:szCs w:val="24"/>
              </w:rPr>
            </w:pPr>
            <w:r>
              <w:rPr>
                <w:rFonts w:ascii="楷体" w:eastAsia="楷体" w:cs="楷体" w:hint="eastAsia"/>
                <w:kern w:val="0"/>
                <w:sz w:val="24"/>
                <w:szCs w:val="24"/>
              </w:rPr>
              <w:t>3.咨询事项，指引咨询渠道</w:t>
            </w:r>
          </w:p>
        </w:tc>
        <w:tc>
          <w:tcPr>
            <w:tcW w:w="63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lang w:eastAsia="zh-CN"/>
              </w:rPr>
            </w:pPr>
            <w:r>
              <w:rPr>
                <w:rFonts w:eastAsia="方正仿宋_GBK" w:hint="eastAsia"/>
                <w:sz w:val="24"/>
                <w:szCs w:val="24"/>
                <w:lang w:val="en-US" w:eastAsia="zh-CN"/>
              </w:rPr>
              <w:t>0</w:t>
            </w:r>
          </w:p>
        </w:tc>
        <w:tc>
          <w:tcPr>
            <w:tcW w:w="67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lang w:eastAsia="zh-CN"/>
              </w:rPr>
            </w:pPr>
            <w:r>
              <w:rPr>
                <w:rFonts w:eastAsia="方正仿宋_GBK" w:hint="eastAsia"/>
                <w:sz w:val="24"/>
                <w:szCs w:val="24"/>
                <w:lang w:val="en-US" w:eastAsia="zh-CN"/>
              </w:rPr>
              <w:t>0</w:t>
            </w:r>
          </w:p>
        </w:tc>
      </w:tr>
      <w:tr>
        <w:trPr>
          <w:trHeight w:val="567"/>
        </w:trPr>
        <w:tc>
          <w:tcPr>
            <w:tcW w:w="696" w:type="dxa"/>
            <w:vMerge/>
            <w:tcBorders>
              <w:top w:val="nil"/>
              <w:left w:val="single" w:sz="8" w:space="0" w:color="auto"/>
              <w:bottom w:val="single" w:sz="8" w:space="0" w:color="auto"/>
              <w:right w:val="single" w:sz="8" w:space="0" w:color="auto"/>
            </w:tcBorders>
            <w:shd w:val="clear" w:color="auto" w:fill="auto"/>
            <w:noWrap/>
            <w:vAlign w:val="center"/>
          </w:tcPr>
          <w:p/>
        </w:tc>
        <w:tc>
          <w:tcPr>
            <w:tcW w:w="936" w:type="dxa"/>
            <w:vMerge/>
            <w:tcBorders>
              <w:top w:val="nil"/>
              <w:left w:val="nil"/>
              <w:bottom w:val="single" w:sz="8" w:space="0" w:color="auto"/>
              <w:right w:val="single" w:sz="8" w:space="0" w:color="auto"/>
            </w:tcBorders>
            <w:shd w:val="clear" w:color="auto" w:fill="auto"/>
            <w:noWrap/>
            <w:vAlign w:val="center"/>
          </w:tcPr>
          <w:p/>
        </w:tc>
        <w:tc>
          <w:tcPr>
            <w:tcW w:w="2670" w:type="dxa"/>
            <w:tcBorders>
              <w:top w:val="nil"/>
              <w:left w:val="single" w:sz="8" w:space="0" w:color="auto"/>
              <w:bottom w:val="single" w:sz="8" w:space="0" w:color="auto"/>
              <w:right w:val="single" w:sz="8" w:space="0" w:color="auto"/>
            </w:tcBorders>
            <w:shd w:val="clear" w:color="auto" w:fill="auto"/>
            <w:noWrap/>
          </w:tcPr>
          <w:p>
            <w:pPr>
              <w:pStyle w:val="30"/>
              <w:widowControl/>
              <w:rPr>
                <w:rFonts w:ascii="楷体" w:eastAsia="楷体" w:cs="楷体" w:hint="eastAsia"/>
                <w:kern w:val="0"/>
                <w:sz w:val="24"/>
                <w:szCs w:val="24"/>
              </w:rPr>
            </w:pPr>
            <w:r>
              <w:rPr>
                <w:rFonts w:ascii="楷体" w:eastAsia="楷体" w:cs="楷体" w:hint="eastAsia"/>
                <w:kern w:val="0"/>
                <w:sz w:val="24"/>
                <w:szCs w:val="24"/>
              </w:rPr>
              <w:t>4.申请人撤销申请</w:t>
            </w:r>
          </w:p>
        </w:tc>
        <w:tc>
          <w:tcPr>
            <w:tcW w:w="63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sz w:val="24"/>
                <w:szCs w:val="24"/>
              </w:rPr>
              <w:t>6</w:t>
            </w:r>
          </w:p>
        </w:tc>
        <w:tc>
          <w:tcPr>
            <w:tcW w:w="67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sz w:val="24"/>
                <w:szCs w:val="24"/>
              </w:rPr>
              <w:t>6</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3606" w:type="dxa"/>
            <w:gridSpan w:val="2"/>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（七）总计</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lang w:eastAsia="zh-CN"/>
              </w:rPr>
            </w:pPr>
            <w:r>
              <w:rPr>
                <w:rFonts w:eastAsia="方正仿宋_GBK"/>
                <w:sz w:val="24"/>
                <w:szCs w:val="24"/>
                <w:lang w:val="en-US" w:eastAsia="zh-CN"/>
              </w:rPr>
              <w:t>8</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lang w:eastAsia="zh-CN"/>
              </w:rPr>
            </w:pPr>
            <w:r>
              <w:rPr>
                <w:rFonts w:eastAsia="方正仿宋_GBK"/>
                <w:sz w:val="24"/>
                <w:szCs w:val="24"/>
                <w:lang w:val="en-US" w:eastAsia="zh-CN"/>
              </w:rPr>
              <w:t>8</w:t>
            </w:r>
          </w:p>
        </w:tc>
      </w:tr>
      <w:tr>
        <w:tc>
          <w:tcPr>
            <w:tcW w:w="4302" w:type="dxa"/>
            <w:gridSpan w:val="3"/>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jc w:val="left"/>
            </w:pPr>
            <w:r>
              <w:rPr>
                <w:rFonts w:ascii="宋体" w:cs="宋体" w:hint="eastAsia"/>
                <w:kern w:val="0"/>
                <w:sz w:val="24"/>
                <w:szCs w:val="24"/>
              </w:rPr>
              <w:t>四、结转下年度继续办理</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2</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2</w:t>
            </w:r>
          </w:p>
        </w:tc>
      </w:tr>
    </w:tbl>
    <w:p>
      <w:pPr>
        <w:pStyle w:val="21"/>
        <w:widowControl/>
        <w:shd w:val="clear" w:color="auto" w:fill="FFFFFF"/>
        <w:spacing w:beforeLines="50" w:before="218" w:beforeAutospacing="0" w:after="120" w:afterAutospacing="0"/>
        <w:ind w:firstLineChars="200" w:firstLine="640"/>
        <w:jc w:val="both"/>
        <w:rPr>
          <w:rFonts w:ascii="宋体" w:cs="宋体" w:hint="eastAsia"/>
          <w:szCs w:val="24"/>
        </w:rPr>
      </w:pPr>
      <w:r>
        <w:rPr>
          <w:rFonts w:ascii="方正黑体_GBK" w:eastAsia="方正黑体_GBK" w:cs="楷体_GB2312" w:hint="eastAsia"/>
          <w:bCs/>
          <w:sz w:val="32"/>
          <w:szCs w:val="32"/>
          <w:shd w:val="clear" w:color="auto" w:fill="FFFFFF"/>
        </w:rPr>
        <w:t>四、政府信息公开行政复议、行政诉讼情况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c>
          <w:tcPr>
            <w:tcW w:w="3074" w:type="dxa"/>
            <w:gridSpan w:val="5"/>
            <w:tcBorders>
              <w:top w:val="single" w:sz="8" w:space="0" w:color="auto"/>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行政复议</w:t>
            </w:r>
          </w:p>
        </w:tc>
        <w:tc>
          <w:tcPr>
            <w:tcW w:w="5997" w:type="dxa"/>
            <w:gridSpan w:val="10"/>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行政诉讼</w:t>
            </w:r>
          </w:p>
        </w:tc>
      </w:tr>
      <w:tr>
        <w:tc>
          <w:tcPr>
            <w:tcW w:w="604" w:type="dxa"/>
            <w:vMerge w:val="restart"/>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结果维持</w:t>
            </w:r>
          </w:p>
        </w:tc>
        <w:tc>
          <w:tcPr>
            <w:tcW w:w="604" w:type="dxa"/>
            <w:vMerge w:val="restart"/>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结果纠正</w:t>
            </w:r>
          </w:p>
        </w:tc>
        <w:tc>
          <w:tcPr>
            <w:tcW w:w="604" w:type="dxa"/>
            <w:vMerge w:val="restart"/>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其他结果</w:t>
            </w:r>
          </w:p>
        </w:tc>
        <w:tc>
          <w:tcPr>
            <w:tcW w:w="604" w:type="dxa"/>
            <w:vMerge w:val="restart"/>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尚未审结</w:t>
            </w:r>
          </w:p>
        </w:tc>
        <w:tc>
          <w:tcPr>
            <w:tcW w:w="658" w:type="dxa"/>
            <w:vMerge w:val="restart"/>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总计</w:t>
            </w:r>
          </w:p>
        </w:tc>
        <w:tc>
          <w:tcPr>
            <w:tcW w:w="2970" w:type="dxa"/>
            <w:gridSpan w:val="5"/>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未经复议直接起诉</w:t>
            </w:r>
          </w:p>
        </w:tc>
        <w:tc>
          <w:tcPr>
            <w:tcW w:w="3027" w:type="dxa"/>
            <w:gridSpan w:val="5"/>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复议后起诉</w:t>
            </w:r>
          </w:p>
        </w:tc>
      </w:tr>
      <w:tr>
        <w:tc>
          <w:tcPr>
            <w:tcW w:w="604"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604"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tc>
        <w:tc>
          <w:tcPr>
            <w:tcW w:w="658" w:type="dxa"/>
            <w:vMerge/>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tc>
        <w:tc>
          <w:tcPr>
            <w:tcW w:w="5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结果维持</w:t>
            </w:r>
          </w:p>
        </w:tc>
        <w:tc>
          <w:tcPr>
            <w:tcW w:w="60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结果纠正</w:t>
            </w:r>
          </w:p>
        </w:tc>
        <w:tc>
          <w:tcPr>
            <w:tcW w:w="605"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其他结果</w:t>
            </w:r>
          </w:p>
        </w:tc>
        <w:tc>
          <w:tcPr>
            <w:tcW w:w="605"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尚未审结</w:t>
            </w:r>
          </w:p>
        </w:tc>
        <w:tc>
          <w:tcPr>
            <w:tcW w:w="605"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总计</w:t>
            </w:r>
          </w:p>
        </w:tc>
        <w:tc>
          <w:tcPr>
            <w:tcW w:w="605"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结果维持</w:t>
            </w:r>
          </w:p>
        </w:tc>
        <w:tc>
          <w:tcPr>
            <w:tcW w:w="605"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结果纠正</w:t>
            </w:r>
          </w:p>
        </w:tc>
        <w:tc>
          <w:tcPr>
            <w:tcW w:w="605"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其他结果</w:t>
            </w:r>
          </w:p>
        </w:tc>
        <w:tc>
          <w:tcPr>
            <w:tcW w:w="606"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尚未审结</w:t>
            </w:r>
          </w:p>
        </w:tc>
        <w:tc>
          <w:tcPr>
            <w:tcW w:w="606"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总计</w:t>
            </w:r>
          </w:p>
        </w:tc>
      </w:tr>
      <w:tr>
        <w:trPr>
          <w:trHeight w:val="862"/>
        </w:trPr>
        <w:tc>
          <w:tcPr>
            <w:tcW w:w="604"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4"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4"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4"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58"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5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6"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6"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rFonts w:hint="eastAsia"/>
                <w:kern w:val="0"/>
                <w:sz w:val="28"/>
                <w:szCs w:val="28"/>
              </w:rPr>
            </w:pPr>
            <w:r>
              <w:rPr>
                <w:rFonts w:hint="eastAsia"/>
                <w:kern w:val="0"/>
                <w:sz w:val="28"/>
                <w:szCs w:val="28"/>
              </w:rPr>
              <w:t>0</w:t>
            </w:r>
          </w:p>
        </w:tc>
      </w:tr>
    </w:tbl>
    <w:p>
      <w:pPr>
        <w:pStyle w:val="21"/>
        <w:widowControl/>
        <w:shd w:val="clear" w:color="auto" w:fill="FFFFFF"/>
        <w:spacing w:beforeLines="50" w:before="218" w:beforeAutospacing="0" w:afterAutospacing="0" w:line="560" w:lineRule="exact"/>
        <w:ind w:firstLineChars="200" w:firstLine="640"/>
        <w:jc w:val="both"/>
        <w:rPr>
          <w:rFonts w:ascii="方正黑体_GBK" w:eastAsia="方正黑体_GBK" w:cs="楷体_GB2312" w:hint="eastAsia"/>
          <w:bCs/>
          <w:sz w:val="32"/>
          <w:szCs w:val="32"/>
          <w:shd w:val="clear" w:color="auto" w:fill="FFFFFF"/>
        </w:rPr>
      </w:pPr>
      <w:r>
        <w:rPr>
          <w:rFonts w:ascii="方正黑体_GBK" w:eastAsia="方正黑体_GBK" w:cs="楷体_GB2312" w:hint="eastAsia"/>
          <w:bCs/>
          <w:sz w:val="32"/>
          <w:szCs w:val="32"/>
          <w:shd w:val="clear" w:color="auto" w:fill="FFFFFF"/>
        </w:rPr>
        <w:t>五、存在的主要问题及改进情况</w:t>
      </w:r>
    </w:p>
    <w:p>
      <w:pPr>
        <w:pStyle w:val="36"/>
        <w:adjustRightInd w:val="0"/>
        <w:snapToGrid w:val="0"/>
        <w:ind w:firstLineChars="200" w:firstLine="624"/>
        <w:rPr>
          <w:rFonts w:ascii="Times New Roman" w:eastAsia="方正楷体_GBK" w:cs="Times New Roman" w:hAnsi="Times New Roman"/>
          <w:b/>
          <w:bCs/>
        </w:rPr>
      </w:pPr>
      <w:r>
        <w:rPr>
          <w:rFonts w:ascii="方正楷体_GBK" w:eastAsia="方正楷体_GBK" w:hint="eastAsia"/>
          <w:b w:val="0"/>
          <w:bCs w:val="0"/>
        </w:rPr>
        <w:t>（一）</w:t>
      </w:r>
      <w:r>
        <w:rPr>
          <w:rFonts w:ascii="Times New Roman" w:eastAsia="方正楷体_GBK" w:cs="Times New Roman" w:hAnsi="Times New Roman"/>
          <w:bCs w:val="0"/>
        </w:rPr>
        <w:t>2024</w:t>
      </w:r>
      <w:r>
        <w:rPr>
          <w:rFonts w:ascii="Times New Roman" w:eastAsia="方正楷体_GBK" w:cs="Times New Roman" w:hAnsi="Times New Roman"/>
          <w:b w:val="0"/>
          <w:bCs w:val="0"/>
        </w:rPr>
        <w:t>年报中所提问题整改情况</w:t>
      </w:r>
    </w:p>
    <w:p>
      <w:pPr>
        <w:pStyle w:val="46"/>
        <w:adjustRightInd w:val="0"/>
        <w:snapToGrid w:val="0"/>
        <w:ind w:firstLineChars="200" w:firstLine="624"/>
        <w:rPr>
          <w:rFonts w:hint="eastAsia"/>
        </w:rPr>
      </w:pPr>
      <w:r>
        <w:rPr>
          <w:rFonts w:cs="Times New Roman" w:hint="eastAsia"/>
          <w:kern w:val="0"/>
          <w:lang w:val="en-US" w:eastAsia="zh-CN"/>
        </w:rPr>
        <w:t>202</w:t>
      </w:r>
      <w:r>
        <w:rPr>
          <w:rFonts w:cs="Times New Roman"/>
          <w:kern w:val="0"/>
          <w:lang w:val="en-US" w:eastAsia="zh-CN"/>
        </w:rPr>
        <w:t>4</w:t>
      </w:r>
      <w:r>
        <w:rPr>
          <w:rFonts w:cs="Times New Roman" w:hint="eastAsia"/>
          <w:kern w:val="0"/>
          <w:lang w:val="en-US" w:eastAsia="zh-CN"/>
        </w:rPr>
        <w:t>年报中</w:t>
      </w:r>
      <w:r>
        <w:rPr>
          <w:rFonts w:ascii="Times New Roman" w:cs="Times New Roman" w:hAnsi="Times New Roman"/>
          <w:kern w:val="0"/>
        </w:rPr>
        <w:t>存在问题：</w:t>
      </w:r>
      <w:r>
        <w:t>主动公开类的政策解读形式单一，内容较为简单</w:t>
      </w:r>
      <w:r>
        <w:rPr>
          <w:rFonts w:ascii="方正仿宋_GBK" w:cs="方正仿宋_GBK" w:hint="eastAsia"/>
          <w:b w:val="0"/>
          <w:bCs w:val="0"/>
          <w:szCs w:val="22"/>
          <w:lang w:eastAsia="zh-CN"/>
        </w:rPr>
        <w:t>。</w:t>
      </w:r>
    </w:p>
    <w:p>
      <w:pPr>
        <w:pStyle w:val="37"/>
        <w:adjustRightInd w:val="0"/>
        <w:snapToGrid w:val="0"/>
        <w:ind w:firstLineChars="200" w:firstLine="624"/>
        <w:rPr>
          <w:rFonts w:cs="Times New Roman" w:hint="eastAsia"/>
          <w:kern w:val="0"/>
          <w:lang w:eastAsia="zh-CN"/>
        </w:rPr>
      </w:pPr>
      <w:r>
        <w:rPr>
          <w:rFonts w:ascii="Times New Roman" w:cs="Times New Roman" w:hAnsi="Times New Roman"/>
          <w:b/>
          <w:bCs/>
        </w:rPr>
        <w:t>整改情况：</w:t>
      </w:r>
      <w:r>
        <w:rPr>
          <w:rFonts w:ascii="Times New Roman" w:cs="Times New Roman" w:hAnsi="Times New Roman"/>
          <w:kern w:val="0"/>
        </w:rPr>
        <w:t>2025年，汕头海关本级立足企业群众</w:t>
      </w:r>
      <w:r>
        <w:rPr>
          <w:rFonts w:ascii="Times New Roman" w:cs="Times New Roman" w:hAnsi="Times New Roman" w:hint="eastAsia"/>
          <w:kern w:val="0"/>
        </w:rPr>
        <w:t>“看得懂、用得上”，</w:t>
      </w:r>
      <w:r>
        <w:rPr>
          <w:rFonts w:ascii="Times New Roman" w:cs="Times New Roman" w:hAnsi="Times New Roman"/>
          <w:kern w:val="0"/>
        </w:rPr>
        <w:t>积极丰富政策解读内容与形式，以视频形式发布由我关制作的《从布料到西装</w:t>
      </w:r>
      <w:r>
        <w:rPr>
          <w:rFonts w:ascii="Times New Roman" w:cs="Times New Roman" w:hAnsi="Times New Roman" w:hint="eastAsia"/>
          <w:kern w:val="0"/>
        </w:rPr>
        <w:t>—</w:t>
      </w:r>
      <w:r>
        <w:rPr>
          <w:rFonts w:ascii="Times New Roman" w:cs="Times New Roman" w:hAnsi="Times New Roman"/>
          <w:kern w:val="0"/>
        </w:rPr>
        <w:t>你不可不知的单耗小知识》《莫当水果</w:t>
      </w:r>
      <w:r>
        <w:rPr>
          <w:rFonts w:ascii="Times New Roman" w:cs="Times New Roman" w:hAnsi="Times New Roman" w:hint="eastAsia"/>
          <w:kern w:val="0"/>
        </w:rPr>
        <w:t>“搬运工”》等</w:t>
      </w:r>
      <w:r>
        <w:rPr>
          <w:rFonts w:ascii="Times New Roman" w:cs="Times New Roman" w:hAnsi="Times New Roman"/>
          <w:kern w:val="0"/>
        </w:rPr>
        <w:t>政策解读</w:t>
      </w:r>
      <w:r>
        <w:rPr>
          <w:rFonts w:ascii="Times New Roman" w:cs="Times New Roman" w:hAnsi="Times New Roman" w:hint="eastAsia"/>
          <w:kern w:val="0"/>
        </w:rPr>
        <w:t>微</w:t>
      </w:r>
      <w:r>
        <w:rPr>
          <w:rFonts w:ascii="Times New Roman" w:cs="Times New Roman" w:hAnsi="Times New Roman"/>
          <w:kern w:val="0"/>
        </w:rPr>
        <w:t>视频动画，提升解读趣味性</w:t>
      </w:r>
      <w:r>
        <w:rPr>
          <w:rFonts w:cs="Times New Roman" w:hint="eastAsia"/>
          <w:kern w:val="0"/>
          <w:lang w:eastAsia="zh-CN"/>
        </w:rPr>
        <w:t>。</w:t>
      </w:r>
    </w:p>
    <w:p>
      <w:pPr>
        <w:pStyle w:val="37"/>
        <w:adjustRightInd w:val="0"/>
        <w:snapToGrid w:val="0"/>
        <w:ind w:firstLineChars="200" w:firstLine="624"/>
      </w:pPr>
      <w:r>
        <w:rPr>
          <w:rFonts w:ascii="方正楷体_GBK" w:eastAsia="方正楷体_GBK" w:hint="eastAsia"/>
          <w:b w:val="0"/>
          <w:bCs w:val="0"/>
        </w:rPr>
        <w:t>（二）目前存在问题</w:t>
      </w:r>
    </w:p>
    <w:p>
      <w:pPr>
        <w:pStyle w:val="37"/>
        <w:adjustRightInd w:val="0"/>
        <w:snapToGrid w:val="0"/>
        <w:ind w:firstLineChars="200" w:firstLine="624"/>
        <w:rPr>
          <w:rFonts w:eastAsia="方正仿宋_GBK" w:hint="eastAsia"/>
          <w:b w:val="0"/>
          <w:bCs w:val="0"/>
          <w:lang w:val="en-US" w:eastAsia="zh-CN"/>
        </w:rPr>
      </w:pPr>
      <w:r>
        <w:t>汕头海关本级目前在政府信息公开工作中存在的主要问题</w:t>
      </w:r>
      <w:r>
        <w:rPr>
          <w:rFonts w:hint="eastAsia"/>
        </w:rPr>
        <w:t>是</w:t>
      </w:r>
      <w:r>
        <w:t>：政府信息公开栏目管理维护的专业化、精细化水平还有待提升</w:t>
      </w:r>
      <w:r>
        <w:rPr>
          <w:rFonts w:ascii="方正仿宋_GBK" w:cs="方正仿宋_GBK" w:hint="eastAsia"/>
          <w:b w:val="0"/>
          <w:bCs w:val="0"/>
          <w:szCs w:val="22"/>
          <w:lang w:eastAsia="zh-CN"/>
        </w:rPr>
        <w:t>。</w:t>
      </w:r>
    </w:p>
    <w:p>
      <w:pPr>
        <w:pStyle w:val="21"/>
        <w:widowControl/>
        <w:shd w:val="clear" w:color="auto" w:fill="FFFFFF"/>
        <w:spacing w:beforeAutospacing="0" w:afterAutospacing="0" w:line="560" w:lineRule="exact"/>
        <w:ind w:firstLineChars="200" w:firstLine="640"/>
        <w:jc w:val="both"/>
        <w:rPr>
          <w:rFonts w:ascii="方正黑体_GBK" w:eastAsia="方正黑体_GBK" w:cs="楷体_GB2312" w:hint="eastAsia"/>
          <w:bCs/>
          <w:sz w:val="32"/>
          <w:szCs w:val="32"/>
          <w:shd w:val="clear" w:color="auto" w:fill="FFFFFF"/>
        </w:rPr>
      </w:pPr>
      <w:r>
        <w:rPr>
          <w:rFonts w:ascii="方正黑体_GBK" w:eastAsia="方正黑体_GBK" w:cs="楷体_GB2312" w:hint="eastAsia"/>
          <w:bCs/>
          <w:sz w:val="32"/>
          <w:szCs w:val="32"/>
          <w:shd w:val="clear" w:color="auto" w:fill="FFFFFF"/>
        </w:rPr>
        <w:t>六、其他需要报告的事</w:t>
      </w:r>
      <w:bookmarkEnd w:id="1"/>
      <w:r>
        <w:rPr>
          <w:rFonts w:ascii="方正黑体_GBK" w:eastAsia="方正黑体_GBK" w:cs="楷体_GB2312" w:hint="eastAsia"/>
          <w:bCs/>
          <w:sz w:val="32"/>
          <w:szCs w:val="32"/>
          <w:shd w:val="clear" w:color="auto" w:fill="FFFFFF"/>
        </w:rPr>
        <w:t>项</w:t>
      </w:r>
    </w:p>
    <w:p>
      <w:pPr>
        <w:pStyle w:val="38"/>
        <w:adjustRightInd w:val="0"/>
        <w:snapToGrid w:val="0"/>
        <w:ind w:firstLineChars="200" w:firstLine="624"/>
      </w:pPr>
      <w:r>
        <w:t>本年度汕头海关（本级）未收取信息处理费。无其他需要报告的事项。</w:t>
      </w:r>
    </w:p>
    <w:sectPr>
      <w:footerReference w:type="default" r:id="rId2"/>
      <w:footerReference w:type="even" r:id="rId3"/>
      <w:footerReference w:type="first" r:id="rId4"/>
      <w:pgSz w:w="11907" w:h="16840"/>
      <w:pgMar w:top="2098" w:right="1474" w:bottom="1985" w:left="1588" w:header="851" w:footer="992" w:gutter="0"/>
      <w:pgNumType w:fmt="numberInDash" w:start="1"/>
      <w:docGrid w:type="lines" w:linePitch="435" w:charSpace="0"/>
    </w:sectPr>
  </w:body>
</w:document>
</file>

<file path=word/fontTable.xml><?xml version="1.0" encoding="utf-8"?>
<w:fonts xmlns:w="http://schemas.openxmlformats.org/wordprocessingml/2006/main" xmlns:r="http://schemas.openxmlformats.org/officeDocument/2006/relationships">
  <w:font w:name="宋体">
    <w:panose1 w:val="02010600030101010101"/>
    <w:charset w:val="86"/>
    <w:family w:val="auto"/>
    <w:pitch w:val="variable"/>
    <w:sig w:usb0="00000003" w:usb1="288F0000" w:usb2="00000006" w:usb3="00000000" w:csb0="00040001" w:csb1="00000000"/>
  </w:font>
  <w:font w:name="方正小标宋_GBK">
    <w:panose1 w:val="03000509000000000000"/>
    <w:charset w:val="86"/>
    <w:family w:val="script"/>
    <w:pitch w:val="variable"/>
    <w:sig w:usb0="00000001" w:usb1="080E0000" w:usb2="00000000" w:usb3="00000000" w:csb0="00040000" w:csb1="00000000"/>
  </w:font>
  <w:font w:name="楷体_GB2312">
    <w:altName w:val="楷体"/>
    <w:panose1 w:val="00000000000000000000"/>
    <w:charset w:val="00"/>
    <w:family w:val="auto"/>
    <w:pitch w:val="variable"/>
    <w:sig w:usb0="00000000" w:usb1="00000000" w:usb2="00000000" w:usb3="00000000" w:csb0="00040001" w:csb1="00000000"/>
  </w:font>
  <w:font w:name="方正仿宋_GBK">
    <w:panose1 w:val="03000509000000000000"/>
    <w:charset w:val="86"/>
    <w:family w:val="script"/>
    <w:pitch w:val="variable"/>
    <w:sig w:usb0="00000001" w:usb1="080E0000" w:usb2="00000000" w:usb3="00000000" w:csb0="00040000" w:csb1="00000000"/>
  </w:font>
  <w:font w:name="方正黑体_GBK">
    <w:panose1 w:val="03000509000000000000"/>
    <w:charset w:val="86"/>
    <w:family w:val="script"/>
    <w:pitch w:val="variable"/>
    <w:sig w:usb0="00000001" w:usb1="080E0000" w:usb2="00000000" w:usb3="00000000" w:csb0="00040000" w:csb1="00000000"/>
  </w:font>
  <w:font w:name="方正楷体_GBK">
    <w:panose1 w:val="03000509000000000000"/>
    <w:charset w:val="86"/>
    <w:family w:val="script"/>
    <w:pitch w:val="variable"/>
    <w:sig w:usb0="00000001" w:usb1="080E0000" w:usb2="00000000" w:usb3="00000000" w:csb0="00040000" w:csb1="00000000"/>
  </w:font>
  <w:font w:name="Times New Roman">
    <w:panose1 w:val="02020603050405020304"/>
    <w:charset w:val="00"/>
    <w:family w:val="roman"/>
    <w:pitch w:val="variable"/>
    <w:sig w:usb0="20007A87" w:usb1="80000000" w:usb2="00000008" w:usb3="00000000" w:csb0="000001FF" w:csb1="00000000"/>
  </w:font>
  <w:font w:name="楷体">
    <w:panose1 w:val="02010609060101010101"/>
    <w:charset w:val="86"/>
    <w:family w:val="modern"/>
    <w:pitch w:val="variable"/>
    <w:sig w:usb0="800002BF" w:usb1="38CF7CFA" w:usb2="00000016" w:usb3="00000000" w:csb0="00040001" w:csb1="00000000"/>
  </w:font>
  <w:font w:name="SimSun">
    <w:panose1 w:val="00000000000000000000"/>
    <w:charset w:val="00"/>
    <w:family w:val="auto"/>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framePr w:w="0" w:hRule="auto" w:wrap="around" w:vAnchor="text" w:hAnchor="margin" w:xAlign="outside" w:y="1" w:anchorLock="0"/>
      <w:pBdr>
        <w:top w:val="none" w:sz="0" w:space="0" w:color="auto"/>
        <w:left w:val="none" w:sz="0" w:space="0" w:color="auto"/>
        <w:bottom w:val="none" w:sz="0" w:space="0" w:color="auto"/>
        <w:right w:val="none" w:sz="0" w:space="0" w:color="auto"/>
      </w:pBdr>
      <w:tabs>
        <w:tab w:val="center" w:pos="4153"/>
        <w:tab w:val="right" w:pos="8306"/>
      </w:tabs>
      <w:rPr>
        <w:rFonts w:ascii="宋体" w:eastAsia="宋体" w:hint="eastAsia"/>
        <w:sz w:val="28"/>
        <w:szCs w:val="28"/>
      </w:rPr>
    </w:pPr>
    <w:r>
      <w:rPr>
        <w:rStyle w:val="22"/>
        <w:rFonts w:ascii="宋体" w:eastAsia="宋体" w:hint="eastAsia"/>
        <w:sz w:val="28"/>
        <w:szCs w:val="28"/>
      </w:rPr>
      <w:fldChar w:fldCharType="begin"/>
    </w:r>
    <w:r>
      <w:rPr>
        <w:rStyle w:val="22"/>
        <w:rFonts w:ascii="宋体" w:eastAsia="宋体" w:hint="eastAsia"/>
        <w:sz w:val="28"/>
        <w:szCs w:val="28"/>
      </w:rPr>
      <w:instrText>Page</w:instrText>
    </w:r>
    <w:r>
      <w:rPr>
        <w:rStyle w:val="22"/>
        <w:rFonts w:ascii="宋体" w:eastAsia="宋体" w:hint="eastAsia"/>
        <w:sz w:val="28"/>
        <w:szCs w:val="28"/>
      </w:rPr>
      <w:fldChar w:fldCharType="separate"/>
    </w:r>
    <w:r>
      <w:rPr>
        <w:rStyle w:val="22"/>
        <w:rFonts w:ascii="宋体" w:eastAsia="宋体" w:hint="eastAsia"/>
        <w:sz w:val="28"/>
        <w:szCs w:val="28"/>
      </w:rPr>
      <w:t>- 1 -</w:t>
    </w:r>
    <w:r>
      <w:rPr>
        <w:rStyle w:val="22"/>
        <w:rFonts w:ascii="宋体" w:eastAsia="宋体" w:hint="eastAsia"/>
        <w:sz w:val="28"/>
        <w:szCs w:val="28"/>
      </w:rPr>
      <w:fldChar w:fldCharType="end"/>
    </w:r>
  </w:p>
  <w:p>
    <w:pPr>
      <w:pStyle w:val="16"/>
      <w:tabs>
        <w:tab w:val="center" w:pos="4153"/>
        <w:tab w:val="right" w:pos="8306"/>
      </w:tabs>
      <w:ind w:right="360" w:firstLine="360"/>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framePr w:w="0" w:hRule="auto" w:wrap="around" w:vAnchor="text" w:hAnchor="margin" w:xAlign="outside" w:y="1" w:anchorLock="0"/>
      <w:pBdr>
        <w:top w:val="none" w:sz="0" w:space="0" w:color="auto"/>
        <w:left w:val="none" w:sz="0" w:space="0" w:color="auto"/>
        <w:bottom w:val="none" w:sz="0" w:space="0" w:color="auto"/>
        <w:right w:val="none" w:sz="0" w:space="0" w:color="auto"/>
      </w:pBdr>
      <w:tabs>
        <w:tab w:val="center" w:pos="4153"/>
        <w:tab w:val="right" w:pos="8306"/>
      </w:tabs>
    </w:pPr>
    <w:r>
      <w:rPr>
        <w:rStyle w:val="22"/>
      </w:rPr>
      <w:fldChar w:fldCharType="begin"/>
    </w:r>
    <w:r>
      <w:rPr>
        <w:rStyle w:val="22"/>
      </w:rPr>
      <w:instrText>Page</w:instrText>
    </w:r>
    <w:r>
      <w:rPr>
        <w:rStyle w:val="22"/>
      </w:rPr>
      <w:fldChar w:fldCharType="separate"/>
    </w:r>
    <w:r>
      <w:rPr>
        <w:rStyle w:val="22"/>
      </w:rPr>
      <w:t>- 1 -</w:t>
    </w:r>
    <w:r>
      <w:rPr>
        <w:rStyle w:val="22"/>
      </w:rPr>
      <w:fldChar w:fldCharType="end"/>
    </w:r>
  </w:p>
  <w:p>
    <w:pPr>
      <w:pStyle w:val="16"/>
      <w:tabs>
        <w:tab w:val="center" w:pos="4153"/>
        <w:tab w:val="right" w:pos="8306"/>
      </w:tabs>
      <w:ind w:right="360" w:firstLine="360"/>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tabs>
        <w:tab w:val="center" w:pos="4153"/>
        <w:tab w:val="right" w:pos="8306"/>
      </w:tabs>
      <w:jc w:val="right"/>
    </w:pPr>
    <w:r>
      <w:fldChar w:fldCharType="begin"/>
    </w:r>
    <w:r>
      <w:instrText>Page</w:instrText>
    </w:r>
    <w:r>
      <w:fldChar w:fldCharType="separate"/>
    </w:r>
    <w:r>
      <w:t>- 1 -</w:t>
    </w:r>
    <w:r>
      <w:fldChar w:fldCharType="end"/>
    </w:r>
    <w:r>
      <w:fldChar w:fldCharType="begin"/>
    </w:r>
    <w:r>
      <w:instrText>NumPages</w:instrText>
    </w:r>
    <w:r>
      <w:fldChar w:fldCharType="separate"/>
    </w:r>
    <w:r>
      <w:t>7</w:t>
    </w:r>
    <w:r>
      <w:fldChar w:fldCharType="end"/>
    </w:r>
    <w:r>
      <w:fldChar w:fldCharType="begin"/>
    </w:r>
    <w:r>
      <w:instrText>Page</w:instrText>
    </w:r>
    <w:r>
      <w:fldChar w:fldCharType="separate"/>
    </w:r>
    <w:r>
      <w:t>- 1 -</w:t>
    </w:r>
    <w:r>
      <w:fldChar w:fldCharType="end"/>
    </w:r>
    <w:r>
      <w:fldChar w:fldCharType="begin"/>
    </w:r>
    <w:r>
      <w:instrText>Page</w:instrText>
    </w:r>
    <w:r>
      <w:fldChar w:fldCharType="separate"/>
    </w:r>
    <w:r>
      <w:t>- 1 -</w:t>
    </w:r>
    <w:r>
      <w:fldChar w:fldCharType="end"/>
    </w:r>
  </w:p>
  <w:p>
    <w:pPr>
      <w:pStyle w:val="16"/>
      <w:tabs>
        <w:tab w:val="center" w:pos="4153"/>
        <w:tab w:val="right" w:pos="8306"/>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90"/>
  <w:doNotDisplayPageBoundaries/>
  <w:bordersDoNotSurroundHeader/>
  <w:bordersDoNotSurroundFooter/>
  <w:trackRevisions/>
  <w:defaultTabStop w:val="420"/>
  <w:drawingGridHorizontalSpacing w:val="160"/>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方正仿宋_GBK" w:cs="Times New Roman" w:hAnsi="Times New Roman"/>
      <w:kern w:val="2"/>
      <w:sz w:val="32"/>
      <w:szCs w:val="22"/>
      <w:lang w:val="en-US" w:eastAsia="zh-CN" w:bidi="ar-SA"/>
    </w:rPr>
  </w:style>
  <w:style w:type="character" w:default="1" w:styleId="10">
    <w:name w:val="Default Paragraph Font"/>
  </w:style>
  <w:style w:type="paragraph" w:styleId="15">
    <w:name w:val="index 6"/>
    <w:basedOn w:val="0"/>
    <w:next w:val="0"/>
    <w:pPr>
      <w:ind w:left="2100"/>
    </w:pPr>
  </w:style>
  <w:style w:type="paragraph" w:styleId="16">
    <w:name w:val="footer"/>
    <w:basedOn w:val="0"/>
    <w:pPr>
      <w:tabs>
        <w:tab w:val="center" w:pos="4153"/>
        <w:tab w:val="right" w:pos="8306"/>
      </w:tabs>
      <w:snapToGrid w:val="0"/>
      <w:jc w:val="left"/>
    </w:pPr>
    <w:rPr>
      <w:sz w:val="18"/>
      <w:szCs w:val="18"/>
    </w:rPr>
  </w:style>
  <w:style w:type="paragraph" w:styleId="17">
    <w:name w:val="header"/>
    <w:basedOn w:val="0"/>
    <w:pPr>
      <w:pBdr>
        <w:bottom w:val="single" w:sz="6" w:space="1" w:color="auto"/>
      </w:pBdr>
      <w:tabs>
        <w:tab w:val="center" w:pos="4153"/>
        <w:tab w:val="right" w:pos="8307"/>
      </w:tabs>
      <w:snapToGrid w:val="0"/>
      <w:jc w:val="center"/>
    </w:pPr>
    <w:rPr>
      <w:sz w:val="18"/>
    </w:rPr>
  </w:style>
  <w:style w:type="paragraph" w:styleId="18">
    <w:name w:val="toc 1"/>
    <w:basedOn w:val="0"/>
    <w:next w:val="0"/>
  </w:style>
  <w:style w:type="paragraph" w:styleId="19">
    <w:name w:val="index 7"/>
    <w:basedOn w:val="0"/>
    <w:next w:val="0"/>
    <w:pPr>
      <w:ind w:left="2520"/>
    </w:pPr>
  </w:style>
  <w:style w:type="paragraph" w:styleId="20">
    <w:name w:val="toc 2"/>
    <w:basedOn w:val="0"/>
    <w:next w:val="0"/>
    <w:pPr>
      <w:ind w:left="420"/>
    </w:pPr>
  </w:style>
  <w:style w:type="paragraph" w:styleId="21">
    <w:name w:val="Normal (Web)"/>
    <w:next w:val="16"/>
    <w:pPr>
      <w:widowControl w:val="0"/>
      <w:spacing w:beforeAutospacing="1" w:afterAutospacing="1"/>
    </w:pPr>
    <w:rPr>
      <w:rFonts w:ascii="Times New Roman" w:eastAsia="宋体" w:cs="Times New Roman" w:hAnsi="Times New Roman"/>
      <w:sz w:val="24"/>
      <w:szCs w:val="30"/>
      <w:lang w:val="en-US" w:eastAsia="zh-CN" w:bidi="ar-SA"/>
    </w:rPr>
  </w:style>
  <w:style w:type="character" w:styleId="22">
    <w:name w:val="page number"/>
    <w:basedOn w:val="10"/>
  </w:style>
  <w:style w:type="paragraph" w:customStyle="1" w:styleId="23">
    <w:name w:val="样式 6 三号"/>
    <w:pPr>
      <w:widowControl w:val="0"/>
      <w:spacing w:line="560" w:lineRule="exact"/>
      <w:jc w:val="both"/>
    </w:pPr>
    <w:rPr>
      <w:rFonts w:ascii="Times New Roman" w:eastAsia="方正仿宋_GBK" w:cs="Times New Roman" w:hAnsi="Times New Roman"/>
      <w:spacing w:val="-4"/>
      <w:kern w:val="2"/>
      <w:sz w:val="32"/>
      <w:szCs w:val="28"/>
      <w:lang w:val="en-US" w:eastAsia="zh-CN" w:bidi="ar-SA"/>
    </w:rPr>
  </w:style>
  <w:style w:type="paragraph" w:customStyle="1" w:styleId="24">
    <w:name w:val="样式 24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25">
    <w:name w:val="样式 50 三号"/>
    <w:next w:val="15"/>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26">
    <w:name w:val="样式 10 磅"/>
    <w:next w:val="16"/>
    <w:pPr>
      <w:widowControl w:val="0"/>
      <w:jc w:val="both"/>
    </w:pPr>
    <w:rPr>
      <w:rFonts w:ascii="Times New Roman" w:eastAsia="宋体" w:cs="Times New Roman" w:hAnsi="Times New Roman"/>
      <w:kern w:val="2"/>
      <w:sz w:val="21"/>
      <w:szCs w:val="24"/>
      <w:lang w:val="en-US" w:eastAsia="zh-CN" w:bidi="ar-SA"/>
    </w:rPr>
  </w:style>
  <w:style w:type="character" w:customStyle="1" w:styleId="27">
    <w:name w:val="h-control-text-cont1"/>
  </w:style>
  <w:style w:type="paragraph" w:customStyle="1" w:styleId="28">
    <w:name w:val="样式 1 三号"/>
    <w:next w:val="18"/>
    <w:pPr>
      <w:widowControl w:val="0"/>
      <w:spacing w:line="560" w:lineRule="exact"/>
      <w:jc w:val="both"/>
    </w:pPr>
    <w:rPr>
      <w:rFonts w:ascii="Times New Roman" w:eastAsia="方正仿宋_GBK" w:cs="Times New Roman" w:hAnsi="Times New Roman"/>
      <w:spacing w:val="-4"/>
      <w:kern w:val="2"/>
      <w:sz w:val="32"/>
      <w:szCs w:val="28"/>
      <w:lang w:val="en-US" w:eastAsia="zh-CN" w:bidi="ar-SA"/>
    </w:rPr>
  </w:style>
  <w:style w:type="paragraph" w:customStyle="1" w:styleId="29">
    <w:name w:val="正文5"/>
    <w:pPr>
      <w:widowControl w:val="0"/>
      <w:jc w:val="both"/>
    </w:pPr>
    <w:rPr>
      <w:rFonts w:ascii="Times New Roman" w:eastAsia="方正仿宋_GBK" w:cs="Times New Roman" w:hAnsi="Times New Roman"/>
      <w:kern w:val="2"/>
      <w:sz w:val="32"/>
      <w:lang w:val="en-US" w:eastAsia="zh-CN" w:bidi="ar-SA"/>
    </w:rPr>
  </w:style>
  <w:style w:type="paragraph" w:customStyle="1" w:styleId="30">
    <w:name w:val="样式 小三"/>
    <w:next w:val="20"/>
    <w:pPr>
      <w:widowControl w:val="0"/>
      <w:jc w:val="both"/>
    </w:pPr>
    <w:rPr>
      <w:rFonts w:ascii="Times New Roman" w:eastAsia="宋体" w:cs="Times New Roman" w:hAnsi="Times New Roman"/>
      <w:kern w:val="2"/>
      <w:sz w:val="30"/>
      <w:szCs w:val="30"/>
      <w:lang w:val="en-US" w:eastAsia="zh-CN" w:bidi="ar-SA"/>
    </w:rPr>
  </w:style>
  <w:style w:type="paragraph" w:customStyle="1" w:styleId="31">
    <w:name w:val="样式 5 小三"/>
    <w:pPr>
      <w:widowControl w:val="0"/>
      <w:jc w:val="both"/>
    </w:pPr>
    <w:rPr>
      <w:rFonts w:ascii="Times New Roman" w:eastAsia="宋体" w:cs="Times New Roman" w:hAnsi="Times New Roman"/>
      <w:kern w:val="2"/>
      <w:sz w:val="30"/>
      <w:szCs w:val="30"/>
      <w:lang w:val="en-US" w:eastAsia="zh-CN" w:bidi="ar-SA"/>
    </w:rPr>
  </w:style>
  <w:style w:type="paragraph" w:customStyle="1" w:styleId="32">
    <w:name w:val="样式 16 小三"/>
    <w:pPr>
      <w:widowControl w:val="0"/>
      <w:jc w:val="both"/>
    </w:pPr>
    <w:rPr>
      <w:rFonts w:ascii="Times New Roman" w:eastAsia="宋体" w:cs="Times New Roman" w:hAnsi="Times New Roman"/>
      <w:kern w:val="2"/>
      <w:sz w:val="30"/>
      <w:szCs w:val="30"/>
      <w:lang w:val="en-US" w:eastAsia="zh-CN" w:bidi="ar-SA"/>
    </w:rPr>
  </w:style>
  <w:style w:type="paragraph" w:customStyle="1" w:styleId="33">
    <w:name w:val="样式 8 小三"/>
    <w:pPr>
      <w:widowControl w:val="0"/>
      <w:jc w:val="both"/>
    </w:pPr>
    <w:rPr>
      <w:rFonts w:ascii="Times New Roman" w:eastAsia="宋体" w:cs="Times New Roman" w:hAnsi="Times New Roman"/>
      <w:kern w:val="2"/>
      <w:sz w:val="30"/>
      <w:szCs w:val="30"/>
      <w:lang w:val="en-US" w:eastAsia="zh-CN" w:bidi="ar-SA"/>
    </w:rPr>
  </w:style>
  <w:style w:type="paragraph" w:customStyle="1" w:styleId="34">
    <w:name w:val="样式 17 小三"/>
    <w:pPr>
      <w:widowControl w:val="0"/>
      <w:jc w:val="both"/>
    </w:pPr>
    <w:rPr>
      <w:rFonts w:ascii="Times New Roman" w:eastAsia="宋体" w:cs="Times New Roman" w:hAnsi="Times New Roman"/>
      <w:kern w:val="2"/>
      <w:sz w:val="30"/>
      <w:szCs w:val="30"/>
      <w:lang w:val="en-US" w:eastAsia="zh-CN" w:bidi="ar-SA"/>
    </w:rPr>
  </w:style>
  <w:style w:type="paragraph" w:customStyle="1" w:styleId="35">
    <w:name w:val="样式 12 小三"/>
    <w:pPr>
      <w:widowControl w:val="0"/>
      <w:jc w:val="both"/>
    </w:pPr>
    <w:rPr>
      <w:rFonts w:ascii="Times New Roman" w:eastAsia="宋体" w:cs="Times New Roman" w:hAnsi="Times New Roman"/>
      <w:kern w:val="2"/>
      <w:sz w:val="30"/>
      <w:szCs w:val="30"/>
      <w:lang w:val="en-US" w:eastAsia="zh-CN" w:bidi="ar-SA"/>
    </w:rPr>
  </w:style>
  <w:style w:type="paragraph" w:customStyle="1" w:styleId="36">
    <w:name w:val="样式 8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37">
    <w:name w:val="样式 13 三号"/>
    <w:next w:val="19"/>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38">
    <w:name w:val="样式 7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39">
    <w:name w:val="样式 三号"/>
    <w:next w:val="16"/>
    <w:pPr>
      <w:widowControl w:val="0"/>
      <w:spacing w:line="560" w:lineRule="exact"/>
      <w:jc w:val="both"/>
    </w:pPr>
    <w:rPr>
      <w:rFonts w:ascii="Times New Roman" w:eastAsia="方正仿宋_GBK" w:cs="Times New Roman" w:hAnsi="Times New Roman"/>
      <w:spacing w:val="-4"/>
      <w:kern w:val="2"/>
      <w:sz w:val="32"/>
      <w:szCs w:val="32"/>
      <w:lang w:val="en-US" w:eastAsia="zh-CN" w:bidi="ar-SA"/>
    </w:rPr>
  </w:style>
  <w:style w:type="paragraph" w:customStyle="1" w:styleId="40">
    <w:name w:val="样式 2 三号"/>
    <w:pPr>
      <w:widowControl w:val="0"/>
      <w:ind w:left="2100"/>
      <w:jc w:val="both"/>
    </w:pPr>
    <w:rPr>
      <w:rFonts w:ascii="Times New Roman" w:eastAsia="方正仿宋_GBK" w:cs="Times New Roman" w:hAnsi="Times New Roman"/>
      <w:kern w:val="2"/>
      <w:sz w:val="32"/>
      <w:szCs w:val="22"/>
      <w:lang w:val="en-US" w:eastAsia="zh-CN" w:bidi="ar-SA"/>
    </w:rPr>
  </w:style>
  <w:style w:type="paragraph" w:customStyle="1" w:styleId="41">
    <w:name w:val="样式 小四"/>
    <w:pPr>
      <w:widowControl w:val="0"/>
      <w:spacing w:line="240" w:lineRule="auto"/>
      <w:jc w:val="left"/>
    </w:pPr>
    <w:rPr>
      <w:rFonts w:ascii="宋体" w:eastAsia="宋体" w:cs="Times New Roman"/>
      <w:kern w:val="2"/>
      <w:sz w:val="24"/>
      <w:szCs w:val="21"/>
      <w:lang w:val="en-US" w:eastAsia="zh-CN" w:bidi="ar-SA"/>
    </w:rPr>
  </w:style>
  <w:style w:type="paragraph" w:customStyle="1" w:styleId="42">
    <w:name w:val="样式 3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3">
    <w:name w:val="样式 4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4">
    <w:name w:val="样式 5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5">
    <w:name w:val="样式 9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6">
    <w:name w:val="样式 10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7">
    <w:name w:val="样式 11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8">
    <w:name w:val="样式 12 三号"/>
    <w:pPr>
      <w:widowControl w:val="0"/>
      <w:ind w:left="2100"/>
      <w:jc w:val="both"/>
    </w:pPr>
    <w:rPr>
      <w:rFonts w:ascii="Times New Roman" w:eastAsia="方正仿宋_GBK" w:cs="Times New Roman" w:hAnsi="Times New Roman"/>
      <w:kern w:val="2"/>
      <w:sz w:val="32"/>
      <w:szCs w:val="22"/>
      <w:lang w:val="en-US" w:eastAsia="zh-CN" w:bidi="ar-SA"/>
    </w:rPr>
  </w:style>
  <w:style w:type="paragraph" w:customStyle="1" w:styleId="49">
    <w:name w:val="样式 14 三号"/>
    <w:pPr>
      <w:widowControl w:val="0"/>
      <w:ind w:left="2100"/>
      <w:jc w:val="both"/>
    </w:pPr>
    <w:rPr>
      <w:rFonts w:ascii="Times New Roman" w:eastAsia="方正仿宋_GBK" w:cs="Times New Roman" w:hAnsi="Times New Roman"/>
      <w:kern w:val="2"/>
      <w:sz w:val="32"/>
      <w:szCs w:val="22"/>
      <w:lang w:val="en-US" w:eastAsia="zh-CN" w:bidi="ar-SA"/>
    </w:rPr>
  </w:style>
  <w:style w:type="paragraph" w:customStyle="1" w:styleId="50">
    <w:name w:val="样式 15 三号"/>
    <w:pPr>
      <w:widowControl w:val="0"/>
      <w:ind w:left="2100"/>
      <w:jc w:val="both"/>
    </w:pPr>
    <w:rPr>
      <w:rFonts w:ascii="Times New Roman" w:eastAsia="方正仿宋_GBK" w:cs="Times New Roman" w:hAnsi="Times New Roman"/>
      <w:kern w:val="2"/>
      <w:sz w:val="32"/>
      <w:szCs w:val="22"/>
      <w:lang w:val="en-US" w:eastAsia="zh-CN" w:bidi="ar-SA"/>
    </w:rPr>
  </w:style>
  <w:style w:type="paragraph" w:customStyle="1" w:styleId="51">
    <w:name w:val="样式 16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52">
    <w:name w:val="样式 17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53">
    <w:name w:val="样式 18 三号"/>
    <w:pPr>
      <w:widowControl w:val="0"/>
      <w:ind w:left="2100"/>
      <w:jc w:val="both"/>
    </w:pPr>
    <w:rPr>
      <w:rFonts w:ascii="Times New Roman" w:eastAsia="方正仿宋_GBK" w:cs="Times New Roman" w:hAnsi="Times New Roman"/>
      <w:kern w:val="2"/>
      <w:sz w:val="32"/>
      <w:szCs w:val="22"/>
      <w:lang w:val="en-US" w:eastAsia="zh-CN" w:bidi="ar-SA"/>
    </w:rPr>
  </w:style>
  <w:style w:type="paragraph" w:customStyle="1" w:styleId="54">
    <w:name w:val="样式 19 三号"/>
    <w:pPr>
      <w:widowControl w:val="0"/>
      <w:ind w:left="2100"/>
      <w:jc w:val="both"/>
    </w:pPr>
    <w:rPr>
      <w:rFonts w:ascii="Times New Roman" w:eastAsia="方正仿宋_GBK" w:cs="Times New Roman" w:hAnsi="Times New Roman"/>
      <w:kern w:val="2"/>
      <w:sz w:val="32"/>
      <w:szCs w:val="22"/>
      <w:lang w:val="en-US" w:eastAsia="zh-CN" w:bidi="ar-SA"/>
    </w:rPr>
  </w:style>
  <w:style w:type="paragraph" w:customStyle="1" w:styleId="55">
    <w:name w:val="样式 20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56">
    <w:name w:val="样式 21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57">
    <w:name w:val="样式 1 小四"/>
    <w:rPr>
      <w:rFonts w:ascii="Times New Roman" w:eastAsia="SimSun" w:cs="Times New Roman" w:hAnsi="Times New Roman"/>
      <w:sz w:val="24"/>
      <w:szCs w:val="24"/>
      <w:lang w:val="en-US" w:eastAsia="en-US" w:bidi="ar-SA"/>
    </w:rPr>
  </w:style>
  <w:style w:type="paragraph" w:customStyle="1" w:styleId="58">
    <w:name w:val="样式 22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59">
    <w:name w:val="样式 23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60">
    <w:name w:val="样式 25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61">
    <w:name w:val="样式 26 三号"/>
    <w:pPr>
      <w:widowControl w:val="0"/>
      <w:jc w:val="both"/>
    </w:pPr>
    <w:rPr>
      <w:rFonts w:ascii="Times New Roman" w:eastAsia="方正仿宋_GBK" w:cs="Times New Roman" w:hAnsi="Times New Roman"/>
      <w:kern w:val="2"/>
      <w:sz w:val="32"/>
      <w:lang w:val="en-US" w:eastAsia="zh-CN" w:bidi="ar-SA"/>
    </w:rPr>
  </w:style>
  <w:style w:type="paragraph" w:customStyle="1" w:styleId="62">
    <w:name w:val="样式 27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63">
    <w:name w:val="样式 28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64">
    <w:name w:val="样式 29 三号"/>
    <w:pPr>
      <w:widowControl w:val="0"/>
      <w:jc w:val="both"/>
    </w:pPr>
    <w:rPr>
      <w:rFonts w:ascii="Times New Roman" w:eastAsia="方正仿宋_GBK" w:cs="Times New Roman" w:hAnsi="Times New Roman"/>
      <w:kern w:val="2"/>
      <w:sz w:val="32"/>
      <w:lang w:val="en-US" w:eastAsia="zh-CN" w:bidi="ar-SA"/>
    </w:rPr>
  </w:style>
  <w:style w:type="paragraph" w:customStyle="1" w:styleId="65">
    <w:name w:val="样式 30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66">
    <w:name w:val="样式 31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67">
    <w:name w:val="样式 32 三号"/>
    <w:pPr>
      <w:widowControl w:val="0"/>
      <w:ind w:left="2100"/>
      <w:jc w:val="both"/>
    </w:pPr>
    <w:rPr>
      <w:rFonts w:ascii="Times New Roman" w:eastAsia="方正仿宋_GBK" w:cs="Times New Roman" w:hAnsi="Times New Roman"/>
      <w:kern w:val="2"/>
      <w:sz w:val="32"/>
      <w:szCs w:val="22"/>
      <w:lang w:val="en-US" w:eastAsia="zh-CN" w:bidi="ar-SA"/>
    </w:rPr>
  </w:style>
  <w:style w:type="paragraph" w:customStyle="1" w:styleId="68">
    <w:name w:val="样式 33 三号"/>
    <w:pPr>
      <w:widowControl w:val="0"/>
      <w:ind w:left="2100"/>
      <w:jc w:val="both"/>
    </w:pPr>
    <w:rPr>
      <w:rFonts w:ascii="Times New Roman" w:eastAsia="方正仿宋_GBK" w:cs="Times New Roman" w:hAnsi="Times New Roman"/>
      <w:kern w:val="2"/>
      <w:sz w:val="32"/>
      <w:szCs w:val="22"/>
      <w:lang w:val="en-US" w:eastAsia="zh-CN" w:bidi="ar-SA"/>
    </w:rPr>
  </w:style>
  <w:style w:type="paragraph" w:customStyle="1" w:styleId="69">
    <w:name w:val="样式 34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70">
    <w:name w:val="样式 35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71">
    <w:name w:val="样式 36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72">
    <w:name w:val="样式 37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73">
    <w:name w:val="样式 38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74">
    <w:name w:val="样式 39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75">
    <w:name w:val="样式 40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76">
    <w:name w:val="样式 41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77">
    <w:name w:val="样式 42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78">
    <w:name w:val="样式 43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79">
    <w:name w:val="样式 44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80">
    <w:name w:val="样式 45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81">
    <w:name w:val="样式 46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82">
    <w:name w:val="样式 47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83">
    <w:name w:val="样式 48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84">
    <w:name w:val="样式 49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styles" Target="styles.xml"/><Relationship Id="rId6" Type="http://schemas.openxmlformats.org/officeDocument/2006/relationships/fontTable" Target="fontTable.xml"/></Relationships>
</file>

<file path=docProps/app.xml><?xml version="1.0" encoding="utf-8"?>
<Properties xmlns="http://schemas.openxmlformats.org/officeDocument/2006/extended-properties">
  <Template>Normal.eit</Template>
  <TotalTime>4428</TotalTime>
  <Application>Yozo_Office</Application>
  <Pages>6</Pages>
  <Words>2273</Words>
  <Characters>2400</Characters>
  <Lines>426</Lines>
  <Paragraphs>308</Paragraphs>
  <CharactersWithSpaces>2400</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6074820</dc:creator>
  <cp:lastModifiedBy>苏伟</cp:lastModifiedBy>
  <cp:revision>1</cp:revision>
  <dcterms:created xsi:type="dcterms:W3CDTF">2023-12-18T01:50:00Z</dcterms:created>
  <dcterms:modified xsi:type="dcterms:W3CDTF">2026-01-28T08:26:50Z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2052-11.8.2.8053</vt:lpwstr>
  </property>
</Properties>
</file>