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jc w:val="center"/>
        <w:rPr>
          <w:rFonts w:eastAsia="方正小标宋_GBK"/>
          <w:sz w:val="44"/>
          <w:szCs w:val="44"/>
        </w:rPr>
      </w:pPr>
      <w:bookmarkStart w:id="0" w:name="_GoBack"/>
      <w:bookmarkEnd w:id="0"/>
      <w:r>
        <w:rPr>
          <w:rFonts w:eastAsia="方正小标宋_GBK" w:hint="eastAsia"/>
          <w:sz w:val="44"/>
          <w:szCs w:val="44"/>
        </w:rPr>
        <w:t>濠江海关2025年政府信息公开工作年度报告</w:t>
      </w:r>
    </w:p>
    <w:p>
      <w:pPr>
        <w:jc w:val="center"/>
        <w:rPr>
          <w:rFonts w:eastAsia="方正小标宋_GBK"/>
          <w:sz w:val="44"/>
          <w:szCs w:val="44"/>
        </w:rPr>
      </w:pPr>
    </w:p>
    <w:p>
      <w:pPr>
        <w:pStyle w:val="124"/>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suppressAutoHyphens w:val="0"/>
        <w:adjustRightInd w:val="0"/>
        <w:snapToGrid w:val="0"/>
        <w:spacing w:beforeAutospacing="0" w:afterAutospacing="0" w:line="560" w:lineRule="exact"/>
        <w:ind w:firstLineChars="200" w:firstLine="624"/>
        <w:contextualSpacing w:val="0"/>
        <w:jc w:val="both"/>
        <w:rPr>
          <w:rFonts w:eastAsia="方正仿宋_GBK"/>
          <w:bCs/>
          <w:vanish w:val="0"/>
          <w:spacing w:val="-4"/>
          <w:sz w:val="32"/>
          <w:szCs w:val="32"/>
          <w:shd w:val="clear" w:color="auto" w:fill="FFFFFF"/>
        </w:rPr>
      </w:pPr>
      <w:r>
        <w:rPr>
          <w:rFonts w:eastAsia="方正仿宋_GBK" w:hint="eastAsia"/>
          <w:bCs/>
          <w:vanish w:val="0"/>
          <w:spacing w:val="-4"/>
          <w:sz w:val="32"/>
          <w:szCs w:val="32"/>
          <w:shd w:val="clear" w:color="auto" w:fill="FFFFFF"/>
        </w:rPr>
        <w:t>本报告根据《中华人民共和国政府信息公开条例》《国务院办公厅政府信息与政务公开办公室关于政府信息公开工作年度报告有关事项的通知》等规定，梳理</w:t>
      </w:r>
      <w:r>
        <w:rPr>
          <w:rFonts w:eastAsia="方正仿宋_GBK"/>
          <w:bCs/>
          <w:vanish w:val="0"/>
          <w:spacing w:val="-4"/>
          <w:sz w:val="32"/>
          <w:szCs w:val="32"/>
          <w:shd w:val="clear" w:color="auto" w:fill="FFFFFF"/>
        </w:rPr>
        <w:t>2025</w:t>
      </w:r>
      <w:r>
        <w:rPr>
          <w:rFonts w:eastAsia="方正仿宋_GBK" w:hint="eastAsia"/>
          <w:bCs/>
          <w:vanish w:val="0"/>
          <w:spacing w:val="-4"/>
          <w:sz w:val="32"/>
          <w:szCs w:val="32"/>
          <w:shd w:val="clear" w:color="auto" w:fill="FFFFFF"/>
        </w:rPr>
        <w:t>年度濠江海关政府信息公开工作情况编制而成。报告中所有项目数据统计时间为</w:t>
      </w:r>
      <w:r>
        <w:rPr>
          <w:rFonts w:eastAsia="方正仿宋_GBK"/>
          <w:bCs/>
          <w:vanish w:val="0"/>
          <w:spacing w:val="-4"/>
          <w:sz w:val="32"/>
          <w:szCs w:val="32"/>
          <w:shd w:val="clear" w:color="auto" w:fill="FFFFFF"/>
        </w:rPr>
        <w:t>2025</w:t>
      </w:r>
      <w:r>
        <w:rPr>
          <w:rFonts w:eastAsia="方正仿宋_GBK" w:hint="eastAsia"/>
          <w:bCs/>
          <w:vanish w:val="0"/>
          <w:spacing w:val="-4"/>
          <w:sz w:val="32"/>
          <w:szCs w:val="32"/>
          <w:shd w:val="clear" w:color="auto" w:fill="FFFFFF"/>
        </w:rPr>
        <w:t>年</w:t>
      </w:r>
      <w:r>
        <w:rPr>
          <w:rFonts w:eastAsia="方正仿宋_GBK"/>
          <w:bCs/>
          <w:vanish w:val="0"/>
          <w:spacing w:val="-4"/>
          <w:sz w:val="32"/>
          <w:szCs w:val="32"/>
          <w:shd w:val="clear" w:color="auto" w:fill="FFFFFF"/>
        </w:rPr>
        <w:t>1</w:t>
      </w:r>
      <w:r>
        <w:rPr>
          <w:rFonts w:eastAsia="方正仿宋_GBK" w:hint="eastAsia"/>
          <w:bCs/>
          <w:vanish w:val="0"/>
          <w:spacing w:val="-4"/>
          <w:sz w:val="32"/>
          <w:szCs w:val="32"/>
          <w:shd w:val="clear" w:color="auto" w:fill="FFFFFF"/>
        </w:rPr>
        <w:t>月</w:t>
      </w:r>
      <w:r>
        <w:rPr>
          <w:rFonts w:eastAsia="方正仿宋_GBK"/>
          <w:bCs/>
          <w:vanish w:val="0"/>
          <w:spacing w:val="-4"/>
          <w:sz w:val="32"/>
          <w:szCs w:val="32"/>
          <w:shd w:val="clear" w:color="auto" w:fill="FFFFFF"/>
        </w:rPr>
        <w:t>1</w:t>
      </w:r>
      <w:r>
        <w:rPr>
          <w:rFonts w:eastAsia="方正仿宋_GBK" w:hint="eastAsia"/>
          <w:bCs/>
          <w:vanish w:val="0"/>
          <w:spacing w:val="-4"/>
          <w:sz w:val="32"/>
          <w:szCs w:val="32"/>
          <w:shd w:val="clear" w:color="auto" w:fill="FFFFFF"/>
        </w:rPr>
        <w:t>日至</w:t>
      </w:r>
      <w:r>
        <w:rPr>
          <w:rFonts w:eastAsia="方正仿宋_GBK"/>
          <w:bCs/>
          <w:vanish w:val="0"/>
          <w:spacing w:val="-4"/>
          <w:sz w:val="32"/>
          <w:szCs w:val="32"/>
          <w:shd w:val="clear" w:color="auto" w:fill="FFFFFF"/>
        </w:rPr>
        <w:t>12</w:t>
      </w:r>
      <w:r>
        <w:rPr>
          <w:rFonts w:eastAsia="方正仿宋_GBK" w:hint="eastAsia"/>
          <w:bCs/>
          <w:vanish w:val="0"/>
          <w:spacing w:val="-4"/>
          <w:sz w:val="32"/>
          <w:szCs w:val="32"/>
          <w:shd w:val="clear" w:color="auto" w:fill="FFFFFF"/>
        </w:rPr>
        <w:t>月</w:t>
      </w:r>
      <w:r>
        <w:rPr>
          <w:rFonts w:eastAsia="方正仿宋_GBK"/>
          <w:bCs/>
          <w:vanish w:val="0"/>
          <w:spacing w:val="-4"/>
          <w:sz w:val="32"/>
          <w:szCs w:val="32"/>
          <w:shd w:val="clear" w:color="auto" w:fill="FFFFFF"/>
        </w:rPr>
        <w:t>31</w:t>
      </w:r>
      <w:r>
        <w:rPr>
          <w:rFonts w:eastAsia="方正仿宋_GBK" w:hint="eastAsia"/>
          <w:bCs/>
          <w:vanish w:val="0"/>
          <w:spacing w:val="-4"/>
          <w:sz w:val="32"/>
          <w:szCs w:val="32"/>
          <w:shd w:val="clear" w:color="auto" w:fill="FFFFFF"/>
        </w:rPr>
        <w:t>日。本报告</w:t>
      </w:r>
      <w:r>
        <w:rPr>
          <w:rFonts w:eastAsia="方正仿宋_GBK" w:cs="楷体_GB2312" w:hint="eastAsia"/>
          <w:bCs/>
          <w:vanish w:val="0"/>
          <w:spacing w:val="-4"/>
          <w:sz w:val="32"/>
          <w:szCs w:val="32"/>
          <w:shd w:val="clear" w:color="auto" w:fill="FFFFFF"/>
        </w:rPr>
        <w:t>的电子版可在“汕头海关门户网站”</w:t>
      </w:r>
      <w:r>
        <w:rPr>
          <w:rFonts w:eastAsia="方正仿宋_GBK" w:hint="eastAsia"/>
          <w:bCs/>
          <w:vanish w:val="0"/>
          <w:spacing w:val="-4"/>
          <w:sz w:val="32"/>
          <w:szCs w:val="32"/>
          <w:shd w:val="clear" w:color="auto" w:fill="FFFFFF"/>
        </w:rPr>
        <w:t>（</w:t>
      </w:r>
      <w:r>
        <w:rPr>
          <w:rFonts w:eastAsia="方正仿宋_GBK"/>
          <w:bCs/>
          <w:vanish w:val="0"/>
          <w:spacing w:val="-4"/>
          <w:sz w:val="32"/>
          <w:szCs w:val="32"/>
          <w:shd w:val="clear" w:color="auto" w:fill="FFFFFF"/>
        </w:rPr>
        <w:t>http://shantou.customs.gov.cn/</w:t>
      </w:r>
      <w:r>
        <w:rPr>
          <w:rFonts w:eastAsia="方正仿宋_GBK" w:hint="eastAsia"/>
          <w:bCs/>
          <w:vanish w:val="0"/>
          <w:spacing w:val="-4"/>
          <w:sz w:val="32"/>
          <w:szCs w:val="32"/>
          <w:shd w:val="clear" w:color="auto" w:fill="FFFFFF"/>
        </w:rPr>
        <w:t>）</w:t>
      </w:r>
      <w:r>
        <w:rPr>
          <w:rFonts w:eastAsia="方正仿宋_GBK" w:cs="楷体_GB2312" w:hint="eastAsia"/>
          <w:bCs/>
          <w:vanish w:val="0"/>
          <w:spacing w:val="-4"/>
          <w:sz w:val="32"/>
          <w:szCs w:val="32"/>
          <w:shd w:val="clear" w:color="auto" w:fill="FFFFFF"/>
        </w:rPr>
        <w:t>下</w:t>
      </w:r>
      <w:r>
        <w:rPr>
          <w:rFonts w:eastAsia="方正仿宋_GBK" w:hint="eastAsia"/>
          <w:bCs/>
          <w:vanish w:val="0"/>
          <w:spacing w:val="-4"/>
          <w:sz w:val="32"/>
          <w:szCs w:val="32"/>
          <w:shd w:val="clear" w:color="auto" w:fill="FFFFFF"/>
        </w:rPr>
        <w:t>载。如对本报告有任何疑问，请与濠江海关办公室联系，电话：</w:t>
      </w:r>
      <w:r>
        <w:rPr>
          <w:rFonts w:eastAsia="方正仿宋_GBK"/>
          <w:bCs/>
          <w:vanish w:val="0"/>
          <w:spacing w:val="-4"/>
          <w:sz w:val="32"/>
          <w:szCs w:val="32"/>
          <w:shd w:val="clear" w:color="auto" w:fill="FFFFFF"/>
        </w:rPr>
        <w:t>0754-83592298</w:t>
      </w:r>
      <w:r>
        <w:rPr>
          <w:rFonts w:eastAsia="方正仿宋_GBK" w:hint="eastAsia"/>
          <w:bCs/>
          <w:vanish w:val="0"/>
          <w:spacing w:val="-4"/>
          <w:sz w:val="32"/>
          <w:szCs w:val="32"/>
          <w:shd w:val="clear" w:color="auto" w:fill="FFFFFF"/>
        </w:rPr>
        <w:t>。</w:t>
      </w:r>
    </w:p>
    <w:p>
      <w:pPr>
        <w:pStyle w:val="124"/>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suppressAutoHyphens w:val="0"/>
        <w:adjustRightInd w:val="0"/>
        <w:snapToGrid w:val="0"/>
        <w:spacing w:beforeAutospacing="0" w:afterAutospacing="0" w:line="560" w:lineRule="exact"/>
        <w:ind w:firstLineChars="200" w:firstLine="640"/>
        <w:contextualSpacing w:val="0"/>
        <w:jc w:val="both"/>
        <w:rPr>
          <w:rFonts w:eastAsia="方正黑体_GBK" w:cs="楷体_GB2312" w:hint="eastAsia"/>
          <w:bCs/>
          <w:vanish w:val="0"/>
          <w:color w:val="FF0000"/>
          <w:sz w:val="32"/>
          <w:szCs w:val="32"/>
          <w:shd w:val="clear" w:color="auto" w:fill="FFFFFF"/>
        </w:rPr>
      </w:pPr>
      <w:r>
        <w:rPr>
          <w:rFonts w:eastAsia="方正黑体_GBK" w:cs="楷体_GB2312" w:hint="eastAsia"/>
          <w:bCs/>
          <w:vanish w:val="0"/>
          <w:sz w:val="32"/>
          <w:szCs w:val="32"/>
          <w:shd w:val="clear" w:color="auto" w:fill="FFFFFF"/>
        </w:rPr>
        <w:t>一、总体情况</w:t>
      </w:r>
    </w:p>
    <w:p>
      <w:pPr>
        <w:pStyle w:val="124"/>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suppressAutoHyphens w:val="0"/>
        <w:adjustRightInd w:val="0"/>
        <w:snapToGrid w:val="0"/>
        <w:spacing w:beforeAutospacing="0" w:afterAutospacing="0" w:line="560" w:lineRule="exact"/>
        <w:ind w:firstLineChars="200" w:firstLine="640"/>
        <w:contextualSpacing w:val="0"/>
        <w:jc w:val="both"/>
        <w:rPr>
          <w:rFonts w:eastAsia="方正仿宋_GBK"/>
          <w:vanish w:val="0"/>
          <w:sz w:val="32"/>
          <w:szCs w:val="32"/>
          <w:shd w:val="clear" w:color="auto" w:fill="FFFFFF"/>
        </w:rPr>
      </w:pPr>
      <w:r>
        <w:rPr>
          <w:rFonts w:eastAsia="方正仿宋_GBK"/>
          <w:vanish w:val="0"/>
          <w:sz w:val="32"/>
          <w:szCs w:val="32"/>
          <w:shd w:val="clear" w:color="auto" w:fill="FFFFFF"/>
        </w:rPr>
        <w:t>2025</w:t>
      </w:r>
      <w:r>
        <w:rPr>
          <w:rFonts w:eastAsia="方正仿宋_GBK" w:hint="eastAsia"/>
          <w:vanish w:val="0"/>
          <w:sz w:val="32"/>
          <w:szCs w:val="32"/>
          <w:shd w:val="clear" w:color="auto" w:fill="FFFFFF"/>
        </w:rPr>
        <w:t>年，濠江海关坚持以习近平新时代中国特色社会主义思想为指导，严格执行《中华人民共和国政府信息公开条例》，切实紧贴本关工作重心和公众需求，</w:t>
      </w:r>
      <w:r>
        <w:rPr>
          <w:rFonts w:eastAsia="方正仿宋_GBK"/>
          <w:vanish w:val="0"/>
          <w:sz w:val="32"/>
          <w:szCs w:val="32"/>
          <w:shd w:val="clear" w:color="auto" w:fill="FFFFFF"/>
        </w:rPr>
        <w:t>扎实推进</w:t>
      </w:r>
      <w:r>
        <w:rPr>
          <w:rFonts w:eastAsia="方正仿宋_GBK" w:hint="eastAsia"/>
          <w:vanish w:val="0"/>
          <w:sz w:val="32"/>
          <w:szCs w:val="32"/>
          <w:shd w:val="clear" w:color="auto" w:fill="FFFFFF"/>
        </w:rPr>
        <w:t>政府信息公开工作。</w:t>
      </w:r>
      <w:r>
        <w:rPr>
          <w:rFonts w:eastAsia="方正仿宋_GBK"/>
          <w:vanish w:val="0"/>
          <w:sz w:val="32"/>
          <w:szCs w:val="32"/>
          <w:shd w:val="clear" w:color="auto" w:fill="FFFFFF"/>
        </w:rPr>
        <w:t>主要工作如下：</w:t>
      </w:r>
    </w:p>
    <w:p>
      <w:pPr>
        <w:pStyle w:val="124"/>
        <w:keepNext w:val="0"/>
        <w:keepLines w:val="0"/>
        <w:pageBreakBefore w:val="0"/>
        <w:widowControl/>
        <w:suppressLineNumbers w:val="0"/>
        <w:shd w:val="clear" w:color="auto" w:fill="FFFFFF"/>
        <w:suppressAutoHyphens w:val="0"/>
        <w:adjustRightInd w:val="0"/>
        <w:snapToGrid w:val="0"/>
        <w:spacing w:beforeAutospacing="0" w:afterAutospacing="0" w:line="560" w:lineRule="exact"/>
        <w:ind w:firstLineChars="200" w:firstLine="640"/>
        <w:contextualSpacing w:val="0"/>
        <w:jc w:val="both"/>
        <w:rPr>
          <w:rFonts w:eastAsia="方正仿宋_GBK"/>
          <w:b w:val="0"/>
          <w:bCs w:val="0"/>
          <w:i w:val="0"/>
          <w:iCs w:val="0"/>
          <w:caps w:val="0"/>
          <w:smallCaps w:val="0"/>
          <w:color w:val="000000"/>
          <w:spacing w:val="0"/>
          <w:sz w:val="32"/>
          <w:szCs w:val="32"/>
        </w:rPr>
      </w:pPr>
      <w:r>
        <w:rPr>
          <w:rFonts w:eastAsia="方正楷体_GBK" w:hint="eastAsia"/>
          <w:vanish w:val="0"/>
          <w:color w:val="000000"/>
          <w:sz w:val="32"/>
          <w:szCs w:val="32"/>
          <w:shd w:val="clear" w:color="auto" w:fill="FFFFFF"/>
        </w:rPr>
        <w:t>（一）</w:t>
      </w:r>
      <w:r>
        <w:rPr>
          <w:rFonts w:eastAsia="方正楷体_GBK" w:hint="eastAsia"/>
          <w:b w:val="0"/>
          <w:bCs w:val="0"/>
          <w:i w:val="0"/>
          <w:iCs w:val="0"/>
          <w:caps w:val="0"/>
          <w:smallCaps w:val="0"/>
          <w:color w:val="000000"/>
          <w:spacing w:val="0"/>
          <w:sz w:val="32"/>
          <w:szCs w:val="32"/>
        </w:rPr>
        <w:t>健全工作机制，</w:t>
      </w:r>
      <w:r>
        <w:rPr>
          <w:rFonts w:eastAsia="方正楷体_GBK"/>
          <w:b w:val="0"/>
          <w:bCs w:val="0"/>
          <w:i w:val="0"/>
          <w:iCs w:val="0"/>
          <w:caps w:val="0"/>
          <w:smallCaps w:val="0"/>
          <w:color w:val="000000"/>
          <w:spacing w:val="0"/>
          <w:sz w:val="32"/>
          <w:szCs w:val="32"/>
        </w:rPr>
        <w:t>抓实</w:t>
      </w:r>
      <w:r>
        <w:rPr>
          <w:rFonts w:eastAsia="方正楷体_GBK" w:hint="eastAsia"/>
          <w:b w:val="0"/>
          <w:bCs w:val="0"/>
          <w:i w:val="0"/>
          <w:iCs w:val="0"/>
          <w:caps w:val="0"/>
          <w:smallCaps w:val="0"/>
          <w:color w:val="000000"/>
          <w:spacing w:val="0"/>
          <w:sz w:val="32"/>
          <w:szCs w:val="32"/>
        </w:rPr>
        <w:t>组织统筹</w:t>
      </w:r>
      <w:r>
        <w:rPr>
          <w:rFonts w:eastAsia="方正楷体_GBK"/>
          <w:b w:val="0"/>
          <w:bCs w:val="0"/>
          <w:i w:val="0"/>
          <w:iCs w:val="0"/>
          <w:caps w:val="0"/>
          <w:smallCaps w:val="0"/>
          <w:color w:val="000000"/>
          <w:spacing w:val="0"/>
          <w:sz w:val="32"/>
          <w:szCs w:val="32"/>
        </w:rPr>
        <w:t>。</w:t>
      </w:r>
      <w:r>
        <w:rPr>
          <w:rFonts w:eastAsia="方正仿宋_GBK" w:hint="eastAsia"/>
          <w:b w:val="0"/>
          <w:bCs w:val="0"/>
          <w:i w:val="0"/>
          <w:iCs w:val="0"/>
          <w:caps w:val="0"/>
          <w:smallCaps w:val="0"/>
          <w:color w:val="000000"/>
          <w:spacing w:val="0"/>
          <w:sz w:val="32"/>
          <w:szCs w:val="32"/>
        </w:rPr>
        <w:t>以政府信息公开标准化建设为抓手，搭建全链条责任管理体系</w:t>
      </w:r>
      <w:r>
        <w:rPr>
          <w:rFonts w:eastAsia="方正仿宋_GBK"/>
          <w:b w:val="0"/>
          <w:bCs w:val="0"/>
          <w:i w:val="0"/>
          <w:iCs w:val="0"/>
          <w:caps w:val="0"/>
          <w:smallCaps w:val="0"/>
          <w:color w:val="000000"/>
          <w:spacing w:val="0"/>
          <w:sz w:val="32"/>
          <w:szCs w:val="32"/>
        </w:rPr>
        <w:t>，即由</w:t>
      </w:r>
      <w:r>
        <w:rPr>
          <w:rFonts w:eastAsia="方正仿宋_GBK" w:hint="eastAsia"/>
          <w:b w:val="0"/>
          <w:bCs w:val="0"/>
          <w:i w:val="0"/>
          <w:iCs w:val="0"/>
          <w:caps w:val="0"/>
          <w:smallCaps w:val="0"/>
          <w:color w:val="000000"/>
          <w:spacing w:val="0"/>
          <w:sz w:val="32"/>
          <w:szCs w:val="32"/>
        </w:rPr>
        <w:t>工作领导小组</w:t>
      </w:r>
      <w:r>
        <w:rPr>
          <w:rFonts w:eastAsia="方正仿宋_GBK"/>
          <w:b w:val="0"/>
          <w:bCs w:val="0"/>
          <w:i w:val="0"/>
          <w:iCs w:val="0"/>
          <w:caps w:val="0"/>
          <w:smallCaps w:val="0"/>
          <w:color w:val="000000"/>
          <w:spacing w:val="0"/>
          <w:sz w:val="32"/>
          <w:szCs w:val="32"/>
        </w:rPr>
        <w:t>牵头开展</w:t>
      </w:r>
      <w:r>
        <w:rPr>
          <w:rFonts w:eastAsia="方正仿宋_GBK" w:hint="eastAsia"/>
          <w:b w:val="0"/>
          <w:bCs w:val="0"/>
          <w:i w:val="0"/>
          <w:iCs w:val="0"/>
          <w:caps w:val="0"/>
          <w:smallCaps w:val="0"/>
          <w:color w:val="000000"/>
          <w:spacing w:val="0"/>
          <w:sz w:val="32"/>
          <w:szCs w:val="32"/>
        </w:rPr>
        <w:t>，分管领导主抓</w:t>
      </w:r>
      <w:r>
        <w:rPr>
          <w:rFonts w:eastAsia="方正仿宋_GBK"/>
          <w:b w:val="0"/>
          <w:bCs w:val="0"/>
          <w:i w:val="0"/>
          <w:iCs w:val="0"/>
          <w:caps w:val="0"/>
          <w:smallCaps w:val="0"/>
          <w:color w:val="000000"/>
          <w:spacing w:val="0"/>
          <w:sz w:val="32"/>
          <w:szCs w:val="32"/>
        </w:rPr>
        <w:t>落实</w:t>
      </w:r>
      <w:r>
        <w:rPr>
          <w:rFonts w:eastAsia="方正仿宋_GBK" w:hint="eastAsia"/>
          <w:b w:val="0"/>
          <w:bCs w:val="0"/>
          <w:i w:val="0"/>
          <w:iCs w:val="0"/>
          <w:caps w:val="0"/>
          <w:smallCaps w:val="0"/>
          <w:color w:val="000000"/>
          <w:spacing w:val="0"/>
          <w:sz w:val="32"/>
          <w:szCs w:val="32"/>
        </w:rPr>
        <w:t>、科室协同配合的组织架构</w:t>
      </w:r>
      <w:r>
        <w:rPr>
          <w:rFonts w:eastAsia="方正仿宋_GBK"/>
          <w:b w:val="0"/>
          <w:bCs w:val="0"/>
          <w:i w:val="0"/>
          <w:iCs w:val="0"/>
          <w:caps w:val="0"/>
          <w:smallCaps w:val="0"/>
          <w:color w:val="000000"/>
          <w:spacing w:val="0"/>
          <w:sz w:val="32"/>
          <w:szCs w:val="32"/>
        </w:rPr>
        <w:t>；</w:t>
      </w:r>
      <w:r>
        <w:rPr>
          <w:rFonts w:eastAsia="方正仿宋_GBK" w:hint="eastAsia"/>
          <w:b w:val="0"/>
          <w:bCs w:val="0"/>
          <w:i w:val="0"/>
          <w:iCs w:val="0"/>
          <w:caps w:val="0"/>
          <w:smallCaps w:val="0"/>
          <w:color w:val="000000"/>
          <w:spacing w:val="0"/>
          <w:sz w:val="32"/>
          <w:szCs w:val="32"/>
        </w:rPr>
        <w:t>同步建立办公室统筹、业务科室联动</w:t>
      </w:r>
      <w:r>
        <w:rPr>
          <w:rFonts w:eastAsia="方正仿宋_GBK"/>
          <w:b w:val="0"/>
          <w:bCs w:val="0"/>
          <w:i w:val="0"/>
          <w:iCs w:val="0"/>
          <w:caps w:val="0"/>
          <w:smallCaps w:val="0"/>
          <w:color w:val="000000"/>
          <w:spacing w:val="0"/>
          <w:sz w:val="32"/>
          <w:szCs w:val="32"/>
        </w:rPr>
        <w:t>的</w:t>
      </w:r>
      <w:r>
        <w:rPr>
          <w:rFonts w:eastAsia="方正仿宋_GBK" w:hint="eastAsia"/>
          <w:b w:val="0"/>
          <w:bCs w:val="0"/>
          <w:i w:val="0"/>
          <w:iCs w:val="0"/>
          <w:caps w:val="0"/>
          <w:smallCaps w:val="0"/>
          <w:color w:val="000000"/>
          <w:spacing w:val="0"/>
          <w:sz w:val="32"/>
          <w:szCs w:val="32"/>
        </w:rPr>
        <w:t>工作机制，</w:t>
      </w:r>
      <w:r>
        <w:rPr>
          <w:rFonts w:eastAsia="方正仿宋_GBK"/>
          <w:b w:val="0"/>
          <w:bCs w:val="0"/>
          <w:i w:val="0"/>
          <w:iCs w:val="0"/>
          <w:caps w:val="0"/>
          <w:smallCaps w:val="0"/>
          <w:color w:val="000000"/>
          <w:spacing w:val="0"/>
          <w:sz w:val="32"/>
          <w:szCs w:val="32"/>
        </w:rPr>
        <w:t>层层</w:t>
      </w:r>
      <w:r>
        <w:rPr>
          <w:rFonts w:eastAsia="方正仿宋_GBK" w:hint="eastAsia"/>
          <w:b w:val="0"/>
          <w:bCs w:val="0"/>
          <w:i w:val="0"/>
          <w:iCs w:val="0"/>
          <w:caps w:val="0"/>
          <w:smallCaps w:val="0"/>
          <w:color w:val="000000"/>
          <w:spacing w:val="0"/>
          <w:sz w:val="32"/>
          <w:szCs w:val="32"/>
        </w:rPr>
        <w:t>压实工作责任。结合人员变动动态调整岗位责任人，对标海关政务公开工作要点</w:t>
      </w:r>
      <w:r>
        <w:rPr>
          <w:rFonts w:eastAsia="方正仿宋_GBK"/>
          <w:b w:val="0"/>
          <w:bCs w:val="0"/>
          <w:i w:val="0"/>
          <w:iCs w:val="0"/>
          <w:caps w:val="0"/>
          <w:smallCaps w:val="0"/>
          <w:color w:val="000000"/>
          <w:spacing w:val="0"/>
          <w:sz w:val="32"/>
          <w:szCs w:val="32"/>
        </w:rPr>
        <w:t>及政策文件，</w:t>
      </w:r>
      <w:r>
        <w:rPr>
          <w:rFonts w:eastAsia="方正仿宋_GBK" w:hint="eastAsia"/>
          <w:b w:val="0"/>
          <w:bCs w:val="0"/>
          <w:i w:val="0"/>
          <w:iCs w:val="0"/>
          <w:caps w:val="0"/>
          <w:smallCaps w:val="0"/>
          <w:color w:val="000000"/>
          <w:spacing w:val="0"/>
          <w:sz w:val="32"/>
          <w:szCs w:val="32"/>
        </w:rPr>
        <w:t>分解</w:t>
      </w:r>
      <w:r>
        <w:rPr>
          <w:rFonts w:eastAsia="方正仿宋_GBK"/>
          <w:b w:val="0"/>
          <w:bCs w:val="0"/>
          <w:i w:val="0"/>
          <w:iCs w:val="0"/>
          <w:caps w:val="0"/>
          <w:smallCaps w:val="0"/>
          <w:color w:val="000000"/>
          <w:spacing w:val="0"/>
          <w:sz w:val="32"/>
          <w:szCs w:val="32"/>
        </w:rPr>
        <w:t>并细化</w:t>
      </w:r>
      <w:r>
        <w:rPr>
          <w:rFonts w:eastAsia="方正仿宋_GBK" w:hint="eastAsia"/>
          <w:b w:val="0"/>
          <w:bCs w:val="0"/>
          <w:i w:val="0"/>
          <w:iCs w:val="0"/>
          <w:caps w:val="0"/>
          <w:smallCaps w:val="0"/>
          <w:color w:val="000000"/>
          <w:spacing w:val="0"/>
          <w:sz w:val="32"/>
          <w:szCs w:val="32"/>
        </w:rPr>
        <w:t>年度任务，</w:t>
      </w:r>
      <w:r>
        <w:rPr>
          <w:rFonts w:eastAsia="方正仿宋_GBK"/>
          <w:b w:val="0"/>
          <w:bCs w:val="0"/>
          <w:i w:val="0"/>
          <w:iCs w:val="0"/>
          <w:caps w:val="0"/>
          <w:smallCaps w:val="0"/>
          <w:color w:val="000000"/>
          <w:spacing w:val="0"/>
          <w:sz w:val="32"/>
          <w:szCs w:val="32"/>
        </w:rPr>
        <w:t>严格</w:t>
      </w:r>
      <w:r>
        <w:rPr>
          <w:rFonts w:eastAsia="方正仿宋_GBK" w:hint="eastAsia"/>
          <w:b w:val="0"/>
          <w:bCs w:val="0"/>
          <w:i w:val="0"/>
          <w:iCs w:val="0"/>
          <w:caps w:val="0"/>
          <w:smallCaps w:val="0"/>
          <w:color w:val="000000"/>
          <w:spacing w:val="0"/>
          <w:sz w:val="32"/>
          <w:szCs w:val="32"/>
        </w:rPr>
        <w:t>落实政务公开审查、流程管理等制度规范，通过制度闭环让政府信息公开的每一个环节都有规可依、有责可追。</w:t>
      </w:r>
    </w:p>
    <w:p>
      <w:pPr>
        <w:pStyle w:val="124"/>
        <w:keepNext w:val="0"/>
        <w:keepLines w:val="0"/>
        <w:pageBreakBefore w:val="0"/>
        <w:widowControl/>
        <w:suppressLineNumbers w:val="0"/>
        <w:shd w:val="clear" w:color="auto" w:fill="FFFFFF"/>
        <w:suppressAutoHyphens w:val="0"/>
        <w:adjustRightInd w:val="0"/>
        <w:snapToGrid w:val="0"/>
        <w:spacing w:beforeAutospacing="0" w:afterAutospacing="0" w:line="560" w:lineRule="exact"/>
        <w:ind w:firstLineChars="200" w:firstLine="640"/>
        <w:contextualSpacing w:val="0"/>
        <w:jc w:val="both"/>
        <w:rPr>
          <w:rFonts w:eastAsia="方正仿宋_GBK"/>
          <w:b w:val="0"/>
          <w:bCs w:val="0"/>
          <w:i w:val="0"/>
          <w:iCs w:val="0"/>
          <w:caps w:val="0"/>
          <w:smallCaps w:val="0"/>
          <w:color w:val="000000"/>
          <w:spacing w:val="0"/>
          <w:sz w:val="32"/>
          <w:szCs w:val="32"/>
        </w:rPr>
      </w:pPr>
      <w:r>
        <w:rPr>
          <w:rFonts w:eastAsia="方正楷体_GBK" w:hint="eastAsia"/>
          <w:b w:val="0"/>
          <w:bCs w:val="0"/>
          <w:i w:val="0"/>
          <w:iCs w:val="0"/>
          <w:caps w:val="0"/>
          <w:smallCaps w:val="0"/>
          <w:color w:val="000000"/>
          <w:spacing w:val="0"/>
          <w:sz w:val="32"/>
          <w:szCs w:val="32"/>
        </w:rPr>
        <w:t>（二）</w:t>
      </w:r>
      <w:r>
        <w:rPr>
          <w:rFonts w:eastAsia="方正楷体_GBK" w:hint="eastAsia"/>
          <w:b w:val="0"/>
          <w:bCs w:val="0"/>
          <w:i w:val="0"/>
          <w:iCs w:val="0"/>
          <w:caps w:val="0"/>
          <w:smallCaps w:val="0"/>
          <w:color w:val="000000"/>
          <w:spacing w:val="0"/>
          <w:sz w:val="32"/>
          <w:szCs w:val="32"/>
        </w:rPr>
        <w:t>打造专属阵地，</w:t>
      </w:r>
      <w:r>
        <w:rPr>
          <w:rFonts w:eastAsia="方正楷体_GBK"/>
          <w:b w:val="0"/>
          <w:bCs w:val="0"/>
          <w:i w:val="0"/>
          <w:iCs w:val="0"/>
          <w:caps w:val="0"/>
          <w:smallCaps w:val="0"/>
          <w:color w:val="000000"/>
          <w:spacing w:val="0"/>
          <w:sz w:val="32"/>
          <w:szCs w:val="32"/>
        </w:rPr>
        <w:t>拓展信息</w:t>
      </w:r>
      <w:r>
        <w:rPr>
          <w:rFonts w:eastAsia="方正楷体_GBK" w:hint="eastAsia"/>
          <w:b w:val="0"/>
          <w:bCs w:val="0"/>
          <w:i w:val="0"/>
          <w:iCs w:val="0"/>
          <w:caps w:val="0"/>
          <w:smallCaps w:val="0"/>
          <w:color w:val="000000"/>
          <w:spacing w:val="0"/>
          <w:sz w:val="32"/>
          <w:szCs w:val="32"/>
        </w:rPr>
        <w:t>渠道</w:t>
      </w:r>
      <w:r>
        <w:rPr>
          <w:rFonts w:eastAsia="方正楷体_GBK"/>
          <w:b w:val="0"/>
          <w:bCs w:val="0"/>
          <w:i w:val="0"/>
          <w:iCs w:val="0"/>
          <w:caps w:val="0"/>
          <w:smallCaps w:val="0"/>
          <w:color w:val="000000"/>
          <w:spacing w:val="0"/>
          <w:sz w:val="32"/>
          <w:szCs w:val="32"/>
        </w:rPr>
        <w:t>。</w:t>
      </w:r>
      <w:r>
        <w:rPr>
          <w:rFonts w:eastAsia="方正仿宋_GBK" w:hint="eastAsia"/>
          <w:b w:val="0"/>
          <w:bCs w:val="0"/>
          <w:i w:val="0"/>
          <w:iCs w:val="0"/>
          <w:caps w:val="0"/>
          <w:smallCaps w:val="0"/>
          <w:color w:val="000000"/>
          <w:spacing w:val="0"/>
          <w:sz w:val="32"/>
          <w:szCs w:val="32"/>
        </w:rPr>
        <w:t>围绕“让企业找得到、看得懂、用得上”的公开目标，打造线上线下一体化公开阵地。线下</w:t>
      </w:r>
      <w:r>
        <w:rPr>
          <w:rFonts w:eastAsia="方正仿宋_GBK"/>
          <w:b w:val="0"/>
          <w:bCs w:val="0"/>
          <w:i w:val="0"/>
          <w:iCs w:val="0"/>
          <w:caps w:val="0"/>
          <w:smallCaps w:val="0"/>
          <w:color w:val="000000"/>
          <w:spacing w:val="0"/>
          <w:sz w:val="32"/>
          <w:szCs w:val="32"/>
        </w:rPr>
        <w:t>持续深化</w:t>
      </w:r>
      <w:r>
        <w:rPr>
          <w:rFonts w:eastAsia="方正仿宋_GBK" w:hint="eastAsia"/>
          <w:b w:val="0"/>
          <w:bCs w:val="0"/>
          <w:i w:val="0"/>
          <w:iCs w:val="0"/>
          <w:caps w:val="0"/>
          <w:smallCaps w:val="0"/>
          <w:color w:val="000000"/>
          <w:spacing w:val="0"/>
          <w:sz w:val="32"/>
          <w:szCs w:val="32"/>
        </w:rPr>
        <w:t>“濠政务 办好事”</w:t>
      </w:r>
      <w:r>
        <w:rPr>
          <w:rFonts w:eastAsia="方正仿宋_GBK"/>
          <w:b w:val="0"/>
          <w:bCs w:val="0"/>
          <w:i w:val="0"/>
          <w:iCs w:val="0"/>
          <w:caps w:val="0"/>
          <w:smallCaps w:val="0"/>
          <w:color w:val="000000"/>
          <w:spacing w:val="0"/>
          <w:sz w:val="32"/>
          <w:szCs w:val="32"/>
        </w:rPr>
        <w:t>政务</w:t>
      </w:r>
      <w:r>
        <w:rPr>
          <w:rFonts w:eastAsia="方正仿宋_GBK" w:hint="eastAsia"/>
          <w:b w:val="0"/>
          <w:bCs w:val="0"/>
          <w:i w:val="0"/>
          <w:iCs w:val="0"/>
          <w:caps w:val="0"/>
          <w:smallCaps w:val="0"/>
          <w:color w:val="000000"/>
          <w:spacing w:val="0"/>
          <w:sz w:val="32"/>
          <w:szCs w:val="32"/>
        </w:rPr>
        <w:t>公开专区</w:t>
      </w:r>
      <w:r>
        <w:rPr>
          <w:rFonts w:eastAsia="方正仿宋_GBK"/>
          <w:b w:val="0"/>
          <w:bCs w:val="0"/>
          <w:i w:val="0"/>
          <w:iCs w:val="0"/>
          <w:caps w:val="0"/>
          <w:smallCaps w:val="0"/>
          <w:color w:val="000000"/>
          <w:spacing w:val="0"/>
          <w:sz w:val="32"/>
          <w:szCs w:val="32"/>
        </w:rPr>
        <w:t>建设</w:t>
      </w:r>
      <w:r>
        <w:rPr>
          <w:rFonts w:eastAsia="方正仿宋_GBK" w:hint="eastAsia"/>
          <w:b w:val="0"/>
          <w:bCs w:val="0"/>
          <w:i w:val="0"/>
          <w:iCs w:val="0"/>
          <w:caps w:val="0"/>
          <w:smallCaps w:val="0"/>
          <w:color w:val="000000"/>
          <w:spacing w:val="0"/>
          <w:sz w:val="32"/>
          <w:szCs w:val="32"/>
        </w:rPr>
        <w:t>，</w:t>
      </w:r>
      <w:r>
        <w:rPr>
          <w:rFonts w:eastAsia="方正仿宋_GBK"/>
          <w:b w:val="0"/>
          <w:bCs w:val="0"/>
          <w:i w:val="0"/>
          <w:iCs w:val="0"/>
          <w:caps w:val="0"/>
          <w:smallCaps w:val="0"/>
          <w:color w:val="000000"/>
          <w:spacing w:val="0"/>
          <w:sz w:val="32"/>
          <w:szCs w:val="32"/>
        </w:rPr>
        <w:t>在业务大厅</w:t>
      </w:r>
      <w:r>
        <w:rPr>
          <w:rFonts w:eastAsia="方正仿宋_GBK" w:hint="eastAsia"/>
          <w:b w:val="0"/>
          <w:bCs w:val="0"/>
          <w:i w:val="0"/>
          <w:iCs w:val="0"/>
          <w:caps w:val="0"/>
          <w:smallCaps w:val="0"/>
          <w:color w:val="000000"/>
          <w:spacing w:val="0"/>
          <w:sz w:val="32"/>
          <w:szCs w:val="32"/>
        </w:rPr>
        <w:t>设置政策查阅、自助办理、申请受理等功能区，借助公告栏、触摸屏实时更新业务指南、总署公告等内容；线上依托海关门户网站、微信公众号等平台，</w:t>
      </w:r>
      <w:r>
        <w:rPr>
          <w:rFonts w:eastAsia="方正仿宋_GBK"/>
          <w:b w:val="0"/>
          <w:bCs w:val="0"/>
          <w:i w:val="0"/>
          <w:iCs w:val="0"/>
          <w:caps w:val="0"/>
          <w:smallCaps w:val="0"/>
          <w:color w:val="000000"/>
          <w:spacing w:val="0"/>
          <w:sz w:val="32"/>
          <w:szCs w:val="32"/>
        </w:rPr>
        <w:t>主动公开</w:t>
      </w:r>
      <w:r>
        <w:rPr>
          <w:rFonts w:ascii="方正仿宋_GBK" w:eastAsia="方正仿宋_GBK"/>
          <w:color w:val="000000"/>
          <w:sz w:val="32"/>
          <w:szCs w:val="32"/>
        </w:rPr>
        <w:t>政府信息公开</w:t>
      </w:r>
      <w:r>
        <w:rPr>
          <w:rFonts w:eastAsia="方正仿宋_GBK" w:hint="eastAsia"/>
          <w:b w:val="0"/>
          <w:bCs w:val="0"/>
          <w:i w:val="0"/>
          <w:iCs w:val="0"/>
          <w:caps w:val="0"/>
          <w:smallCaps w:val="0"/>
          <w:color w:val="000000"/>
          <w:spacing w:val="0"/>
          <w:sz w:val="32"/>
          <w:szCs w:val="32"/>
        </w:rPr>
        <w:t>电话、邮箱、窗口咨询等渠道，打通依申请公开的沟通壁垒，让政府信息获取实现“零距离”。</w:t>
      </w:r>
    </w:p>
    <w:p>
      <w:pPr>
        <w:pStyle w:val="124"/>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suppressAutoHyphens w:val="0"/>
        <w:adjustRightInd w:val="0"/>
        <w:snapToGrid w:val="0"/>
        <w:spacing w:beforeAutospacing="0" w:afterAutospacing="0" w:line="560" w:lineRule="exact"/>
        <w:ind w:firstLineChars="200" w:firstLine="640"/>
        <w:contextualSpacing w:val="0"/>
        <w:jc w:val="both"/>
        <w:rPr>
          <w:rFonts w:eastAsia="方正仿宋_GBK"/>
          <w:b w:val="0"/>
          <w:bCs w:val="0"/>
          <w:i w:val="0"/>
          <w:iCs w:val="0"/>
          <w:caps w:val="0"/>
          <w:smallCaps w:val="0"/>
          <w:color w:val="000000"/>
          <w:spacing w:val="0"/>
          <w:sz w:val="32"/>
          <w:szCs w:val="32"/>
        </w:rPr>
      </w:pPr>
      <w:r>
        <w:rPr>
          <w:rFonts w:eastAsia="方正楷体_GBK" w:hint="eastAsia"/>
          <w:b w:val="0"/>
          <w:bCs w:val="0"/>
          <w:i w:val="0"/>
          <w:iCs w:val="0"/>
          <w:caps w:val="0"/>
          <w:smallCaps w:val="0"/>
          <w:color w:val="000000"/>
          <w:spacing w:val="0"/>
          <w:sz w:val="32"/>
          <w:szCs w:val="32"/>
        </w:rPr>
        <w:t>（三）深化政企互动，做实便民服务</w:t>
      </w:r>
      <w:r>
        <w:rPr>
          <w:rFonts w:eastAsia="方正楷体_GBK"/>
          <w:b w:val="0"/>
          <w:bCs w:val="0"/>
          <w:i w:val="0"/>
          <w:iCs w:val="0"/>
          <w:caps w:val="0"/>
          <w:smallCaps w:val="0"/>
          <w:color w:val="000000"/>
          <w:spacing w:val="0"/>
          <w:sz w:val="32"/>
          <w:szCs w:val="32"/>
        </w:rPr>
        <w:t>。</w:t>
      </w:r>
      <w:r>
        <w:rPr>
          <w:rFonts w:eastAsia="方正仿宋_GBK" w:hint="eastAsia"/>
          <w:b w:val="0"/>
          <w:bCs w:val="0"/>
          <w:i w:val="0"/>
          <w:iCs w:val="0"/>
          <w:caps w:val="0"/>
          <w:smallCaps w:val="0"/>
          <w:color w:val="000000"/>
          <w:spacing w:val="0"/>
          <w:sz w:val="32"/>
          <w:szCs w:val="32"/>
        </w:rPr>
        <w:t>强化一线人员业务能力培训，落实首问负责制，面对面为企业解决通关疑问；常态化开展“四下基层”“关长送政策上门”“关长接待日”等活动</w:t>
      </w:r>
      <w:r>
        <w:rPr>
          <w:rFonts w:eastAsia="方正仿宋_GBK"/>
          <w:b w:val="0"/>
          <w:bCs w:val="0"/>
          <w:i w:val="0"/>
          <w:iCs w:val="0"/>
          <w:caps w:val="0"/>
          <w:smallCaps w:val="0"/>
          <w:color w:val="000000"/>
          <w:spacing w:val="0"/>
          <w:sz w:val="32"/>
          <w:szCs w:val="32"/>
        </w:rPr>
        <w:t>，多方面、多形式了解企业需求，让政府信息公开精准对接企业发展。</w:t>
      </w:r>
      <w:r>
        <w:rPr>
          <w:rFonts w:eastAsia="方正仿宋_GBK" w:hint="eastAsia"/>
          <w:b w:val="0"/>
          <w:bCs w:val="0"/>
          <w:i w:val="0"/>
          <w:iCs w:val="0"/>
          <w:caps w:val="0"/>
          <w:smallCaps w:val="0"/>
          <w:color w:val="000000"/>
          <w:spacing w:val="0"/>
          <w:sz w:val="32"/>
          <w:szCs w:val="32"/>
        </w:rPr>
        <w:t>今年以来，共发布“关长接待日”信息1</w:t>
      </w:r>
      <w:r>
        <w:rPr>
          <w:rFonts w:eastAsia="方正仿宋_GBK"/>
          <w:b w:val="0"/>
          <w:bCs w:val="0"/>
          <w:i w:val="0"/>
          <w:iCs w:val="0"/>
          <w:caps w:val="0"/>
          <w:smallCaps w:val="0"/>
          <w:color w:val="000000"/>
          <w:spacing w:val="0"/>
          <w:sz w:val="32"/>
          <w:szCs w:val="32"/>
        </w:rPr>
        <w:t>2</w:t>
      </w:r>
      <w:r>
        <w:rPr>
          <w:rFonts w:eastAsia="方正仿宋_GBK" w:hint="eastAsia"/>
          <w:b w:val="0"/>
          <w:bCs w:val="0"/>
          <w:i w:val="0"/>
          <w:iCs w:val="0"/>
          <w:caps w:val="0"/>
          <w:smallCaps w:val="0"/>
          <w:color w:val="000000"/>
          <w:spacing w:val="0"/>
          <w:sz w:val="32"/>
          <w:szCs w:val="32"/>
        </w:rPr>
        <w:t>次</w:t>
      </w:r>
      <w:r>
        <w:rPr>
          <w:rFonts w:eastAsia="方正仿宋_GBK"/>
          <w:b w:val="0"/>
          <w:bCs w:val="0"/>
          <w:i w:val="0"/>
          <w:iCs w:val="0"/>
          <w:caps w:val="0"/>
          <w:smallCaps w:val="0"/>
          <w:color w:val="000000"/>
          <w:spacing w:val="0"/>
          <w:sz w:val="32"/>
          <w:szCs w:val="32"/>
        </w:rPr>
        <w:t>，关领导带队</w:t>
      </w:r>
      <w:r>
        <w:rPr>
          <w:rFonts w:eastAsia="方正仿宋_GBK" w:hint="eastAsia"/>
          <w:b w:val="0"/>
          <w:bCs w:val="0"/>
          <w:i w:val="0"/>
          <w:iCs w:val="0"/>
          <w:caps w:val="0"/>
          <w:smallCaps w:val="0"/>
          <w:color w:val="000000"/>
          <w:spacing w:val="0"/>
          <w:sz w:val="32"/>
          <w:szCs w:val="32"/>
        </w:rPr>
        <w:t>深入基层一线调研</w:t>
      </w:r>
      <w:r>
        <w:rPr>
          <w:rFonts w:eastAsia="方正仿宋_GBK"/>
          <w:b w:val="0"/>
          <w:bCs w:val="0"/>
          <w:i w:val="0"/>
          <w:iCs w:val="0"/>
          <w:caps w:val="0"/>
          <w:smallCaps w:val="0"/>
          <w:color w:val="000000"/>
          <w:spacing w:val="0"/>
          <w:sz w:val="32"/>
          <w:szCs w:val="32"/>
        </w:rPr>
        <w:t>26次。</w:t>
      </w:r>
    </w:p>
    <w:p>
      <w:pPr>
        <w:pStyle w:val="124"/>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suppressAutoHyphens w:val="0"/>
        <w:adjustRightInd w:val="0"/>
        <w:snapToGrid w:val="0"/>
        <w:spacing w:beforeAutospacing="0" w:afterAutospacing="0" w:line="560" w:lineRule="exact"/>
        <w:ind w:firstLineChars="200" w:firstLine="640"/>
        <w:contextualSpacing w:val="0"/>
        <w:jc w:val="both"/>
        <w:rPr>
          <w:rFonts w:eastAsia="方正仿宋_GBK"/>
          <w:vanish w:val="0"/>
          <w:color w:val="000000"/>
          <w:sz w:val="32"/>
          <w:szCs w:val="32"/>
          <w:shd w:val="clear" w:color="auto" w:fill="FFFFFF"/>
        </w:rPr>
      </w:pPr>
      <w:r>
        <w:rPr>
          <w:rFonts w:eastAsia="方正楷体_GBK"/>
          <w:vanish w:val="0"/>
          <w:color w:val="000000"/>
          <w:sz w:val="32"/>
          <w:szCs w:val="32"/>
          <w:shd w:val="clear" w:color="auto" w:fill="FFFFFF"/>
        </w:rPr>
        <w:t>（四）多元宣传引导，强化公开能力。</w:t>
      </w:r>
      <w:r>
        <w:rPr>
          <w:rFonts w:eastAsia="方正仿宋_GBK"/>
          <w:vanish w:val="0"/>
          <w:color w:val="000000"/>
          <w:sz w:val="32"/>
          <w:szCs w:val="32"/>
          <w:shd w:val="clear" w:color="auto" w:fill="FFFFFF"/>
        </w:rPr>
        <w:t>围绕辖区业务特点，</w:t>
      </w:r>
      <w:r>
        <w:rPr>
          <w:rFonts w:eastAsia="方正仿宋_GBK" w:hint="eastAsia"/>
          <w:vanish w:val="0"/>
          <w:color w:val="000000"/>
          <w:sz w:val="32"/>
          <w:szCs w:val="32"/>
          <w:shd w:val="clear" w:color="auto" w:fill="FFFFFF"/>
        </w:rPr>
        <w:t>开展国门生物安全、</w:t>
      </w:r>
      <w:r>
        <w:rPr>
          <w:rFonts w:eastAsia="方正仿宋_GBK"/>
          <w:vanish w:val="0"/>
          <w:color w:val="000000"/>
          <w:sz w:val="32"/>
          <w:szCs w:val="32"/>
          <w:shd w:val="clear" w:color="auto" w:fill="FFFFFF"/>
        </w:rPr>
        <w:t>食品安全、综保区</w:t>
      </w:r>
      <w:r>
        <w:rPr>
          <w:rFonts w:eastAsia="方正仿宋_GBK" w:hint="eastAsia"/>
          <w:vanish w:val="0"/>
          <w:color w:val="000000"/>
          <w:sz w:val="32"/>
          <w:szCs w:val="32"/>
          <w:shd w:val="clear" w:color="auto" w:fill="FFFFFF"/>
        </w:rPr>
        <w:t>政策解读、</w:t>
      </w:r>
      <w:r>
        <w:rPr>
          <w:rFonts w:eastAsia="方正仿宋_GBK"/>
          <w:vanish w:val="0"/>
          <w:color w:val="000000"/>
          <w:sz w:val="32"/>
          <w:szCs w:val="32"/>
          <w:shd w:val="clear" w:color="auto" w:fill="FFFFFF"/>
        </w:rPr>
        <w:t>减免税政策</w:t>
      </w:r>
      <w:r>
        <w:rPr>
          <w:rFonts w:eastAsia="方正仿宋_GBK" w:hint="eastAsia"/>
          <w:vanish w:val="0"/>
          <w:color w:val="000000"/>
          <w:sz w:val="32"/>
          <w:szCs w:val="32"/>
          <w:shd w:val="clear" w:color="auto" w:fill="FFFFFF"/>
        </w:rPr>
        <w:t>等一系列实践宣传活动</w:t>
      </w:r>
      <w:r>
        <w:rPr>
          <w:rFonts w:eastAsia="方正仿宋_GBK"/>
          <w:vanish w:val="0"/>
          <w:color w:val="000000"/>
          <w:sz w:val="32"/>
          <w:szCs w:val="32"/>
          <w:shd w:val="clear" w:color="auto" w:fill="FFFFFF"/>
        </w:rPr>
        <w:t>，自主制作《莫当水果</w:t>
      </w:r>
      <w:r>
        <w:rPr>
          <w:rFonts w:eastAsia="方正仿宋_GBK" w:hint="eastAsia"/>
          <w:vanish w:val="0"/>
          <w:color w:val="000000"/>
          <w:sz w:val="32"/>
          <w:szCs w:val="32"/>
          <w:shd w:val="clear" w:color="auto" w:fill="FFFFFF"/>
        </w:rPr>
        <w:t>“搬运工”》《信用护航 便捷通关》</w:t>
      </w:r>
      <w:r>
        <w:rPr>
          <w:rFonts w:eastAsia="方正仿宋_GBK"/>
          <w:vanish w:val="0"/>
          <w:color w:val="000000"/>
          <w:sz w:val="32"/>
          <w:szCs w:val="32"/>
          <w:shd w:val="clear" w:color="auto" w:fill="FFFFFF"/>
        </w:rPr>
        <w:t>等微视频，</w:t>
      </w:r>
      <w:r>
        <w:rPr>
          <w:rFonts w:eastAsia="方正仿宋_GBK" w:hint="eastAsia"/>
          <w:vanish w:val="0"/>
          <w:color w:val="000000"/>
          <w:sz w:val="32"/>
          <w:szCs w:val="32"/>
          <w:shd w:val="clear" w:color="auto" w:fill="FFFFFF"/>
        </w:rPr>
        <w:t>在《国门时报》《海关发布》《汕关新征程》等载体发布稿件21篇次</w:t>
      </w:r>
      <w:r>
        <w:rPr>
          <w:rFonts w:eastAsia="方正仿宋_GBK"/>
          <w:vanish w:val="0"/>
          <w:color w:val="000000"/>
          <w:sz w:val="32"/>
          <w:szCs w:val="32"/>
          <w:shd w:val="clear" w:color="auto" w:fill="FFFFFF"/>
        </w:rPr>
        <w:t>，开展</w:t>
      </w:r>
      <w:r>
        <w:rPr>
          <w:rFonts w:eastAsia="方正仿宋_GBK" w:hint="eastAsia"/>
          <w:vanish w:val="0"/>
          <w:color w:val="000000"/>
          <w:sz w:val="32"/>
          <w:szCs w:val="32"/>
          <w:shd w:val="clear" w:color="auto" w:fill="FFFFFF"/>
        </w:rPr>
        <w:t>“保税政策宣讲”“</w:t>
      </w:r>
      <w:r>
        <w:rPr>
          <w:rFonts w:eastAsia="方正仿宋_GBK"/>
          <w:vanish w:val="0"/>
          <w:color w:val="000000"/>
          <w:sz w:val="32"/>
          <w:szCs w:val="32"/>
          <w:shd w:val="clear" w:color="auto" w:fill="FFFFFF"/>
        </w:rPr>
        <w:t>海关</w:t>
      </w:r>
      <w:r>
        <w:rPr>
          <w:rFonts w:eastAsia="方正仿宋_GBK" w:hint="eastAsia"/>
          <w:vanish w:val="0"/>
          <w:color w:val="000000"/>
          <w:sz w:val="32"/>
          <w:szCs w:val="32"/>
          <w:shd w:val="clear" w:color="auto" w:fill="FFFFFF"/>
        </w:rPr>
        <w:t>AEO</w:t>
      </w:r>
      <w:r>
        <w:rPr>
          <w:rFonts w:eastAsia="方正仿宋_GBK"/>
          <w:vanish w:val="0"/>
          <w:color w:val="000000"/>
          <w:sz w:val="32"/>
          <w:szCs w:val="32"/>
          <w:shd w:val="clear" w:color="auto" w:fill="FFFFFF"/>
        </w:rPr>
        <w:t>认证</w:t>
      </w:r>
      <w:r>
        <w:rPr>
          <w:rFonts w:eastAsia="方正仿宋_GBK" w:hint="eastAsia"/>
          <w:vanish w:val="0"/>
          <w:color w:val="000000"/>
          <w:sz w:val="32"/>
          <w:szCs w:val="32"/>
          <w:shd w:val="clear" w:color="auto" w:fill="FFFFFF"/>
        </w:rPr>
        <w:t>”“进出口农食产品政策”等</w:t>
      </w:r>
      <w:r>
        <w:rPr>
          <w:rFonts w:eastAsia="方正仿宋_GBK"/>
          <w:vanish w:val="0"/>
          <w:color w:val="000000"/>
          <w:sz w:val="32"/>
          <w:szCs w:val="32"/>
          <w:shd w:val="clear" w:color="auto" w:fill="FFFFFF"/>
        </w:rPr>
        <w:t>对企宣传13</w:t>
      </w:r>
      <w:r>
        <w:rPr>
          <w:rFonts w:eastAsia="方正仿宋_GBK" w:hint="eastAsia"/>
          <w:vanish w:val="0"/>
          <w:color w:val="000000"/>
          <w:sz w:val="32"/>
          <w:szCs w:val="32"/>
          <w:shd w:val="clear" w:color="auto" w:fill="FFFFFF"/>
        </w:rPr>
        <w:t>场次</w:t>
      </w:r>
      <w:r>
        <w:rPr>
          <w:rFonts w:eastAsia="方正仿宋_GBK"/>
          <w:vanish w:val="0"/>
          <w:color w:val="000000"/>
          <w:sz w:val="32"/>
          <w:szCs w:val="32"/>
          <w:shd w:val="clear" w:color="auto" w:fill="FFFFFF"/>
        </w:rPr>
        <w:t>，</w:t>
      </w:r>
      <w:r>
        <w:rPr>
          <w:rFonts w:eastAsia="方正仿宋_GBK" w:hint="eastAsia"/>
          <w:vanish w:val="0"/>
          <w:color w:val="000000"/>
          <w:sz w:val="32"/>
          <w:szCs w:val="32"/>
          <w:shd w:val="clear" w:color="auto" w:fill="FFFFFF"/>
        </w:rPr>
        <w:t>《信用护航 便捷通关》</w:t>
      </w:r>
      <w:r>
        <w:rPr>
          <w:rFonts w:eastAsia="方正仿宋_GBK"/>
          <w:vanish w:val="0"/>
          <w:color w:val="000000"/>
          <w:sz w:val="32"/>
          <w:szCs w:val="32"/>
          <w:shd w:val="clear" w:color="auto" w:fill="FFFFFF"/>
        </w:rPr>
        <w:t>入选2025年</w:t>
      </w:r>
      <w:r>
        <w:rPr>
          <w:rFonts w:eastAsia="方正仿宋_GBK" w:hint="eastAsia"/>
          <w:vanish w:val="0"/>
          <w:color w:val="000000"/>
          <w:sz w:val="32"/>
          <w:szCs w:val="32"/>
          <w:shd w:val="clear" w:color="auto" w:fill="FFFFFF"/>
        </w:rPr>
        <w:t>“粤信杯”优秀诚信微视频</w:t>
      </w:r>
      <w:r>
        <w:rPr>
          <w:rFonts w:eastAsia="方正仿宋_GBK"/>
          <w:vanish w:val="0"/>
          <w:color w:val="000000"/>
          <w:sz w:val="32"/>
          <w:szCs w:val="32"/>
          <w:shd w:val="clear" w:color="auto" w:fill="FFFFFF"/>
        </w:rPr>
        <w:t>。</w:t>
      </w:r>
    </w:p>
    <w:p>
      <w:pPr>
        <w:pStyle w:val="130"/>
        <w:pBdr>
          <w:top w:val="none" w:sz="0" w:space="0" w:color="auto"/>
          <w:left w:val="none" w:sz="0" w:space="0" w:color="auto"/>
          <w:bottom w:val="none" w:sz="0" w:space="0" w:color="auto"/>
          <w:right w:val="none" w:sz="0" w:space="0" w:color="auto"/>
        </w:pBdr>
        <w:adjustRightInd w:val="0"/>
        <w:snapToGrid w:val="0"/>
        <w:spacing w:beforeLines="50" w:before="120" w:beforeAutospacing="0" w:afterLines="50" w:after="120" w:afterAutospacing="0"/>
        <w:ind w:left="0" w:right="0" w:firstLineChars="200" w:firstLine="624"/>
        <w:contextualSpacing w:val="0"/>
        <w:rPr>
          <w:rFonts w:eastAsia="方正黑体_GBK" w:cs="楷体_GB2312" w:hint="eastAsia"/>
          <w:bCs/>
          <w:vanish w:val="0"/>
          <w:szCs w:val="32"/>
          <w:shd w:val="clear" w:color="auto" w:fill="FFFFFF"/>
        </w:rPr>
      </w:pPr>
      <w:r>
        <w:rPr>
          <w:rFonts w:eastAsia="方正黑体_GBK" w:cs="楷体_GB2312" w:hint="eastAsia"/>
          <w:bCs/>
          <w:vanish w:val="0"/>
          <w:szCs w:val="32"/>
          <w:shd w:val="clear" w:color="auto" w:fill="FFFFFF"/>
        </w:rPr>
        <w:t>二、主动公开政府信息情况</w:t>
      </w:r>
    </w:p>
    <w:tbl>
      <w:tblPr>
        <w:jc w:val="center"/>
        <w:tblBorders>
          <w:top w:val="none" w:sz="0" w:space="0" w:color="auto"/>
          <w:left w:val="none" w:sz="0" w:space="0" w:color="auto"/>
          <w:bottom w:val="none" w:sz="0" w:space="0" w:color="auto"/>
          <w:right w:val="none" w:sz="0" w:space="0" w:color="auto"/>
        </w:tblBorders>
        <w:tblLayout w:type="fixed"/>
        <w:tblCellMar>
          <w:top w:w="0" w:type="dxa"/>
          <w:left w:w="0" w:type="dxa"/>
          <w:bottom w:w="0" w:type="dxa"/>
          <w:right w:w="0" w:type="dxa"/>
        </w:tblCellMar>
      </w:tblPr>
      <w:tblGrid>
        <w:gridCol w:w="2720"/>
        <w:gridCol w:w="2183"/>
        <w:gridCol w:w="1936"/>
        <w:gridCol w:w="2156"/>
      </w:tblGrid>
      <w:tr>
        <w:trPr>
          <w:trHeight w:val="495"/>
        </w:trPr>
        <w:tc>
          <w:tcPr>
            <w:tcW w:w="8995" w:type="dxa"/>
            <w:gridSpan w:val="4"/>
            <w:tcBorders>
              <w:top w:val="single" w:sz="8" w:space="0" w:color="auto"/>
              <w:left w:val="single" w:sz="8" w:space="0" w:color="auto"/>
              <w:bottom w:val="single" w:sz="8" w:space="0" w:color="auto"/>
              <w:right w:val="single" w:sz="8" w:space="0" w:color="auto"/>
              <w:tl2br w:val="nil"/>
              <w:tr2bl w:val="nil"/>
            </w:tcBorders>
            <w:shd w:val="clear" w:color="auto" w:fill="C6D9F1"/>
            <w:tcMar>
              <w:left w:w="108" w:type="dxa"/>
              <w:right w:w="108" w:type="dxa"/>
            </w:tcMar>
            <w:vAlign w:val="cente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center"/>
              <w:rPr>
                <w:vanish w:val="0"/>
                <w:sz w:val="24"/>
                <w:szCs w:val="24"/>
              </w:rPr>
            </w:pPr>
            <w:r>
              <w:rPr>
                <w:rFonts w:eastAsia="宋体" w:cs="宋体" w:hint="eastAsia"/>
                <w:vanish w:val="0"/>
                <w:kern w:val="0"/>
                <w:sz w:val="24"/>
                <w:szCs w:val="24"/>
              </w:rPr>
              <w:t>第二十条第（一）项</w:t>
            </w:r>
          </w:p>
        </w:tc>
      </w:tr>
      <w:tr>
        <w:trPr>
          <w:trHeight w:val="680"/>
        </w:trPr>
        <w:tc>
          <w:tcPr>
            <w:tcW w:w="2720" w:type="dxa"/>
            <w:tcBorders>
              <w:top w:val="nil"/>
              <w:left w:val="single" w:sz="8" w:space="0" w:color="auto"/>
              <w:bottom w:val="single" w:sz="8" w:space="0" w:color="auto"/>
              <w:right w:val="single" w:sz="8" w:space="0" w:color="auto"/>
              <w:tl2br w:val="nil"/>
              <w:tr2bl w:val="nil"/>
            </w:tcBorders>
            <w:tcMar>
              <w:left w:w="108" w:type="dxa"/>
              <w:right w:w="108" w:type="dxa"/>
            </w:tcMar>
            <w:vAlign w:val="cente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center"/>
              <w:rPr>
                <w:vanish w:val="0"/>
                <w:sz w:val="24"/>
                <w:szCs w:val="24"/>
              </w:rPr>
            </w:pPr>
            <w:r>
              <w:rPr>
                <w:rFonts w:eastAsia="宋体" w:cs="宋体" w:hint="eastAsia"/>
                <w:vanish w:val="0"/>
                <w:kern w:val="0"/>
                <w:sz w:val="24"/>
                <w:szCs w:val="24"/>
              </w:rPr>
              <w:t>信息内容</w:t>
            </w:r>
          </w:p>
        </w:tc>
        <w:tc>
          <w:tcPr>
            <w:tcW w:w="2183" w:type="dxa"/>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center"/>
              <w:rPr>
                <w:vanish w:val="0"/>
                <w:sz w:val="24"/>
                <w:szCs w:val="24"/>
              </w:rPr>
            </w:pPr>
            <w:r>
              <w:rPr>
                <w:rFonts w:eastAsia="宋体" w:cs="宋体" w:hint="eastAsia"/>
                <w:vanish w:val="0"/>
                <w:kern w:val="0"/>
                <w:sz w:val="24"/>
                <w:szCs w:val="24"/>
              </w:rPr>
              <w:t>本年</w:t>
            </w:r>
            <w:r>
              <w:rPr>
                <w:rFonts w:eastAsia="宋体" w:hint="eastAsia"/>
                <w:vanish w:val="0"/>
                <w:kern w:val="0"/>
                <w:sz w:val="24"/>
                <w:szCs w:val="24"/>
              </w:rPr>
              <w:t>制发件数</w:t>
            </w:r>
          </w:p>
        </w:tc>
        <w:tc>
          <w:tcPr>
            <w:tcW w:w="1936" w:type="dxa"/>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center"/>
              <w:rPr>
                <w:vanish w:val="0"/>
                <w:sz w:val="24"/>
                <w:szCs w:val="24"/>
              </w:rPr>
            </w:pPr>
            <w:r>
              <w:rPr>
                <w:rFonts w:eastAsia="宋体" w:cs="宋体" w:hint="eastAsia"/>
                <w:vanish w:val="0"/>
                <w:kern w:val="0"/>
                <w:sz w:val="24"/>
                <w:szCs w:val="24"/>
              </w:rPr>
              <w:t>本年废止件</w:t>
            </w:r>
            <w:r>
              <w:rPr>
                <w:rFonts w:eastAsia="宋体" w:hint="eastAsia"/>
                <w:vanish w:val="0"/>
                <w:kern w:val="0"/>
                <w:sz w:val="24"/>
                <w:szCs w:val="24"/>
              </w:rPr>
              <w:t>数</w:t>
            </w:r>
          </w:p>
        </w:tc>
        <w:tc>
          <w:tcPr>
            <w:tcW w:w="2156" w:type="dxa"/>
            <w:tcBorders>
              <w:top w:val="nil"/>
              <w:left w:val="nil"/>
              <w:bottom w:val="single" w:sz="8" w:space="0" w:color="auto"/>
              <w:right w:val="single" w:sz="8" w:space="0" w:color="auto"/>
              <w:tl2br w:val="nil"/>
              <w:tr2bl w:val="nil"/>
            </w:tcBorders>
            <w:vAlign w:val="cente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center"/>
              <w:rPr>
                <w:vanish w:val="0"/>
                <w:sz w:val="24"/>
                <w:szCs w:val="24"/>
              </w:rPr>
            </w:pPr>
            <w:r>
              <w:rPr>
                <w:rFonts w:eastAsia="宋体" w:cs="宋体" w:hint="eastAsia"/>
                <w:vanish w:val="0"/>
                <w:kern w:val="0"/>
                <w:sz w:val="24"/>
                <w:szCs w:val="24"/>
              </w:rPr>
              <w:t>现行有效件数</w:t>
            </w:r>
          </w:p>
        </w:tc>
      </w:tr>
      <w:tr>
        <w:trPr>
          <w:trHeight w:val="510"/>
        </w:trPr>
        <w:tc>
          <w:tcPr>
            <w:tcW w:w="2720" w:type="dxa"/>
            <w:tcBorders>
              <w:top w:val="nil"/>
              <w:left w:val="single" w:sz="8" w:space="0" w:color="auto"/>
              <w:bottom w:val="single" w:sz="8" w:space="0" w:color="auto"/>
              <w:right w:val="single" w:sz="8" w:space="0" w:color="auto"/>
              <w:tl2br w:val="nil"/>
              <w:tr2bl w:val="nil"/>
            </w:tcBorders>
            <w:tcMar>
              <w:left w:w="108" w:type="dxa"/>
              <w:right w:w="108" w:type="dxa"/>
            </w:tcMar>
            <w:vAlign w:val="cente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adjustRightInd w:val="0"/>
              <w:snapToGrid w:val="0"/>
              <w:spacing w:line="260" w:lineRule="exact"/>
              <w:contextualSpacing w:val="0"/>
              <w:jc w:val="center"/>
              <w:rPr>
                <w:vanish w:val="0"/>
                <w:sz w:val="24"/>
                <w:szCs w:val="24"/>
              </w:rPr>
            </w:pPr>
            <w:r>
              <w:rPr>
                <w:rFonts w:eastAsia="宋体" w:cs="宋体" w:hint="eastAsia"/>
                <w:vanish w:val="0"/>
                <w:kern w:val="0"/>
                <w:sz w:val="24"/>
                <w:szCs w:val="24"/>
              </w:rPr>
              <w:t>规章</w:t>
            </w:r>
          </w:p>
        </w:tc>
        <w:tc>
          <w:tcPr>
            <w:tcW w:w="2183"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1936"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2156" w:type="dxa"/>
            <w:tcBorders>
              <w:top w:val="nil"/>
              <w:left w:val="nil"/>
              <w:bottom w:val="single" w:sz="8" w:space="0" w:color="auto"/>
              <w:right w:val="single" w:sz="8" w:space="0" w:color="auto"/>
              <w:tl2br w:val="nil"/>
              <w:tr2bl w:val="nil"/>
            </w:tcBorders>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r>
      <w:tr>
        <w:trPr>
          <w:trHeight w:val="510"/>
        </w:trPr>
        <w:tc>
          <w:tcPr>
            <w:tcW w:w="2720" w:type="dxa"/>
            <w:tcBorders>
              <w:top w:val="nil"/>
              <w:left w:val="single" w:sz="8" w:space="0" w:color="auto"/>
              <w:bottom w:val="single" w:sz="8" w:space="0" w:color="auto"/>
              <w:right w:val="single" w:sz="8" w:space="0" w:color="auto"/>
              <w:tl2br w:val="nil"/>
              <w:tr2bl w:val="nil"/>
            </w:tcBorders>
            <w:tcMar>
              <w:left w:w="108" w:type="dxa"/>
              <w:right w:w="108" w:type="dxa"/>
            </w:tcMar>
            <w:vAlign w:val="cente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adjustRightInd w:val="0"/>
              <w:snapToGrid w:val="0"/>
              <w:spacing w:line="260" w:lineRule="exact"/>
              <w:contextualSpacing w:val="0"/>
              <w:jc w:val="center"/>
              <w:rPr>
                <w:vanish w:val="0"/>
                <w:sz w:val="24"/>
                <w:szCs w:val="24"/>
              </w:rPr>
            </w:pPr>
            <w:r>
              <w:rPr>
                <w:rFonts w:eastAsia="宋体" w:cs="宋体" w:hint="eastAsia"/>
                <w:vanish w:val="0"/>
                <w:kern w:val="0"/>
                <w:sz w:val="24"/>
                <w:szCs w:val="24"/>
              </w:rPr>
              <w:t>行政规范性文件</w:t>
            </w:r>
          </w:p>
        </w:tc>
        <w:tc>
          <w:tcPr>
            <w:tcW w:w="2183"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1936"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2156" w:type="dxa"/>
            <w:tcBorders>
              <w:top w:val="nil"/>
              <w:left w:val="nil"/>
              <w:bottom w:val="single" w:sz="8" w:space="0" w:color="auto"/>
              <w:right w:val="single" w:sz="8" w:space="0" w:color="auto"/>
              <w:tl2br w:val="nil"/>
              <w:tr2bl w:val="nil"/>
            </w:tcBorders>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r>
      <w:tr>
        <w:trPr>
          <w:trHeight w:val="435"/>
        </w:trPr>
        <w:tc>
          <w:tcPr>
            <w:tcW w:w="8995" w:type="dxa"/>
            <w:gridSpan w:val="4"/>
            <w:tcBorders>
              <w:top w:val="nil"/>
              <w:left w:val="single" w:sz="8" w:space="0" w:color="auto"/>
              <w:bottom w:val="single" w:sz="8" w:space="0" w:color="auto"/>
              <w:right w:val="single" w:sz="8" w:space="0" w:color="auto"/>
              <w:tl2br w:val="nil"/>
              <w:tr2bl w:val="nil"/>
            </w:tcBorders>
            <w:shd w:val="clear" w:color="auto" w:fill="C6D9F1"/>
            <w:tcMar>
              <w:left w:w="108" w:type="dxa"/>
              <w:right w:w="108" w:type="dxa"/>
            </w:tcMar>
            <w:vAlign w:val="cente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center"/>
              <w:rPr>
                <w:vanish w:val="0"/>
                <w:sz w:val="24"/>
                <w:szCs w:val="24"/>
              </w:rPr>
            </w:pPr>
            <w:r>
              <w:rPr>
                <w:rFonts w:eastAsia="宋体" w:cs="宋体" w:hint="eastAsia"/>
                <w:vanish w:val="0"/>
                <w:kern w:val="0"/>
                <w:sz w:val="24"/>
                <w:szCs w:val="24"/>
              </w:rPr>
              <w:t>第二十条第（五）项</w:t>
            </w:r>
          </w:p>
        </w:tc>
      </w:tr>
      <w:tr>
        <w:trPr>
          <w:trHeight w:val="680"/>
        </w:trPr>
        <w:tc>
          <w:tcPr>
            <w:tcW w:w="2720" w:type="dxa"/>
            <w:tcBorders>
              <w:top w:val="nil"/>
              <w:left w:val="single" w:sz="8" w:space="0" w:color="auto"/>
              <w:bottom w:val="single" w:sz="8" w:space="0" w:color="auto"/>
              <w:right w:val="single" w:sz="8" w:space="0" w:color="auto"/>
              <w:tl2br w:val="nil"/>
              <w:tr2bl w:val="nil"/>
            </w:tcBorders>
            <w:tcMar>
              <w:left w:w="108" w:type="dxa"/>
              <w:right w:w="108" w:type="dxa"/>
            </w:tcMar>
            <w:vAlign w:val="cente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adjustRightInd w:val="0"/>
              <w:snapToGrid w:val="0"/>
              <w:spacing w:line="260" w:lineRule="exact"/>
              <w:contextualSpacing w:val="0"/>
              <w:jc w:val="center"/>
              <w:rPr>
                <w:vanish w:val="0"/>
                <w:sz w:val="24"/>
                <w:szCs w:val="24"/>
              </w:rPr>
            </w:pPr>
            <w:r>
              <w:rPr>
                <w:rFonts w:eastAsia="宋体" w:cs="宋体" w:hint="eastAsia"/>
                <w:vanish w:val="0"/>
                <w:kern w:val="0"/>
                <w:sz w:val="24"/>
                <w:szCs w:val="24"/>
              </w:rPr>
              <w:t>信息内容</w:t>
            </w:r>
          </w:p>
        </w:tc>
        <w:tc>
          <w:tcPr>
            <w:tcW w:w="6275" w:type="dxa"/>
            <w:gridSpan w:val="3"/>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133"/>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adjustRightInd w:val="0"/>
              <w:snapToGrid w:val="0"/>
              <w:spacing w:line="260" w:lineRule="exact"/>
              <w:contextualSpacing w:val="0"/>
              <w:jc w:val="center"/>
              <w:rPr>
                <w:vanish w:val="0"/>
                <w:sz w:val="24"/>
                <w:szCs w:val="24"/>
              </w:rPr>
            </w:pPr>
            <w:r>
              <w:rPr>
                <w:rFonts w:eastAsia="宋体" w:cs="宋体" w:hint="eastAsia"/>
                <w:vanish w:val="0"/>
                <w:kern w:val="0"/>
                <w:sz w:val="24"/>
                <w:szCs w:val="24"/>
              </w:rPr>
              <w:t>本年处理决定数量</w:t>
            </w:r>
          </w:p>
        </w:tc>
      </w:tr>
      <w:tr>
        <w:trPr>
          <w:trHeight w:val="510"/>
        </w:trPr>
        <w:tc>
          <w:tcPr>
            <w:tcW w:w="2720" w:type="dxa"/>
            <w:tcBorders>
              <w:top w:val="nil"/>
              <w:left w:val="single" w:sz="8" w:space="0" w:color="auto"/>
              <w:bottom w:val="single" w:sz="8" w:space="0" w:color="auto"/>
              <w:right w:val="single" w:sz="8" w:space="0" w:color="auto"/>
              <w:tl2br w:val="nil"/>
              <w:tr2bl w:val="nil"/>
            </w:tcBorders>
            <w:tcMar>
              <w:left w:w="108" w:type="dxa"/>
              <w:right w:w="108" w:type="dxa"/>
            </w:tcMar>
            <w:vAlign w:val="cente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adjustRightInd w:val="0"/>
              <w:snapToGrid w:val="0"/>
              <w:spacing w:line="260" w:lineRule="exact"/>
              <w:contextualSpacing w:val="0"/>
              <w:jc w:val="center"/>
              <w:rPr>
                <w:vanish w:val="0"/>
                <w:sz w:val="24"/>
                <w:szCs w:val="24"/>
              </w:rPr>
            </w:pPr>
            <w:r>
              <w:rPr>
                <w:rFonts w:eastAsia="宋体" w:cs="宋体" w:hint="eastAsia"/>
                <w:vanish w:val="0"/>
                <w:kern w:val="0"/>
                <w:sz w:val="24"/>
                <w:szCs w:val="24"/>
              </w:rPr>
              <w:t>行政许可</w:t>
            </w:r>
          </w:p>
        </w:tc>
        <w:tc>
          <w:tcPr>
            <w:tcW w:w="6275" w:type="dxa"/>
            <w:gridSpan w:val="3"/>
            <w:tcBorders>
              <w:top w:val="nil"/>
              <w:left w:val="nil"/>
              <w:bottom w:val="single" w:sz="8" w:space="0" w:color="auto"/>
              <w:right w:val="single" w:sz="8" w:space="0" w:color="auto"/>
              <w:tl2br w:val="nil"/>
              <w:tr2bl w:val="nil"/>
            </w:tcBorders>
            <w:tcMar>
              <w:left w:w="108" w:type="dxa"/>
              <w:right w:w="108" w:type="dxa"/>
            </w:tcMar>
            <w:vAlign w:val="center"/>
          </w:tcPr>
          <w:p>
            <w:pPr>
              <w:pStyle w:val="134"/>
              <w:pBdr>
                <w:top w:val="none" w:sz="0" w:space="0" w:color="auto"/>
                <w:left w:val="none" w:sz="0" w:space="0" w:color="auto"/>
                <w:bottom w:val="none" w:sz="0" w:space="0" w:color="auto"/>
                <w:right w:val="none" w:sz="0" w:space="0" w:color="auto"/>
              </w:pBdr>
              <w:jc w:val="center"/>
              <w:rPr>
                <w:rFonts w:eastAsia="方正仿宋_GBK" w:cs="宋体"/>
                <w:vanish w:val="0"/>
                <w:sz w:val="24"/>
                <w:szCs w:val="24"/>
              </w:rPr>
            </w:pPr>
            <w:r>
              <w:rPr>
                <w:rFonts w:eastAsia="方正仿宋_GBK" w:cs="宋体"/>
                <w:vanish w:val="0"/>
                <w:sz w:val="24"/>
                <w:szCs w:val="24"/>
              </w:rPr>
              <w:t>0</w:t>
            </w:r>
          </w:p>
        </w:tc>
      </w:tr>
      <w:tr>
        <w:trPr>
          <w:trHeight w:val="406"/>
        </w:trPr>
        <w:tc>
          <w:tcPr>
            <w:tcW w:w="8995" w:type="dxa"/>
            <w:gridSpan w:val="4"/>
            <w:tcBorders>
              <w:top w:val="nil"/>
              <w:left w:val="single" w:sz="8" w:space="0" w:color="auto"/>
              <w:bottom w:val="single" w:sz="8" w:space="0" w:color="auto"/>
              <w:right w:val="single" w:sz="8" w:space="0" w:color="auto"/>
              <w:tl2br w:val="nil"/>
              <w:tr2bl w:val="nil"/>
            </w:tcBorders>
            <w:shd w:val="clear" w:color="auto" w:fill="C6D9F1"/>
            <w:tcMar>
              <w:left w:w="108" w:type="dxa"/>
              <w:right w:w="108" w:type="dxa"/>
            </w:tcMar>
            <w:vAlign w:val="cente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center"/>
              <w:rPr>
                <w:vanish w:val="0"/>
                <w:sz w:val="24"/>
                <w:szCs w:val="24"/>
              </w:rPr>
            </w:pPr>
            <w:r>
              <w:rPr>
                <w:rFonts w:eastAsia="宋体" w:cs="宋体" w:hint="eastAsia"/>
                <w:vanish w:val="0"/>
                <w:kern w:val="0"/>
                <w:sz w:val="24"/>
                <w:szCs w:val="24"/>
              </w:rPr>
              <w:t>第二十条第（六）项</w:t>
            </w:r>
          </w:p>
        </w:tc>
      </w:tr>
      <w:tr>
        <w:trPr>
          <w:trHeight w:val="680"/>
        </w:trPr>
        <w:tc>
          <w:tcPr>
            <w:tcW w:w="2720" w:type="dxa"/>
            <w:tcBorders>
              <w:top w:val="nil"/>
              <w:left w:val="single" w:sz="8" w:space="0" w:color="auto"/>
              <w:bottom w:val="single" w:sz="8" w:space="0" w:color="auto"/>
              <w:right w:val="single" w:sz="8" w:space="0" w:color="auto"/>
              <w:tl2br w:val="nil"/>
              <w:tr2bl w:val="nil"/>
            </w:tcBorders>
            <w:tcMar>
              <w:left w:w="108" w:type="dxa"/>
              <w:right w:w="108" w:type="dxa"/>
            </w:tcMar>
            <w:vAlign w:val="cente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adjustRightInd w:val="0"/>
              <w:snapToGrid w:val="0"/>
              <w:spacing w:line="260" w:lineRule="exact"/>
              <w:contextualSpacing w:val="0"/>
              <w:jc w:val="center"/>
              <w:rPr>
                <w:vanish w:val="0"/>
                <w:sz w:val="24"/>
                <w:szCs w:val="24"/>
              </w:rPr>
            </w:pPr>
            <w:r>
              <w:rPr>
                <w:rFonts w:eastAsia="宋体" w:cs="宋体" w:hint="eastAsia"/>
                <w:vanish w:val="0"/>
                <w:kern w:val="0"/>
                <w:sz w:val="24"/>
                <w:szCs w:val="24"/>
              </w:rPr>
              <w:t>信息内容</w:t>
            </w:r>
          </w:p>
        </w:tc>
        <w:tc>
          <w:tcPr>
            <w:tcW w:w="6275" w:type="dxa"/>
            <w:gridSpan w:val="3"/>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135"/>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adjustRightInd w:val="0"/>
              <w:snapToGrid w:val="0"/>
              <w:spacing w:line="260" w:lineRule="exact"/>
              <w:contextualSpacing w:val="0"/>
              <w:jc w:val="center"/>
              <w:rPr>
                <w:vanish w:val="0"/>
                <w:sz w:val="24"/>
                <w:szCs w:val="24"/>
              </w:rPr>
            </w:pPr>
            <w:r>
              <w:rPr>
                <w:rFonts w:eastAsia="宋体" w:cs="宋体" w:hint="eastAsia"/>
                <w:vanish w:val="0"/>
                <w:kern w:val="0"/>
                <w:sz w:val="24"/>
                <w:szCs w:val="24"/>
              </w:rPr>
              <w:t>本年处理决定数量</w:t>
            </w:r>
          </w:p>
        </w:tc>
      </w:tr>
      <w:tr>
        <w:trPr>
          <w:trHeight w:val="510"/>
        </w:trPr>
        <w:tc>
          <w:tcPr>
            <w:tcW w:w="2720" w:type="dxa"/>
            <w:tcBorders>
              <w:top w:val="nil"/>
              <w:left w:val="single" w:sz="8" w:space="0" w:color="auto"/>
              <w:bottom w:val="single" w:sz="8" w:space="0" w:color="auto"/>
              <w:right w:val="single" w:sz="8" w:space="0" w:color="auto"/>
              <w:tl2br w:val="nil"/>
              <w:tr2bl w:val="nil"/>
            </w:tcBorders>
            <w:tcMar>
              <w:left w:w="108" w:type="dxa"/>
              <w:right w:w="108" w:type="dxa"/>
            </w:tcMar>
            <w:vAlign w:val="cente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adjustRightInd w:val="0"/>
              <w:snapToGrid w:val="0"/>
              <w:spacing w:line="260" w:lineRule="exact"/>
              <w:contextualSpacing w:val="0"/>
              <w:jc w:val="center"/>
              <w:rPr>
                <w:vanish w:val="0"/>
                <w:sz w:val="24"/>
                <w:szCs w:val="24"/>
              </w:rPr>
            </w:pPr>
            <w:r>
              <w:rPr>
                <w:rFonts w:eastAsia="宋体" w:cs="宋体" w:hint="eastAsia"/>
                <w:vanish w:val="0"/>
                <w:kern w:val="0"/>
                <w:sz w:val="24"/>
                <w:szCs w:val="24"/>
              </w:rPr>
              <w:t>行政处罚</w:t>
            </w:r>
          </w:p>
        </w:tc>
        <w:tc>
          <w:tcPr>
            <w:tcW w:w="6275" w:type="dxa"/>
            <w:gridSpan w:val="3"/>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cs="宋体"/>
                <w:vanish w:val="0"/>
                <w:sz w:val="24"/>
                <w:szCs w:val="24"/>
              </w:rPr>
            </w:pPr>
            <w:r>
              <w:rPr>
                <w:rFonts w:eastAsia="方正仿宋_GBK" w:cs="宋体"/>
                <w:vanish w:val="0"/>
                <w:sz w:val="24"/>
                <w:szCs w:val="24"/>
              </w:rPr>
              <w:t>5</w:t>
            </w:r>
          </w:p>
        </w:tc>
      </w:tr>
      <w:tr>
        <w:trPr>
          <w:trHeight w:val="510"/>
        </w:trPr>
        <w:tc>
          <w:tcPr>
            <w:tcW w:w="2720" w:type="dxa"/>
            <w:tcBorders>
              <w:top w:val="nil"/>
              <w:left w:val="single" w:sz="8" w:space="0" w:color="auto"/>
              <w:bottom w:val="single" w:sz="8" w:space="0" w:color="auto"/>
              <w:right w:val="single" w:sz="8" w:space="0" w:color="auto"/>
              <w:tl2br w:val="nil"/>
              <w:tr2bl w:val="nil"/>
            </w:tcBorders>
            <w:tcMar>
              <w:left w:w="108" w:type="dxa"/>
              <w:right w:w="108" w:type="dxa"/>
            </w:tcMar>
            <w:vAlign w:val="cente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adjustRightInd w:val="0"/>
              <w:snapToGrid w:val="0"/>
              <w:spacing w:line="260" w:lineRule="exact"/>
              <w:contextualSpacing w:val="0"/>
              <w:jc w:val="center"/>
              <w:rPr>
                <w:vanish w:val="0"/>
                <w:sz w:val="24"/>
                <w:szCs w:val="24"/>
              </w:rPr>
            </w:pPr>
            <w:r>
              <w:rPr>
                <w:rFonts w:eastAsia="宋体" w:cs="宋体" w:hint="eastAsia"/>
                <w:vanish w:val="0"/>
                <w:kern w:val="0"/>
                <w:sz w:val="24"/>
                <w:szCs w:val="24"/>
              </w:rPr>
              <w:t>行政强制</w:t>
            </w:r>
          </w:p>
        </w:tc>
        <w:tc>
          <w:tcPr>
            <w:tcW w:w="6275" w:type="dxa"/>
            <w:gridSpan w:val="3"/>
            <w:tcBorders>
              <w:top w:val="nil"/>
              <w:left w:val="nil"/>
              <w:bottom w:val="single" w:sz="8" w:space="0" w:color="auto"/>
              <w:right w:val="single" w:sz="8" w:space="0" w:color="auto"/>
              <w:tl2br w:val="nil"/>
              <w:tr2bl w:val="nil"/>
            </w:tcBorders>
            <w:tcMar>
              <w:left w:w="108" w:type="dxa"/>
              <w:right w:w="108" w:type="dxa"/>
            </w:tcMar>
            <w:vAlign w:val="center"/>
          </w:tcPr>
          <w:p>
            <w:pPr>
              <w:pStyle w:val="136"/>
              <w:pBdr>
                <w:top w:val="none" w:sz="0" w:space="0" w:color="auto"/>
                <w:left w:val="none" w:sz="0" w:space="0" w:color="auto"/>
                <w:bottom w:val="none" w:sz="0" w:space="0" w:color="auto"/>
                <w:right w:val="none" w:sz="0" w:space="0" w:color="auto"/>
              </w:pBdr>
              <w:jc w:val="center"/>
              <w:rPr>
                <w:rFonts w:eastAsia="方正仿宋_GBK" w:cs="宋体"/>
                <w:vanish w:val="0"/>
                <w:sz w:val="24"/>
                <w:szCs w:val="24"/>
              </w:rPr>
            </w:pPr>
            <w:r>
              <w:rPr>
                <w:rFonts w:eastAsia="方正仿宋_GBK" w:cs="宋体"/>
                <w:vanish w:val="0"/>
                <w:sz w:val="24"/>
                <w:szCs w:val="24"/>
              </w:rPr>
              <w:t>27</w:t>
            </w:r>
          </w:p>
        </w:tc>
      </w:tr>
      <w:tr>
        <w:trPr>
          <w:trHeight w:val="474"/>
        </w:trPr>
        <w:tc>
          <w:tcPr>
            <w:tcW w:w="8995" w:type="dxa"/>
            <w:gridSpan w:val="4"/>
            <w:tcBorders>
              <w:top w:val="nil"/>
              <w:left w:val="single" w:sz="8" w:space="0" w:color="auto"/>
              <w:bottom w:val="single" w:sz="8" w:space="0" w:color="auto"/>
              <w:right w:val="single" w:sz="8" w:space="0" w:color="auto"/>
              <w:tl2br w:val="nil"/>
              <w:tr2bl w:val="nil"/>
            </w:tcBorders>
            <w:shd w:val="clear" w:color="auto" w:fill="C6D9F1"/>
            <w:tcMar>
              <w:left w:w="108" w:type="dxa"/>
              <w:right w:w="108" w:type="dxa"/>
            </w:tcMar>
            <w:vAlign w:val="cente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center"/>
              <w:rPr>
                <w:vanish w:val="0"/>
                <w:sz w:val="24"/>
                <w:szCs w:val="24"/>
              </w:rPr>
            </w:pPr>
            <w:r>
              <w:rPr>
                <w:rFonts w:eastAsia="宋体" w:cs="宋体" w:hint="eastAsia"/>
                <w:vanish w:val="0"/>
                <w:kern w:val="0"/>
                <w:sz w:val="24"/>
                <w:szCs w:val="24"/>
              </w:rPr>
              <w:t>第二十条第（八）项</w:t>
            </w:r>
          </w:p>
        </w:tc>
      </w:tr>
      <w:tr>
        <w:trPr>
          <w:trHeight w:val="680"/>
        </w:trPr>
        <w:tc>
          <w:tcPr>
            <w:tcW w:w="2720" w:type="dxa"/>
            <w:tcBorders>
              <w:top w:val="nil"/>
              <w:left w:val="single" w:sz="8" w:space="0" w:color="auto"/>
              <w:bottom w:val="single" w:sz="8" w:space="0" w:color="auto"/>
              <w:right w:val="single" w:sz="8" w:space="0" w:color="auto"/>
              <w:tl2br w:val="nil"/>
              <w:tr2bl w:val="nil"/>
            </w:tcBorders>
            <w:tcMar>
              <w:left w:w="108" w:type="dxa"/>
              <w:right w:w="108" w:type="dxa"/>
            </w:tcMar>
            <w:vAlign w:val="cente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adjustRightInd w:val="0"/>
              <w:snapToGrid w:val="0"/>
              <w:spacing w:line="260" w:lineRule="exact"/>
              <w:contextualSpacing w:val="0"/>
              <w:jc w:val="center"/>
              <w:rPr>
                <w:vanish w:val="0"/>
                <w:sz w:val="24"/>
                <w:szCs w:val="24"/>
              </w:rPr>
            </w:pPr>
            <w:r>
              <w:rPr>
                <w:rFonts w:eastAsia="宋体" w:cs="宋体" w:hint="eastAsia"/>
                <w:vanish w:val="0"/>
                <w:kern w:val="0"/>
                <w:sz w:val="24"/>
                <w:szCs w:val="24"/>
              </w:rPr>
              <w:t>信息内容</w:t>
            </w:r>
          </w:p>
        </w:tc>
        <w:tc>
          <w:tcPr>
            <w:tcW w:w="6275" w:type="dxa"/>
            <w:gridSpan w:val="3"/>
            <w:tcBorders>
              <w:top w:val="nil"/>
              <w:left w:val="nil"/>
              <w:bottom w:val="single" w:sz="8" w:space="0" w:color="auto"/>
              <w:right w:val="single" w:sz="8" w:space="0" w:color="000000"/>
              <w:tl2br w:val="nil"/>
              <w:tr2bl w:val="nil"/>
            </w:tcBorders>
            <w:tcMar>
              <w:left w:w="108" w:type="dxa"/>
              <w:right w:w="108" w:type="dxa"/>
            </w:tcMar>
            <w:vAlign w:val="center"/>
          </w:tcPr>
          <w:p>
            <w:pPr>
              <w:pStyle w:val="137"/>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adjustRightInd w:val="0"/>
              <w:snapToGrid w:val="0"/>
              <w:spacing w:line="260" w:lineRule="exact"/>
              <w:contextualSpacing w:val="0"/>
              <w:jc w:val="center"/>
              <w:rPr>
                <w:vanish w:val="0"/>
                <w:sz w:val="24"/>
                <w:szCs w:val="24"/>
              </w:rPr>
            </w:pPr>
            <w:r>
              <w:rPr>
                <w:rFonts w:eastAsia="宋体" w:cs="宋体" w:hint="eastAsia"/>
                <w:vanish w:val="0"/>
                <w:kern w:val="0"/>
                <w:sz w:val="24"/>
                <w:szCs w:val="24"/>
              </w:rPr>
              <w:t>本年收费金额（单位：万元）</w:t>
            </w:r>
          </w:p>
        </w:tc>
      </w:tr>
      <w:tr>
        <w:trPr>
          <w:trHeight w:val="510"/>
        </w:trPr>
        <w:tc>
          <w:tcPr>
            <w:tcW w:w="2720" w:type="dxa"/>
            <w:tcBorders>
              <w:top w:val="nil"/>
              <w:left w:val="single" w:sz="8" w:space="0" w:color="auto"/>
              <w:bottom w:val="single" w:sz="8" w:space="0" w:color="auto"/>
              <w:right w:val="single" w:sz="8" w:space="0" w:color="auto"/>
              <w:tl2br w:val="nil"/>
              <w:tr2bl w:val="nil"/>
            </w:tcBorders>
            <w:tcMar>
              <w:left w:w="108" w:type="dxa"/>
              <w:right w:w="108" w:type="dxa"/>
            </w:tcMar>
            <w:vAlign w:val="cente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adjustRightInd w:val="0"/>
              <w:snapToGrid w:val="0"/>
              <w:spacing w:line="260" w:lineRule="exact"/>
              <w:contextualSpacing w:val="0"/>
              <w:jc w:val="center"/>
              <w:rPr>
                <w:vanish w:val="0"/>
              </w:rPr>
            </w:pPr>
            <w:r>
              <w:rPr>
                <w:rFonts w:eastAsia="宋体" w:cs="宋体" w:hint="eastAsia"/>
                <w:vanish w:val="0"/>
                <w:kern w:val="0"/>
                <w:sz w:val="24"/>
                <w:szCs w:val="24"/>
              </w:rPr>
              <w:t>行政事业性收费</w:t>
            </w:r>
          </w:p>
        </w:tc>
        <w:tc>
          <w:tcPr>
            <w:tcW w:w="6275" w:type="dxa"/>
            <w:gridSpan w:val="3"/>
            <w:tcBorders>
              <w:top w:val="nil"/>
              <w:left w:val="nil"/>
              <w:bottom w:val="single" w:sz="8" w:space="0" w:color="auto"/>
              <w:right w:val="single" w:sz="8" w:space="0" w:color="000000"/>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cs="宋体"/>
                <w:vanish w:val="0"/>
                <w:sz w:val="24"/>
                <w:szCs w:val="24"/>
              </w:rPr>
            </w:pPr>
            <w:r>
              <w:rPr>
                <w:rFonts w:eastAsia="方正仿宋_GBK" w:cs="宋体"/>
                <w:vanish w:val="0"/>
                <w:sz w:val="24"/>
                <w:szCs w:val="24"/>
              </w:rPr>
              <w:t>0</w:t>
            </w:r>
          </w:p>
        </w:tc>
      </w:tr>
    </w:tbl>
    <w:p>
      <w:pPr>
        <w:pStyle w:val="16"/>
        <w:tabs>
          <w:tab w:val="center" w:pos="4153"/>
          <w:tab w:val="right" w:pos="8306"/>
        </w:tabs>
      </w:pPr>
    </w:p>
    <w:p>
      <w:pPr>
        <w:pStyle w:val="138"/>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suppressAutoHyphens w:val="0"/>
        <w:adjustRightInd w:val="0"/>
        <w:snapToGrid w:val="0"/>
        <w:spacing w:afterLines="50" w:after="120" w:afterAutospacing="0" w:line="560" w:lineRule="exact"/>
        <w:ind w:firstLineChars="200" w:firstLine="640"/>
        <w:contextualSpacing w:val="0"/>
        <w:jc w:val="both"/>
        <w:rPr>
          <w:rFonts w:eastAsia="方正黑体_GBK" w:cs="楷体_GB2312" w:hint="eastAsia"/>
          <w:bCs/>
          <w:vanish w:val="0"/>
          <w:sz w:val="32"/>
          <w:szCs w:val="32"/>
          <w:shd w:val="clear" w:color="auto" w:fill="FFFFFF"/>
        </w:rPr>
      </w:pPr>
      <w:r>
        <w:rPr>
          <w:rFonts w:eastAsia="方正黑体_GBK" w:cs="楷体_GB2312" w:hint="eastAsia"/>
          <w:bCs/>
          <w:vanish w:val="0"/>
          <w:sz w:val="32"/>
          <w:szCs w:val="32"/>
          <w:shd w:val="clear" w:color="auto" w:fill="FFFFFF"/>
        </w:rPr>
        <w:t>三、收到和处理政府信息公开申请情况</w:t>
      </w:r>
    </w:p>
    <w:tbl>
      <w:tblPr>
        <w:jc w:val="center"/>
        <w:tblBorders>
          <w:top w:val="none" w:sz="0" w:space="0" w:color="auto"/>
          <w:left w:val="none" w:sz="0" w:space="0" w:color="auto"/>
          <w:bottom w:val="none" w:sz="0" w:space="0" w:color="auto"/>
          <w:right w:val="none" w:sz="0" w:space="0" w:color="auto"/>
        </w:tblBorders>
        <w:tblLayout w:type="fixed"/>
        <w:tblCellMar>
          <w:top w:w="0" w:type="dxa"/>
          <w:left w:w="0" w:type="dxa"/>
          <w:bottom w:w="0" w:type="dxa"/>
          <w:right w:w="0" w:type="dxa"/>
        </w:tblCellMar>
      </w:tblPr>
      <w:tblGrid>
        <w:gridCol w:w="696"/>
        <w:gridCol w:w="936"/>
        <w:gridCol w:w="2670"/>
        <w:gridCol w:w="635"/>
        <w:gridCol w:w="675"/>
        <w:gridCol w:w="750"/>
        <w:gridCol w:w="765"/>
        <w:gridCol w:w="765"/>
        <w:gridCol w:w="497"/>
        <w:gridCol w:w="682"/>
      </w:tblGrid>
      <w:tr>
        <w:trPr>
          <w:tblHeader/>
        </w:trPr>
        <w:tc>
          <w:tcPr>
            <w:tcW w:w="4302" w:type="dxa"/>
            <w:gridSpan w:val="3"/>
            <w:vMerge w:val="restart"/>
            <w:tcBorders>
              <w:top w:val="single" w:sz="8" w:space="0" w:color="auto"/>
              <w:left w:val="single" w:sz="8" w:space="0" w:color="auto"/>
              <w:bottom w:val="single" w:sz="8" w:space="0" w:color="auto"/>
              <w:right w:val="single" w:sz="8" w:space="0" w:color="auto"/>
              <w:tl2br w:val="nil"/>
              <w:tr2bl w:val="nil"/>
            </w:tcBorders>
            <w:tcMar>
              <w:left w:w="108" w:type="dxa"/>
              <w:right w:w="108" w:type="dxa"/>
            </w:tcMar>
            <w:vAlign w:val="cente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center"/>
              <w:rPr>
                <w:vanish w:val="0"/>
              </w:rPr>
            </w:pPr>
            <w:r>
              <w:rPr>
                <w:rFonts w:eastAsia="宋体" w:cs="宋体" w:hint="eastAsia"/>
                <w:vanish w:val="0"/>
                <w:kern w:val="0"/>
                <w:sz w:val="20"/>
                <w:szCs w:val="20"/>
              </w:rPr>
              <w:t>（本列数据的勾稽关系为：第一项加第二项之和，等于第三项加第四项之和）</w:t>
            </w:r>
          </w:p>
        </w:tc>
        <w:tc>
          <w:tcPr>
            <w:tcW w:w="4769" w:type="dxa"/>
            <w:gridSpan w:val="7"/>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center"/>
              <w:rPr>
                <w:vanish w:val="0"/>
              </w:rPr>
            </w:pPr>
            <w:r>
              <w:rPr>
                <w:rFonts w:eastAsia="宋体" w:cs="宋体" w:hint="eastAsia"/>
                <w:vanish w:val="0"/>
                <w:kern w:val="0"/>
                <w:sz w:val="20"/>
                <w:szCs w:val="20"/>
              </w:rPr>
              <w:t>申请人情况</w:t>
            </w:r>
          </w:p>
        </w:tc>
      </w:tr>
      <w:tr>
        <w:trPr>
          <w:tblHeader/>
        </w:trPr>
        <w:tc>
          <w:tcPr>
            <w:gridSpan w:val="3"/>
            <w:vMerge/>
            <w:tcBorders>
              <w:top w:val="single" w:sz="8" w:space="0" w:color="auto"/>
              <w:left w:val="single" w:sz="8" w:space="0" w:color="auto"/>
              <w:bottom w:val="single" w:sz="8" w:space="0" w:color="auto"/>
              <w:right w:val="single" w:sz="8" w:space="0" w:color="auto"/>
              <w:tl2br w:val="nil"/>
              <w:tr2bl w:val="nil"/>
            </w:tcBorders>
            <w:vAlign w:val="center"/>
          </w:tcPr>
          <w:p/>
        </w:tc>
        <w:tc>
          <w:tcPr>
            <w:tcW w:w="635" w:type="dxa"/>
            <w:vMerge w:val="restart"/>
            <w:tcBorders>
              <w:top w:val="nil"/>
              <w:left w:val="nil"/>
              <w:bottom w:val="single" w:sz="8" w:space="0" w:color="auto"/>
              <w:right w:val="single" w:sz="8" w:space="0" w:color="auto"/>
              <w:tl2br w:val="nil"/>
              <w:tr2bl w:val="nil"/>
            </w:tcBorders>
            <w:tcMar>
              <w:left w:w="108" w:type="dxa"/>
              <w:right w:w="108" w:type="dxa"/>
            </w:tcMar>
            <w:vAlign w:val="cente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center"/>
              <w:rPr>
                <w:vanish w:val="0"/>
              </w:rPr>
            </w:pPr>
            <w:r>
              <w:rPr>
                <w:rFonts w:eastAsia="宋体" w:cs="宋体" w:hint="eastAsia"/>
                <w:vanish w:val="0"/>
                <w:kern w:val="0"/>
                <w:sz w:val="20"/>
                <w:szCs w:val="20"/>
              </w:rPr>
              <w:t>自然人</w:t>
            </w:r>
          </w:p>
        </w:tc>
        <w:tc>
          <w:tcPr>
            <w:tcW w:w="3452" w:type="dxa"/>
            <w:gridSpan w:val="5"/>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center"/>
              <w:rPr>
                <w:vanish w:val="0"/>
              </w:rPr>
            </w:pPr>
            <w:r>
              <w:rPr>
                <w:rFonts w:eastAsia="宋体" w:cs="宋体" w:hint="eastAsia"/>
                <w:vanish w:val="0"/>
                <w:kern w:val="0"/>
                <w:sz w:val="20"/>
                <w:szCs w:val="20"/>
              </w:rPr>
              <w:t>法人或其他组织</w:t>
            </w:r>
          </w:p>
        </w:tc>
        <w:tc>
          <w:tcPr>
            <w:tcW w:w="682" w:type="dxa"/>
            <w:vMerge w:val="restart"/>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center"/>
              <w:rPr>
                <w:vanish w:val="0"/>
              </w:rPr>
            </w:pPr>
            <w:r>
              <w:rPr>
                <w:rFonts w:eastAsia="宋体" w:cs="宋体" w:hint="eastAsia"/>
                <w:vanish w:val="0"/>
                <w:kern w:val="0"/>
                <w:sz w:val="20"/>
                <w:szCs w:val="20"/>
              </w:rPr>
              <w:t>总计</w:t>
            </w:r>
          </w:p>
        </w:tc>
      </w:tr>
      <w:tr>
        <w:trPr>
          <w:trHeight w:val="649"/>
          <w:tblHeader/>
        </w:trPr>
        <w:tc>
          <w:tcPr>
            <w:gridSpan w:val="3"/>
            <w:vMerge/>
            <w:tcBorders>
              <w:top w:val="single" w:sz="8" w:space="0" w:color="auto"/>
              <w:left w:val="single" w:sz="8" w:space="0" w:color="auto"/>
              <w:bottom w:val="single" w:sz="8" w:space="0" w:color="auto"/>
              <w:right w:val="single" w:sz="8" w:space="0" w:color="auto"/>
              <w:tl2br w:val="nil"/>
              <w:tr2bl w:val="nil"/>
            </w:tcBorders>
            <w:vAlign w:val="center"/>
          </w:tcPr>
          <w:p/>
        </w:tc>
        <w:tc>
          <w:tcPr>
            <w:vMerge/>
            <w:tcBorders>
              <w:top w:val="nil"/>
              <w:left w:val="nil"/>
              <w:bottom w:val="single" w:sz="8" w:space="0" w:color="auto"/>
              <w:right w:val="single" w:sz="8" w:space="0" w:color="auto"/>
              <w:tl2br w:val="nil"/>
              <w:tr2bl w:val="nil"/>
            </w:tcBorders>
            <w:vAlign w:val="center"/>
          </w:tcP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center"/>
              <w:rPr>
                <w:vanish w:val="0"/>
              </w:rPr>
            </w:pPr>
            <w:r>
              <w:rPr>
                <w:rFonts w:eastAsia="宋体" w:cs="宋体" w:hint="eastAsia"/>
                <w:vanish w:val="0"/>
                <w:kern w:val="0"/>
                <w:sz w:val="20"/>
                <w:szCs w:val="20"/>
              </w:rPr>
              <w:t>商业企业</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center"/>
              <w:rPr>
                <w:vanish w:val="0"/>
              </w:rPr>
            </w:pPr>
            <w:r>
              <w:rPr>
                <w:rFonts w:eastAsia="宋体" w:cs="宋体" w:hint="eastAsia"/>
                <w:vanish w:val="0"/>
                <w:kern w:val="0"/>
                <w:sz w:val="20"/>
                <w:szCs w:val="20"/>
              </w:rPr>
              <w:t>科研机构</w:t>
            </w:r>
          </w:p>
        </w:tc>
        <w:tc>
          <w:tcPr>
            <w:tcW w:w="765" w:type="dxa"/>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center"/>
              <w:rPr>
                <w:vanish w:val="0"/>
              </w:rPr>
            </w:pPr>
            <w:r>
              <w:rPr>
                <w:rFonts w:eastAsia="宋体" w:cs="宋体" w:hint="eastAsia"/>
                <w:vanish w:val="0"/>
                <w:kern w:val="0"/>
                <w:sz w:val="20"/>
                <w:szCs w:val="20"/>
              </w:rPr>
              <w:t>社会公益组织</w:t>
            </w:r>
          </w:p>
        </w:tc>
        <w:tc>
          <w:tcPr>
            <w:tcW w:w="765" w:type="dxa"/>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center"/>
              <w:rPr>
                <w:vanish w:val="0"/>
              </w:rPr>
            </w:pPr>
            <w:r>
              <w:rPr>
                <w:rFonts w:eastAsia="宋体" w:cs="宋体" w:hint="eastAsia"/>
                <w:vanish w:val="0"/>
                <w:kern w:val="0"/>
                <w:sz w:val="20"/>
                <w:szCs w:val="20"/>
              </w:rPr>
              <w:t>法律服务机构</w:t>
            </w:r>
          </w:p>
        </w:tc>
        <w:tc>
          <w:tcPr>
            <w:tcW w:w="497" w:type="dxa"/>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center"/>
              <w:rPr>
                <w:vanish w:val="0"/>
              </w:rPr>
            </w:pPr>
            <w:r>
              <w:rPr>
                <w:rFonts w:eastAsia="宋体" w:cs="宋体" w:hint="eastAsia"/>
                <w:vanish w:val="0"/>
                <w:kern w:val="0"/>
                <w:sz w:val="20"/>
                <w:szCs w:val="20"/>
              </w:rPr>
              <w:t>其他</w:t>
            </w:r>
          </w:p>
        </w:tc>
        <w:tc>
          <w:tcPr>
            <w:vMerge/>
            <w:tcBorders>
              <w:top w:val="single" w:sz="8" w:space="0" w:color="auto"/>
              <w:left w:val="nil"/>
              <w:bottom w:val="single" w:sz="8" w:space="0" w:color="auto"/>
              <w:right w:val="single" w:sz="8" w:space="0" w:color="auto"/>
              <w:tl2br w:val="nil"/>
              <w:tr2bl w:val="nil"/>
            </w:tcBorders>
            <w:vAlign w:val="center"/>
          </w:tcPr>
          <w:p/>
        </w:tc>
      </w:tr>
      <w:tr>
        <w:tc>
          <w:tcPr>
            <w:tcW w:w="4302" w:type="dxa"/>
            <w:gridSpan w:val="3"/>
            <w:tcBorders>
              <w:top w:val="nil"/>
              <w:left w:val="single" w:sz="8" w:space="0" w:color="auto"/>
              <w:bottom w:val="single" w:sz="8" w:space="0" w:color="auto"/>
              <w:right w:val="single" w:sz="8" w:space="0" w:color="auto"/>
              <w:tl2br w:val="nil"/>
              <w:tr2bl w:val="nil"/>
            </w:tcBorders>
            <w:tcMar>
              <w:left w:w="108" w:type="dxa"/>
              <w:right w:w="108" w:type="dxa"/>
            </w:tcMa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left"/>
              <w:rPr>
                <w:vanish w:val="0"/>
                <w:sz w:val="24"/>
                <w:szCs w:val="24"/>
              </w:rPr>
            </w:pPr>
            <w:r>
              <w:rPr>
                <w:rFonts w:eastAsia="宋体" w:cs="宋体" w:hint="eastAsia"/>
                <w:vanish w:val="0"/>
                <w:kern w:val="0"/>
                <w:sz w:val="24"/>
                <w:szCs w:val="24"/>
              </w:rPr>
              <w:t>一、本年新收政府信息公开申请数量</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r>
      <w:tr>
        <w:tc>
          <w:tcPr>
            <w:tcW w:w="4302" w:type="dxa"/>
            <w:gridSpan w:val="3"/>
            <w:tcBorders>
              <w:top w:val="nil"/>
              <w:left w:val="single" w:sz="8" w:space="0" w:color="auto"/>
              <w:bottom w:val="single" w:sz="8" w:space="0" w:color="auto"/>
              <w:right w:val="single" w:sz="8" w:space="0" w:color="auto"/>
              <w:tl2br w:val="nil"/>
              <w:tr2bl w:val="nil"/>
            </w:tcBorders>
            <w:tcMar>
              <w:left w:w="108" w:type="dxa"/>
              <w:right w:w="108" w:type="dxa"/>
            </w:tcMa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left"/>
              <w:rPr>
                <w:vanish w:val="0"/>
                <w:sz w:val="24"/>
                <w:szCs w:val="24"/>
              </w:rPr>
            </w:pPr>
            <w:r>
              <w:rPr>
                <w:rFonts w:eastAsia="宋体" w:cs="宋体" w:hint="eastAsia"/>
                <w:vanish w:val="0"/>
                <w:kern w:val="0"/>
                <w:sz w:val="24"/>
                <w:szCs w:val="24"/>
              </w:rPr>
              <w:t>二、上年结转政府信息公开申请数量</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r>
      <w:tr>
        <w:tc>
          <w:tcPr>
            <w:tcW w:w="696" w:type="dxa"/>
            <w:vMerge w:val="restart"/>
            <w:tcBorders>
              <w:top w:val="nil"/>
              <w:left w:val="single" w:sz="8" w:space="0" w:color="auto"/>
              <w:bottom w:val="single" w:sz="8" w:space="0" w:color="auto"/>
              <w:right w:val="single" w:sz="8" w:space="0" w:color="auto"/>
              <w:tl2br w:val="nil"/>
              <w:tr2bl w:val="nil"/>
            </w:tcBorders>
            <w:tcMar>
              <w:left w:w="108" w:type="dxa"/>
              <w:right w:w="108" w:type="dxa"/>
            </w:tcMar>
            <w:vAlign w:val="cente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center"/>
              <w:rPr>
                <w:vanish w:val="0"/>
                <w:sz w:val="24"/>
                <w:szCs w:val="24"/>
              </w:rPr>
            </w:pPr>
            <w:r>
              <w:rPr>
                <w:rFonts w:eastAsia="宋体" w:cs="宋体" w:hint="eastAsia"/>
                <w:vanish w:val="0"/>
                <w:kern w:val="0"/>
                <w:sz w:val="24"/>
                <w:szCs w:val="24"/>
              </w:rPr>
              <w:t>三、本年度办理结果</w:t>
            </w:r>
          </w:p>
        </w:tc>
        <w:tc>
          <w:tcPr>
            <w:tcW w:w="3606" w:type="dxa"/>
            <w:gridSpan w:val="2"/>
            <w:tcBorders>
              <w:top w:val="nil"/>
              <w:left w:val="nil"/>
              <w:bottom w:val="single" w:sz="8" w:space="0" w:color="auto"/>
              <w:right w:val="single" w:sz="8" w:space="0" w:color="auto"/>
              <w:tl2br w:val="nil"/>
              <w:tr2bl w:val="nil"/>
            </w:tcBorders>
            <w:tcMar>
              <w:left w:w="108" w:type="dxa"/>
              <w:right w:w="108" w:type="dxa"/>
            </w:tcMar>
            <w:vAlign w:val="cente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left"/>
              <w:rPr>
                <w:vanish w:val="0"/>
                <w:sz w:val="24"/>
                <w:szCs w:val="24"/>
              </w:rPr>
            </w:pPr>
            <w:r>
              <w:rPr>
                <w:rFonts w:eastAsia="楷体" w:cs="楷体" w:hint="eastAsia"/>
                <w:vanish w:val="0"/>
                <w:kern w:val="0"/>
                <w:sz w:val="24"/>
                <w:szCs w:val="24"/>
              </w:rPr>
              <w:t>（一）予以公开</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82" w:type="dxa"/>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r>
      <w:tr>
        <w:tc>
          <w:tcPr>
            <w:vMerge/>
            <w:tcBorders>
              <w:top w:val="nil"/>
              <w:left w:val="single" w:sz="8" w:space="0" w:color="auto"/>
              <w:bottom w:val="single" w:sz="8" w:space="0" w:color="auto"/>
              <w:right w:val="single" w:sz="8" w:space="0" w:color="auto"/>
              <w:tl2br w:val="nil"/>
              <w:tr2bl w:val="nil"/>
            </w:tcBorders>
            <w:vAlign w:val="center"/>
          </w:tcPr>
          <w:p/>
        </w:tc>
        <w:tc>
          <w:tcPr>
            <w:tcW w:w="3606" w:type="dxa"/>
            <w:gridSpan w:val="2"/>
            <w:tcBorders>
              <w:top w:val="nil"/>
              <w:left w:val="nil"/>
              <w:bottom w:val="single" w:sz="8" w:space="0" w:color="auto"/>
              <w:right w:val="single" w:sz="8" w:space="0" w:color="auto"/>
              <w:tl2br w:val="nil"/>
              <w:tr2bl w:val="nil"/>
            </w:tcBorders>
            <w:tcMar>
              <w:left w:w="108" w:type="dxa"/>
              <w:right w:w="108" w:type="dxa"/>
            </w:tcMar>
            <w:vAlign w:val="cente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left"/>
              <w:rPr>
                <w:vanish w:val="0"/>
                <w:sz w:val="24"/>
                <w:szCs w:val="24"/>
              </w:rPr>
            </w:pPr>
            <w:r>
              <w:rPr>
                <w:rFonts w:eastAsia="楷体" w:cs="楷体" w:hint="eastAsia"/>
                <w:vanish w:val="0"/>
                <w:kern w:val="0"/>
                <w:sz w:val="24"/>
                <w:szCs w:val="24"/>
              </w:rPr>
              <w:t>（二）部分公开（区分处理的，只计这一情形，不计其他情形）</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r>
      <w:tr>
        <w:tc>
          <w:tcPr>
            <w:vMerge/>
            <w:tcBorders>
              <w:top w:val="nil"/>
              <w:left w:val="single" w:sz="8" w:space="0" w:color="auto"/>
              <w:bottom w:val="single" w:sz="8" w:space="0" w:color="auto"/>
              <w:right w:val="single" w:sz="8" w:space="0" w:color="auto"/>
              <w:tl2br w:val="nil"/>
              <w:tr2bl w:val="nil"/>
            </w:tcBorders>
            <w:vAlign w:val="center"/>
          </w:tcPr>
          <w:p/>
        </w:tc>
        <w:tc>
          <w:tcPr>
            <w:tcW w:w="936" w:type="dxa"/>
            <w:vMerge w:val="restart"/>
            <w:tcBorders>
              <w:top w:val="nil"/>
              <w:left w:val="nil"/>
              <w:bottom w:val="single" w:sz="8" w:space="0" w:color="auto"/>
              <w:right w:val="single" w:sz="8" w:space="0" w:color="auto"/>
              <w:tl2br w:val="nil"/>
              <w:tr2bl w:val="nil"/>
            </w:tcBorders>
            <w:tcMar>
              <w:left w:w="108" w:type="dxa"/>
              <w:right w:w="108" w:type="dxa"/>
            </w:tcMar>
            <w:vAlign w:val="cente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rPr>
                <w:vanish w:val="0"/>
                <w:sz w:val="24"/>
                <w:szCs w:val="24"/>
              </w:rPr>
            </w:pPr>
            <w:r>
              <w:rPr>
                <w:rFonts w:eastAsia="楷体" w:cs="楷体" w:hint="eastAsia"/>
                <w:vanish w:val="0"/>
                <w:kern w:val="0"/>
                <w:sz w:val="24"/>
                <w:szCs w:val="24"/>
              </w:rPr>
              <w:t>（三）不予公开</w:t>
            </w: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rPr>
                <w:vanish w:val="0"/>
                <w:sz w:val="24"/>
                <w:szCs w:val="24"/>
              </w:rPr>
            </w:pPr>
            <w:r>
              <w:rPr>
                <w:rFonts w:eastAsia="楷体" w:cs="楷体" w:hint="eastAsia"/>
                <w:vanish w:val="0"/>
                <w:kern w:val="0"/>
                <w:sz w:val="24"/>
                <w:szCs w:val="24"/>
              </w:rPr>
              <w:t>1.属于国家秘密</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82" w:type="dxa"/>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r>
      <w:tr>
        <w:tc>
          <w:tcPr>
            <w:vMerge/>
            <w:tcBorders>
              <w:top w:val="nil"/>
              <w:left w:val="single" w:sz="8" w:space="0" w:color="auto"/>
              <w:bottom w:val="single" w:sz="8" w:space="0" w:color="auto"/>
              <w:right w:val="single" w:sz="8" w:space="0" w:color="auto"/>
              <w:tl2br w:val="nil"/>
              <w:tr2bl w:val="nil"/>
            </w:tcBorders>
            <w:vAlign w:val="center"/>
          </w:tcPr>
          <w:p/>
        </w:tc>
        <w:tc>
          <w:tcPr>
            <w:vMerge/>
            <w:tcBorders>
              <w:top w:val="nil"/>
              <w:left w:val="nil"/>
              <w:bottom w:val="single" w:sz="8" w:space="0" w:color="auto"/>
              <w:right w:val="single" w:sz="8" w:space="0" w:color="auto"/>
              <w:tl2br w:val="nil"/>
              <w:tr2bl w:val="nil"/>
            </w:tcBorders>
            <w:vAlign w:val="center"/>
          </w:tcP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rPr>
                <w:vanish w:val="0"/>
                <w:sz w:val="24"/>
                <w:szCs w:val="24"/>
              </w:rPr>
            </w:pPr>
            <w:r>
              <w:rPr>
                <w:rFonts w:eastAsia="楷体" w:cs="楷体" w:hint="eastAsia"/>
                <w:vanish w:val="0"/>
                <w:kern w:val="0"/>
                <w:sz w:val="24"/>
                <w:szCs w:val="24"/>
              </w:rPr>
              <w:t>2.其他法律行政法规禁止公开</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r>
      <w:tr>
        <w:tc>
          <w:tcPr>
            <w:vMerge/>
            <w:tcBorders>
              <w:top w:val="nil"/>
              <w:left w:val="single" w:sz="8" w:space="0" w:color="auto"/>
              <w:bottom w:val="single" w:sz="8" w:space="0" w:color="auto"/>
              <w:right w:val="single" w:sz="8" w:space="0" w:color="auto"/>
              <w:tl2br w:val="nil"/>
              <w:tr2bl w:val="nil"/>
            </w:tcBorders>
            <w:vAlign w:val="center"/>
          </w:tcPr>
          <w:p/>
        </w:tc>
        <w:tc>
          <w:tcPr>
            <w:vMerge/>
            <w:tcBorders>
              <w:top w:val="nil"/>
              <w:left w:val="nil"/>
              <w:bottom w:val="single" w:sz="8" w:space="0" w:color="auto"/>
              <w:right w:val="single" w:sz="8" w:space="0" w:color="auto"/>
              <w:tl2br w:val="nil"/>
              <w:tr2bl w:val="nil"/>
            </w:tcBorders>
            <w:vAlign w:val="center"/>
          </w:tcP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rPr>
                <w:vanish w:val="0"/>
                <w:sz w:val="24"/>
                <w:szCs w:val="24"/>
              </w:rPr>
            </w:pPr>
            <w:r>
              <w:rPr>
                <w:rFonts w:eastAsia="楷体" w:cs="楷体" w:hint="eastAsia"/>
                <w:vanish w:val="0"/>
                <w:kern w:val="0"/>
                <w:sz w:val="24"/>
                <w:szCs w:val="24"/>
              </w:rPr>
              <w:t>3.危及“三安全一稳定”</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r>
      <w:tr>
        <w:tc>
          <w:tcPr>
            <w:vMerge/>
            <w:tcBorders>
              <w:top w:val="nil"/>
              <w:left w:val="single" w:sz="8" w:space="0" w:color="auto"/>
              <w:bottom w:val="single" w:sz="8" w:space="0" w:color="auto"/>
              <w:right w:val="single" w:sz="8" w:space="0" w:color="auto"/>
              <w:tl2br w:val="nil"/>
              <w:tr2bl w:val="nil"/>
            </w:tcBorders>
            <w:vAlign w:val="center"/>
          </w:tcPr>
          <w:p/>
        </w:tc>
        <w:tc>
          <w:tcPr>
            <w:vMerge/>
            <w:tcBorders>
              <w:top w:val="nil"/>
              <w:left w:val="nil"/>
              <w:bottom w:val="single" w:sz="8" w:space="0" w:color="auto"/>
              <w:right w:val="single" w:sz="8" w:space="0" w:color="auto"/>
              <w:tl2br w:val="nil"/>
              <w:tr2bl w:val="nil"/>
            </w:tcBorders>
            <w:vAlign w:val="center"/>
          </w:tcP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rPr>
                <w:vanish w:val="0"/>
                <w:sz w:val="24"/>
                <w:szCs w:val="24"/>
              </w:rPr>
            </w:pPr>
            <w:r>
              <w:rPr>
                <w:rFonts w:eastAsia="楷体" w:cs="楷体" w:hint="eastAsia"/>
                <w:vanish w:val="0"/>
                <w:kern w:val="0"/>
                <w:sz w:val="24"/>
                <w:szCs w:val="24"/>
              </w:rPr>
              <w:t>4.保护第三方合法权益</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r>
      <w:tr>
        <w:tc>
          <w:tcPr>
            <w:vMerge/>
            <w:tcBorders>
              <w:top w:val="nil"/>
              <w:left w:val="single" w:sz="8" w:space="0" w:color="auto"/>
              <w:bottom w:val="single" w:sz="8" w:space="0" w:color="auto"/>
              <w:right w:val="single" w:sz="8" w:space="0" w:color="auto"/>
              <w:tl2br w:val="nil"/>
              <w:tr2bl w:val="nil"/>
            </w:tcBorders>
            <w:vAlign w:val="center"/>
          </w:tcPr>
          <w:p/>
        </w:tc>
        <w:tc>
          <w:tcPr>
            <w:vMerge/>
            <w:tcBorders>
              <w:top w:val="nil"/>
              <w:left w:val="nil"/>
              <w:bottom w:val="single" w:sz="8" w:space="0" w:color="auto"/>
              <w:right w:val="single" w:sz="8" w:space="0" w:color="auto"/>
              <w:tl2br w:val="nil"/>
              <w:tr2bl w:val="nil"/>
            </w:tcBorders>
            <w:vAlign w:val="center"/>
          </w:tcP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rPr>
                <w:vanish w:val="0"/>
                <w:sz w:val="24"/>
                <w:szCs w:val="24"/>
              </w:rPr>
            </w:pPr>
            <w:r>
              <w:rPr>
                <w:rFonts w:eastAsia="楷体" w:cs="楷体" w:hint="eastAsia"/>
                <w:vanish w:val="0"/>
                <w:kern w:val="0"/>
                <w:sz w:val="24"/>
                <w:szCs w:val="24"/>
              </w:rPr>
              <w:t>5.属于三类内部事务信息</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r>
      <w:tr>
        <w:tc>
          <w:tcPr>
            <w:vMerge/>
            <w:tcBorders>
              <w:top w:val="nil"/>
              <w:left w:val="single" w:sz="8" w:space="0" w:color="auto"/>
              <w:bottom w:val="single" w:sz="8" w:space="0" w:color="auto"/>
              <w:right w:val="single" w:sz="8" w:space="0" w:color="auto"/>
              <w:tl2br w:val="nil"/>
              <w:tr2bl w:val="nil"/>
            </w:tcBorders>
            <w:vAlign w:val="center"/>
          </w:tcPr>
          <w:p/>
        </w:tc>
        <w:tc>
          <w:tcPr>
            <w:vMerge/>
            <w:tcBorders>
              <w:top w:val="nil"/>
              <w:left w:val="nil"/>
              <w:bottom w:val="single" w:sz="8" w:space="0" w:color="auto"/>
              <w:right w:val="single" w:sz="8" w:space="0" w:color="auto"/>
              <w:tl2br w:val="nil"/>
              <w:tr2bl w:val="nil"/>
            </w:tcBorders>
            <w:vAlign w:val="center"/>
          </w:tcP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rPr>
                <w:vanish w:val="0"/>
                <w:sz w:val="24"/>
                <w:szCs w:val="24"/>
              </w:rPr>
            </w:pPr>
            <w:r>
              <w:rPr>
                <w:rFonts w:eastAsia="楷体" w:cs="楷体" w:hint="eastAsia"/>
                <w:vanish w:val="0"/>
                <w:kern w:val="0"/>
                <w:sz w:val="24"/>
                <w:szCs w:val="24"/>
              </w:rPr>
              <w:t>6.属于四类过程性信息</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r>
      <w:tr>
        <w:tc>
          <w:tcPr>
            <w:vMerge/>
            <w:tcBorders>
              <w:top w:val="nil"/>
              <w:left w:val="single" w:sz="8" w:space="0" w:color="auto"/>
              <w:bottom w:val="single" w:sz="8" w:space="0" w:color="auto"/>
              <w:right w:val="single" w:sz="8" w:space="0" w:color="auto"/>
              <w:tl2br w:val="nil"/>
              <w:tr2bl w:val="nil"/>
            </w:tcBorders>
            <w:vAlign w:val="center"/>
          </w:tcPr>
          <w:p/>
        </w:tc>
        <w:tc>
          <w:tcPr>
            <w:vMerge/>
            <w:tcBorders>
              <w:top w:val="nil"/>
              <w:left w:val="nil"/>
              <w:bottom w:val="single" w:sz="8" w:space="0" w:color="auto"/>
              <w:right w:val="single" w:sz="8" w:space="0" w:color="auto"/>
              <w:tl2br w:val="nil"/>
              <w:tr2bl w:val="nil"/>
            </w:tcBorders>
            <w:vAlign w:val="center"/>
          </w:tcP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rPr>
                <w:vanish w:val="0"/>
                <w:sz w:val="24"/>
                <w:szCs w:val="24"/>
              </w:rPr>
            </w:pPr>
            <w:r>
              <w:rPr>
                <w:rFonts w:eastAsia="楷体" w:cs="楷体" w:hint="eastAsia"/>
                <w:vanish w:val="0"/>
                <w:kern w:val="0"/>
                <w:sz w:val="24"/>
                <w:szCs w:val="24"/>
              </w:rPr>
              <w:t>7.属于行政执法案卷</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r>
      <w:tr>
        <w:tc>
          <w:tcPr>
            <w:vMerge/>
            <w:tcBorders>
              <w:top w:val="nil"/>
              <w:left w:val="single" w:sz="8" w:space="0" w:color="auto"/>
              <w:bottom w:val="single" w:sz="8" w:space="0" w:color="auto"/>
              <w:right w:val="single" w:sz="8" w:space="0" w:color="auto"/>
              <w:tl2br w:val="nil"/>
              <w:tr2bl w:val="nil"/>
            </w:tcBorders>
            <w:vAlign w:val="center"/>
          </w:tcPr>
          <w:p/>
        </w:tc>
        <w:tc>
          <w:tcPr>
            <w:vMerge/>
            <w:tcBorders>
              <w:top w:val="nil"/>
              <w:left w:val="nil"/>
              <w:bottom w:val="single" w:sz="8" w:space="0" w:color="auto"/>
              <w:right w:val="single" w:sz="8" w:space="0" w:color="auto"/>
              <w:tl2br w:val="nil"/>
              <w:tr2bl w:val="nil"/>
            </w:tcBorders>
            <w:vAlign w:val="center"/>
          </w:tcP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rPr>
                <w:vanish w:val="0"/>
                <w:sz w:val="24"/>
                <w:szCs w:val="24"/>
              </w:rPr>
            </w:pPr>
            <w:r>
              <w:rPr>
                <w:rFonts w:eastAsia="楷体" w:cs="楷体" w:hint="eastAsia"/>
                <w:vanish w:val="0"/>
                <w:kern w:val="0"/>
                <w:sz w:val="24"/>
                <w:szCs w:val="24"/>
              </w:rPr>
              <w:t>8.属于行政查询事项</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r>
      <w:tr>
        <w:tc>
          <w:tcPr>
            <w:vMerge/>
            <w:tcBorders>
              <w:top w:val="nil"/>
              <w:left w:val="single" w:sz="8" w:space="0" w:color="auto"/>
              <w:bottom w:val="single" w:sz="8" w:space="0" w:color="auto"/>
              <w:right w:val="single" w:sz="8" w:space="0" w:color="auto"/>
              <w:tl2br w:val="nil"/>
              <w:tr2bl w:val="nil"/>
            </w:tcBorders>
            <w:vAlign w:val="center"/>
          </w:tcPr>
          <w:p/>
        </w:tc>
        <w:tc>
          <w:tcPr>
            <w:tcW w:w="936" w:type="dxa"/>
            <w:vMerge w:val="restart"/>
            <w:tcBorders>
              <w:top w:val="nil"/>
              <w:left w:val="nil"/>
              <w:bottom w:val="single" w:sz="8" w:space="0" w:color="auto"/>
              <w:right w:val="single" w:sz="8" w:space="0" w:color="auto"/>
              <w:tl2br w:val="nil"/>
              <w:tr2bl w:val="nil"/>
            </w:tcBorders>
            <w:tcMar>
              <w:left w:w="108" w:type="dxa"/>
              <w:right w:w="108" w:type="dxa"/>
            </w:tcMar>
            <w:vAlign w:val="cente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rPr>
                <w:vanish w:val="0"/>
                <w:sz w:val="24"/>
                <w:szCs w:val="24"/>
              </w:rPr>
            </w:pPr>
            <w:r>
              <w:rPr>
                <w:rFonts w:eastAsia="楷体" w:cs="楷体" w:hint="eastAsia"/>
                <w:vanish w:val="0"/>
                <w:kern w:val="0"/>
                <w:sz w:val="24"/>
                <w:szCs w:val="24"/>
              </w:rPr>
              <w:t>（四）无法提供</w:t>
            </w: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rPr>
                <w:vanish w:val="0"/>
                <w:sz w:val="24"/>
                <w:szCs w:val="24"/>
              </w:rPr>
            </w:pPr>
            <w:r>
              <w:rPr>
                <w:rFonts w:eastAsia="楷体" w:cs="楷体" w:hint="eastAsia"/>
                <w:vanish w:val="0"/>
                <w:kern w:val="0"/>
                <w:sz w:val="24"/>
                <w:szCs w:val="24"/>
              </w:rPr>
              <w:t>1.本机关不掌握相关政府信息</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r>
      <w:tr>
        <w:tc>
          <w:tcPr>
            <w:vMerge/>
            <w:tcBorders>
              <w:top w:val="nil"/>
              <w:left w:val="single" w:sz="8" w:space="0" w:color="auto"/>
              <w:bottom w:val="single" w:sz="8" w:space="0" w:color="auto"/>
              <w:right w:val="single" w:sz="8" w:space="0" w:color="auto"/>
              <w:tl2br w:val="nil"/>
              <w:tr2bl w:val="nil"/>
            </w:tcBorders>
            <w:vAlign w:val="center"/>
          </w:tcPr>
          <w:p/>
        </w:tc>
        <w:tc>
          <w:tcPr>
            <w:vMerge/>
            <w:tcBorders>
              <w:top w:val="nil"/>
              <w:left w:val="nil"/>
              <w:bottom w:val="single" w:sz="8" w:space="0" w:color="auto"/>
              <w:right w:val="single" w:sz="8" w:space="0" w:color="auto"/>
              <w:tl2br w:val="nil"/>
              <w:tr2bl w:val="nil"/>
            </w:tcBorders>
            <w:vAlign w:val="center"/>
          </w:tcP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rPr>
                <w:vanish w:val="0"/>
                <w:sz w:val="24"/>
                <w:szCs w:val="24"/>
              </w:rPr>
            </w:pPr>
            <w:r>
              <w:rPr>
                <w:rFonts w:eastAsia="楷体" w:cs="楷体" w:hint="eastAsia"/>
                <w:vanish w:val="0"/>
                <w:kern w:val="0"/>
                <w:sz w:val="24"/>
                <w:szCs w:val="24"/>
              </w:rPr>
              <w:t>2.没有现成信息需要另行制作</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r>
      <w:tr>
        <w:tc>
          <w:tcPr>
            <w:vMerge/>
            <w:tcBorders>
              <w:top w:val="nil"/>
              <w:left w:val="single" w:sz="8" w:space="0" w:color="auto"/>
              <w:bottom w:val="single" w:sz="8" w:space="0" w:color="auto"/>
              <w:right w:val="single" w:sz="8" w:space="0" w:color="auto"/>
              <w:tl2br w:val="nil"/>
              <w:tr2bl w:val="nil"/>
            </w:tcBorders>
            <w:vAlign w:val="center"/>
          </w:tcPr>
          <w:p/>
        </w:tc>
        <w:tc>
          <w:tcPr>
            <w:vMerge/>
            <w:tcBorders>
              <w:top w:val="nil"/>
              <w:left w:val="nil"/>
              <w:bottom w:val="single" w:sz="8" w:space="0" w:color="auto"/>
              <w:right w:val="single" w:sz="8" w:space="0" w:color="auto"/>
              <w:tl2br w:val="nil"/>
              <w:tr2bl w:val="nil"/>
            </w:tcBorders>
            <w:vAlign w:val="center"/>
          </w:tcP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rPr>
                <w:vanish w:val="0"/>
                <w:sz w:val="24"/>
                <w:szCs w:val="24"/>
              </w:rPr>
            </w:pPr>
            <w:r>
              <w:rPr>
                <w:rFonts w:eastAsia="楷体" w:cs="楷体" w:hint="eastAsia"/>
                <w:vanish w:val="0"/>
                <w:kern w:val="0"/>
                <w:sz w:val="24"/>
                <w:szCs w:val="24"/>
              </w:rPr>
              <w:t>3.补正后申请内容仍不明确</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r>
      <w:tr>
        <w:tc>
          <w:tcPr>
            <w:vMerge/>
            <w:tcBorders>
              <w:top w:val="nil"/>
              <w:left w:val="single" w:sz="8" w:space="0" w:color="auto"/>
              <w:bottom w:val="single" w:sz="8" w:space="0" w:color="auto"/>
              <w:right w:val="single" w:sz="8" w:space="0" w:color="auto"/>
              <w:tl2br w:val="nil"/>
              <w:tr2bl w:val="nil"/>
            </w:tcBorders>
            <w:vAlign w:val="center"/>
          </w:tcPr>
          <w:p/>
        </w:tc>
        <w:tc>
          <w:tcPr>
            <w:tcW w:w="936" w:type="dxa"/>
            <w:vMerge w:val="restart"/>
            <w:tcBorders>
              <w:top w:val="nil"/>
              <w:left w:val="nil"/>
              <w:bottom w:val="single" w:sz="8" w:space="0" w:color="auto"/>
              <w:right w:val="single" w:sz="8" w:space="0" w:color="auto"/>
              <w:tl2br w:val="nil"/>
              <w:tr2bl w:val="nil"/>
            </w:tcBorders>
            <w:tcMar>
              <w:left w:w="108" w:type="dxa"/>
              <w:right w:w="108" w:type="dxa"/>
            </w:tcMar>
            <w:vAlign w:val="cente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rPr>
                <w:vanish w:val="0"/>
                <w:sz w:val="24"/>
                <w:szCs w:val="24"/>
              </w:rPr>
            </w:pPr>
            <w:r>
              <w:rPr>
                <w:rFonts w:eastAsia="楷体" w:cs="楷体" w:hint="eastAsia"/>
                <w:vanish w:val="0"/>
                <w:kern w:val="0"/>
                <w:sz w:val="24"/>
                <w:szCs w:val="24"/>
              </w:rPr>
              <w:t>（五）不予处理</w:t>
            </w: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rPr>
                <w:vanish w:val="0"/>
                <w:sz w:val="24"/>
                <w:szCs w:val="24"/>
              </w:rPr>
            </w:pPr>
            <w:r>
              <w:rPr>
                <w:rFonts w:eastAsia="楷体" w:cs="楷体" w:hint="eastAsia"/>
                <w:vanish w:val="0"/>
                <w:kern w:val="0"/>
                <w:sz w:val="24"/>
                <w:szCs w:val="24"/>
              </w:rPr>
              <w:t>1.信访举报投诉类申请</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r>
      <w:tr>
        <w:tc>
          <w:tcPr>
            <w:vMerge/>
            <w:tcBorders>
              <w:top w:val="nil"/>
              <w:left w:val="single" w:sz="8" w:space="0" w:color="auto"/>
              <w:bottom w:val="single" w:sz="8" w:space="0" w:color="auto"/>
              <w:right w:val="single" w:sz="8" w:space="0" w:color="auto"/>
              <w:tl2br w:val="nil"/>
              <w:tr2bl w:val="nil"/>
            </w:tcBorders>
            <w:vAlign w:val="center"/>
          </w:tcPr>
          <w:p/>
        </w:tc>
        <w:tc>
          <w:tcPr>
            <w:vMerge/>
            <w:tcBorders>
              <w:top w:val="nil"/>
              <w:left w:val="nil"/>
              <w:bottom w:val="single" w:sz="8" w:space="0" w:color="auto"/>
              <w:right w:val="single" w:sz="8" w:space="0" w:color="auto"/>
              <w:tl2br w:val="nil"/>
              <w:tr2bl w:val="nil"/>
            </w:tcBorders>
            <w:vAlign w:val="center"/>
          </w:tcP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rPr>
                <w:vanish w:val="0"/>
                <w:sz w:val="24"/>
                <w:szCs w:val="24"/>
              </w:rPr>
            </w:pPr>
            <w:r>
              <w:rPr>
                <w:rFonts w:eastAsia="楷体" w:cs="楷体" w:hint="eastAsia"/>
                <w:vanish w:val="0"/>
                <w:kern w:val="0"/>
                <w:sz w:val="24"/>
                <w:szCs w:val="24"/>
              </w:rPr>
              <w:t>2.重复申请</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r>
      <w:tr>
        <w:tc>
          <w:tcPr>
            <w:vMerge/>
            <w:tcBorders>
              <w:top w:val="nil"/>
              <w:left w:val="single" w:sz="8" w:space="0" w:color="auto"/>
              <w:bottom w:val="single" w:sz="8" w:space="0" w:color="auto"/>
              <w:right w:val="single" w:sz="8" w:space="0" w:color="auto"/>
              <w:tl2br w:val="nil"/>
              <w:tr2bl w:val="nil"/>
            </w:tcBorders>
            <w:vAlign w:val="center"/>
          </w:tcPr>
          <w:p/>
        </w:tc>
        <w:tc>
          <w:tcPr>
            <w:vMerge/>
            <w:tcBorders>
              <w:top w:val="nil"/>
              <w:left w:val="nil"/>
              <w:bottom w:val="single" w:sz="8" w:space="0" w:color="auto"/>
              <w:right w:val="single" w:sz="8" w:space="0" w:color="auto"/>
              <w:tl2br w:val="nil"/>
              <w:tr2bl w:val="nil"/>
            </w:tcBorders>
            <w:vAlign w:val="center"/>
          </w:tcP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rPr>
                <w:vanish w:val="0"/>
                <w:sz w:val="24"/>
                <w:szCs w:val="24"/>
              </w:rPr>
            </w:pPr>
            <w:r>
              <w:rPr>
                <w:rFonts w:eastAsia="楷体" w:cs="楷体" w:hint="eastAsia"/>
                <w:vanish w:val="0"/>
                <w:kern w:val="0"/>
                <w:sz w:val="24"/>
                <w:szCs w:val="24"/>
              </w:rPr>
              <w:t>3.要求提供公开出版物</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r>
      <w:tr>
        <w:trPr>
          <w:trHeight w:val="810"/>
        </w:trPr>
        <w:tc>
          <w:tcPr>
            <w:vMerge/>
            <w:tcBorders>
              <w:top w:val="nil"/>
              <w:left w:val="single" w:sz="8" w:space="0" w:color="auto"/>
              <w:bottom w:val="single" w:sz="8" w:space="0" w:color="auto"/>
              <w:right w:val="single" w:sz="8" w:space="0" w:color="auto"/>
              <w:tl2br w:val="nil"/>
              <w:tr2bl w:val="nil"/>
            </w:tcBorders>
            <w:vAlign w:val="center"/>
          </w:tcPr>
          <w:p/>
        </w:tc>
        <w:tc>
          <w:tcPr>
            <w:vMerge/>
            <w:tcBorders>
              <w:top w:val="nil"/>
              <w:left w:val="nil"/>
              <w:bottom w:val="single" w:sz="8" w:space="0" w:color="auto"/>
              <w:right w:val="single" w:sz="8" w:space="0" w:color="auto"/>
              <w:tl2br w:val="nil"/>
              <w:tr2bl w:val="nil"/>
            </w:tcBorders>
            <w:vAlign w:val="center"/>
          </w:tcP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rPr>
                <w:vanish w:val="0"/>
                <w:sz w:val="24"/>
                <w:szCs w:val="24"/>
              </w:rPr>
            </w:pPr>
            <w:r>
              <w:rPr>
                <w:rFonts w:eastAsia="楷体" w:cs="楷体" w:hint="eastAsia"/>
                <w:vanish w:val="0"/>
                <w:kern w:val="0"/>
                <w:sz w:val="24"/>
                <w:szCs w:val="24"/>
              </w:rPr>
              <w:t>4.无正当理由大量反复申请</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r>
      <w:tr>
        <w:tc>
          <w:tcPr>
            <w:vMerge/>
            <w:tcBorders>
              <w:top w:val="nil"/>
              <w:left w:val="single" w:sz="8" w:space="0" w:color="auto"/>
              <w:bottom w:val="single" w:sz="8" w:space="0" w:color="auto"/>
              <w:right w:val="single" w:sz="8" w:space="0" w:color="auto"/>
              <w:tl2br w:val="nil"/>
              <w:tr2bl w:val="nil"/>
            </w:tcBorders>
            <w:vAlign w:val="center"/>
          </w:tcPr>
          <w:p/>
        </w:tc>
        <w:tc>
          <w:tcPr>
            <w:vMerge/>
            <w:tcBorders>
              <w:top w:val="nil"/>
              <w:left w:val="nil"/>
              <w:bottom w:val="single" w:sz="8" w:space="0" w:color="auto"/>
              <w:right w:val="single" w:sz="8" w:space="0" w:color="auto"/>
              <w:tl2br w:val="nil"/>
              <w:tr2bl w:val="nil"/>
            </w:tcBorders>
            <w:vAlign w:val="center"/>
          </w:tcP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rPr>
                <w:vanish w:val="0"/>
                <w:sz w:val="24"/>
                <w:szCs w:val="24"/>
              </w:rPr>
            </w:pPr>
            <w:r>
              <w:rPr>
                <w:rFonts w:eastAsia="楷体" w:cs="楷体" w:hint="eastAsia"/>
                <w:vanish w:val="0"/>
                <w:kern w:val="0"/>
                <w:sz w:val="24"/>
                <w:szCs w:val="24"/>
              </w:rPr>
              <w:t>5.要求行政机关确认或重新出具已获取信息</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r>
      <w:tr>
        <w:trPr>
          <w:trHeight w:val="566"/>
        </w:trPr>
        <w:tc>
          <w:tcPr>
            <w:vMerge/>
            <w:tcBorders>
              <w:top w:val="nil"/>
              <w:left w:val="single" w:sz="8" w:space="0" w:color="auto"/>
              <w:bottom w:val="single" w:sz="8" w:space="0" w:color="auto"/>
              <w:right w:val="single" w:sz="8" w:space="0" w:color="auto"/>
              <w:tl2br w:val="nil"/>
              <w:tr2bl w:val="nil"/>
            </w:tcBorders>
            <w:vAlign w:val="center"/>
          </w:tcPr>
          <w:p/>
        </w:tc>
        <w:tc>
          <w:tcPr>
            <w:tcW w:w="936" w:type="dxa"/>
            <w:vMerge w:val="restart"/>
            <w:tcBorders>
              <w:top w:val="nil"/>
              <w:left w:val="nil"/>
              <w:bottom w:val="single" w:sz="8" w:space="0" w:color="auto"/>
              <w:right w:val="single" w:sz="8" w:space="0" w:color="auto"/>
              <w:tl2br w:val="nil"/>
              <w:tr2bl w:val="nil"/>
            </w:tcBorders>
            <w:tcMar>
              <w:left w:w="108" w:type="dxa"/>
              <w:right w:w="108" w:type="dxa"/>
            </w:tcMar>
            <w:vAlign w:val="cente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rPr>
                <w:vanish w:val="0"/>
                <w:sz w:val="24"/>
                <w:szCs w:val="24"/>
              </w:rPr>
            </w:pPr>
            <w:r>
              <w:rPr>
                <w:rFonts w:eastAsia="楷体" w:cs="楷体" w:hint="eastAsia"/>
                <w:vanish w:val="0"/>
                <w:kern w:val="0"/>
                <w:sz w:val="24"/>
                <w:szCs w:val="24"/>
              </w:rPr>
              <w:t>（六）其他处理</w:t>
            </w:r>
          </w:p>
        </w:tc>
        <w:tc>
          <w:tcPr>
            <w:tcW w:w="2670" w:type="dxa"/>
            <w:tcBorders>
              <w:top w:val="nil"/>
              <w:left w:val="single" w:sz="8" w:space="0" w:color="auto"/>
              <w:bottom w:val="single" w:sz="8" w:space="0" w:color="auto"/>
              <w:right w:val="single" w:sz="8" w:space="0" w:color="auto"/>
              <w:tl2br w:val="nil"/>
              <w:tr2bl w:val="nil"/>
            </w:tcBorders>
            <w:tcMar>
              <w:left w:w="108" w:type="dxa"/>
              <w:right w:w="108" w:type="dxa"/>
            </w:tcMa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rPr>
                <w:rFonts w:eastAsia="楷体" w:cs="楷体" w:hint="eastAsia"/>
                <w:vanish w:val="0"/>
                <w:kern w:val="0"/>
                <w:sz w:val="24"/>
                <w:szCs w:val="24"/>
              </w:rPr>
            </w:pPr>
            <w:r>
              <w:rPr>
                <w:rFonts w:eastAsia="楷体" w:cs="楷体" w:hint="eastAsia"/>
                <w:vanish w:val="0"/>
                <w:kern w:val="0"/>
                <w:sz w:val="24"/>
                <w:szCs w:val="24"/>
              </w:rPr>
              <w:t>1.申请人无正当理由逾期不补正、行政机关不再处理其政府信息公开申请</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r>
      <w:tr>
        <w:trPr>
          <w:trHeight w:val="566"/>
        </w:trPr>
        <w:tc>
          <w:tcPr>
            <w:vMerge/>
            <w:tcBorders>
              <w:top w:val="nil"/>
              <w:left w:val="single" w:sz="8" w:space="0" w:color="auto"/>
              <w:bottom w:val="single" w:sz="8" w:space="0" w:color="auto"/>
              <w:right w:val="single" w:sz="8" w:space="0" w:color="auto"/>
              <w:tl2br w:val="nil"/>
              <w:tr2bl w:val="nil"/>
            </w:tcBorders>
            <w:vAlign w:val="center"/>
          </w:tcPr>
          <w:p/>
        </w:tc>
        <w:tc>
          <w:tcPr>
            <w:vMerge/>
            <w:tcBorders>
              <w:top w:val="nil"/>
              <w:left w:val="nil"/>
              <w:bottom w:val="single" w:sz="8" w:space="0" w:color="auto"/>
              <w:right w:val="single" w:sz="8" w:space="0" w:color="auto"/>
              <w:tl2br w:val="nil"/>
              <w:tr2bl w:val="nil"/>
            </w:tcBorders>
            <w:vAlign w:val="center"/>
          </w:tcPr>
          <w:p/>
        </w:tc>
        <w:tc>
          <w:tcPr>
            <w:tcW w:w="2670" w:type="dxa"/>
            <w:tcBorders>
              <w:top w:val="nil"/>
              <w:left w:val="single" w:sz="8" w:space="0" w:color="auto"/>
              <w:bottom w:val="single" w:sz="8" w:space="0" w:color="auto"/>
              <w:right w:val="single" w:sz="8" w:space="0" w:color="auto"/>
              <w:tl2br w:val="nil"/>
              <w:tr2bl w:val="nil"/>
            </w:tcBorders>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rPr>
                <w:rFonts w:eastAsia="楷体" w:cs="楷体" w:hint="eastAsia"/>
                <w:vanish w:val="0"/>
                <w:kern w:val="0"/>
                <w:sz w:val="24"/>
                <w:szCs w:val="24"/>
              </w:rPr>
            </w:pPr>
            <w:r>
              <w:rPr>
                <w:rFonts w:eastAsia="楷体" w:cs="楷体" w:hint="eastAsia"/>
                <w:vanish w:val="0"/>
                <w:kern w:val="0"/>
                <w:sz w:val="24"/>
                <w:szCs w:val="24"/>
              </w:rPr>
              <w:t>2.申请人逾期未按收费通知要求缴纳费用、行政机关不再处理其政府信息公开申请</w:t>
            </w:r>
          </w:p>
        </w:tc>
        <w:tc>
          <w:tcPr>
            <w:tcW w:w="635" w:type="dxa"/>
            <w:tcBorders>
              <w:top w:val="nil"/>
              <w:left w:val="nil"/>
              <w:bottom w:val="single" w:sz="8" w:space="0" w:color="auto"/>
              <w:right w:val="single" w:sz="8" w:space="0" w:color="auto"/>
              <w:tl2br w:val="nil"/>
              <w:tr2bl w:val="nil"/>
            </w:tcBorders>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75" w:type="dxa"/>
            <w:tcBorders>
              <w:top w:val="nil"/>
              <w:left w:val="nil"/>
              <w:bottom w:val="single" w:sz="8" w:space="0" w:color="auto"/>
              <w:right w:val="single" w:sz="8" w:space="0" w:color="auto"/>
              <w:tl2br w:val="nil"/>
              <w:tr2bl w:val="nil"/>
            </w:tcBorders>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50" w:type="dxa"/>
            <w:tcBorders>
              <w:top w:val="nil"/>
              <w:left w:val="nil"/>
              <w:bottom w:val="single" w:sz="8" w:space="0" w:color="auto"/>
              <w:right w:val="single" w:sz="8" w:space="0" w:color="auto"/>
              <w:tl2br w:val="nil"/>
              <w:tr2bl w:val="nil"/>
            </w:tcBorders>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497" w:type="dxa"/>
            <w:tcBorders>
              <w:top w:val="nil"/>
              <w:left w:val="nil"/>
              <w:bottom w:val="single" w:sz="8" w:space="0" w:color="auto"/>
              <w:right w:val="single" w:sz="8" w:space="0" w:color="auto"/>
              <w:tl2br w:val="nil"/>
              <w:tr2bl w:val="nil"/>
            </w:tcBorders>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82" w:type="dxa"/>
            <w:tcBorders>
              <w:top w:val="nil"/>
              <w:left w:val="nil"/>
              <w:bottom w:val="single" w:sz="8" w:space="0" w:color="auto"/>
              <w:right w:val="single" w:sz="8" w:space="0" w:color="auto"/>
              <w:tl2br w:val="nil"/>
              <w:tr2bl w:val="nil"/>
            </w:tcBorders>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r>
      <w:tr>
        <w:trPr>
          <w:trHeight w:val="566"/>
        </w:trPr>
        <w:tc>
          <w:tcPr>
            <w:vMerge/>
            <w:tcBorders>
              <w:top w:val="nil"/>
              <w:left w:val="single" w:sz="8" w:space="0" w:color="auto"/>
              <w:bottom w:val="single" w:sz="8" w:space="0" w:color="auto"/>
              <w:right w:val="single" w:sz="8" w:space="0" w:color="auto"/>
              <w:tl2br w:val="nil"/>
              <w:tr2bl w:val="nil"/>
            </w:tcBorders>
            <w:vAlign w:val="center"/>
          </w:tcPr>
          <w:p/>
        </w:tc>
        <w:tc>
          <w:tcPr>
            <w:vMerge/>
            <w:tcBorders>
              <w:top w:val="nil"/>
              <w:left w:val="nil"/>
              <w:bottom w:val="single" w:sz="8" w:space="0" w:color="auto"/>
              <w:right w:val="single" w:sz="8" w:space="0" w:color="auto"/>
              <w:tl2br w:val="nil"/>
              <w:tr2bl w:val="nil"/>
            </w:tcBorders>
            <w:vAlign w:val="center"/>
          </w:tcPr>
          <w:p/>
        </w:tc>
        <w:tc>
          <w:tcPr>
            <w:tcW w:w="2670" w:type="dxa"/>
            <w:tcBorders>
              <w:top w:val="nil"/>
              <w:left w:val="single" w:sz="8" w:space="0" w:color="auto"/>
              <w:bottom w:val="single" w:sz="8" w:space="0" w:color="auto"/>
              <w:right w:val="single" w:sz="8" w:space="0" w:color="auto"/>
              <w:tl2br w:val="nil"/>
              <w:tr2bl w:val="nil"/>
            </w:tcBorders>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rPr>
                <w:rFonts w:eastAsia="楷体" w:cs="楷体" w:hint="eastAsia"/>
                <w:vanish w:val="0"/>
                <w:kern w:val="0"/>
                <w:sz w:val="24"/>
                <w:szCs w:val="24"/>
              </w:rPr>
            </w:pPr>
            <w:r>
              <w:rPr>
                <w:rFonts w:eastAsia="楷体" w:cs="楷体" w:hint="eastAsia"/>
                <w:vanish w:val="0"/>
                <w:kern w:val="0"/>
                <w:sz w:val="24"/>
                <w:szCs w:val="24"/>
              </w:rPr>
              <w:t>3.咨询事项，指引咨询渠道</w:t>
            </w:r>
          </w:p>
        </w:tc>
        <w:tc>
          <w:tcPr>
            <w:tcW w:w="635" w:type="dxa"/>
            <w:tcBorders>
              <w:top w:val="nil"/>
              <w:left w:val="nil"/>
              <w:bottom w:val="single" w:sz="8" w:space="0" w:color="auto"/>
              <w:right w:val="single" w:sz="8" w:space="0" w:color="auto"/>
              <w:tl2br w:val="nil"/>
              <w:tr2bl w:val="nil"/>
            </w:tcBorders>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75" w:type="dxa"/>
            <w:tcBorders>
              <w:top w:val="nil"/>
              <w:left w:val="nil"/>
              <w:bottom w:val="single" w:sz="8" w:space="0" w:color="auto"/>
              <w:right w:val="single" w:sz="8" w:space="0" w:color="auto"/>
              <w:tl2br w:val="nil"/>
              <w:tr2bl w:val="nil"/>
            </w:tcBorders>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50" w:type="dxa"/>
            <w:tcBorders>
              <w:top w:val="nil"/>
              <w:left w:val="nil"/>
              <w:bottom w:val="single" w:sz="8" w:space="0" w:color="auto"/>
              <w:right w:val="single" w:sz="8" w:space="0" w:color="auto"/>
              <w:tl2br w:val="nil"/>
              <w:tr2bl w:val="nil"/>
            </w:tcBorders>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497" w:type="dxa"/>
            <w:tcBorders>
              <w:top w:val="nil"/>
              <w:left w:val="nil"/>
              <w:bottom w:val="single" w:sz="8" w:space="0" w:color="auto"/>
              <w:right w:val="single" w:sz="8" w:space="0" w:color="auto"/>
              <w:tl2br w:val="nil"/>
              <w:tr2bl w:val="nil"/>
            </w:tcBorders>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82" w:type="dxa"/>
            <w:tcBorders>
              <w:top w:val="nil"/>
              <w:left w:val="nil"/>
              <w:bottom w:val="single" w:sz="8" w:space="0" w:color="auto"/>
              <w:right w:val="single" w:sz="8" w:space="0" w:color="auto"/>
              <w:tl2br w:val="nil"/>
              <w:tr2bl w:val="nil"/>
            </w:tcBorders>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r>
      <w:tr>
        <w:trPr>
          <w:trHeight w:val="566"/>
        </w:trPr>
        <w:tc>
          <w:tcPr>
            <w:vMerge/>
            <w:tcBorders>
              <w:top w:val="nil"/>
              <w:left w:val="single" w:sz="8" w:space="0" w:color="auto"/>
              <w:bottom w:val="single" w:sz="8" w:space="0" w:color="auto"/>
              <w:right w:val="single" w:sz="8" w:space="0" w:color="auto"/>
              <w:tl2br w:val="nil"/>
              <w:tr2bl w:val="nil"/>
            </w:tcBorders>
            <w:vAlign w:val="center"/>
          </w:tcPr>
          <w:p/>
        </w:tc>
        <w:tc>
          <w:tcPr>
            <w:vMerge/>
            <w:tcBorders>
              <w:top w:val="nil"/>
              <w:left w:val="nil"/>
              <w:bottom w:val="single" w:sz="8" w:space="0" w:color="auto"/>
              <w:right w:val="single" w:sz="8" w:space="0" w:color="auto"/>
              <w:tl2br w:val="nil"/>
              <w:tr2bl w:val="nil"/>
            </w:tcBorders>
            <w:vAlign w:val="center"/>
          </w:tcPr>
          <w:p/>
        </w:tc>
        <w:tc>
          <w:tcPr>
            <w:tcW w:w="2670" w:type="dxa"/>
            <w:tcBorders>
              <w:top w:val="nil"/>
              <w:left w:val="single" w:sz="8" w:space="0" w:color="auto"/>
              <w:bottom w:val="single" w:sz="8" w:space="0" w:color="auto"/>
              <w:right w:val="single" w:sz="8" w:space="0" w:color="auto"/>
              <w:tl2br w:val="nil"/>
              <w:tr2bl w:val="nil"/>
            </w:tcBorders>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rPr>
                <w:rFonts w:eastAsia="楷体" w:cs="楷体" w:hint="eastAsia"/>
                <w:vanish w:val="0"/>
                <w:kern w:val="0"/>
                <w:sz w:val="24"/>
                <w:szCs w:val="24"/>
              </w:rPr>
            </w:pPr>
            <w:r>
              <w:rPr>
                <w:rFonts w:eastAsia="楷体" w:cs="楷体" w:hint="eastAsia"/>
                <w:vanish w:val="0"/>
                <w:kern w:val="0"/>
                <w:sz w:val="24"/>
                <w:szCs w:val="24"/>
              </w:rPr>
              <w:t>4.申请人撤销申请</w:t>
            </w:r>
          </w:p>
        </w:tc>
        <w:tc>
          <w:tcPr>
            <w:tcW w:w="635" w:type="dxa"/>
            <w:tcBorders>
              <w:top w:val="nil"/>
              <w:left w:val="nil"/>
              <w:bottom w:val="single" w:sz="8" w:space="0" w:color="auto"/>
              <w:right w:val="single" w:sz="8" w:space="0" w:color="auto"/>
              <w:tl2br w:val="nil"/>
              <w:tr2bl w:val="nil"/>
            </w:tcBorders>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75" w:type="dxa"/>
            <w:tcBorders>
              <w:top w:val="nil"/>
              <w:left w:val="nil"/>
              <w:bottom w:val="single" w:sz="8" w:space="0" w:color="auto"/>
              <w:right w:val="single" w:sz="8" w:space="0" w:color="auto"/>
              <w:tl2br w:val="nil"/>
              <w:tr2bl w:val="nil"/>
            </w:tcBorders>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50" w:type="dxa"/>
            <w:tcBorders>
              <w:top w:val="nil"/>
              <w:left w:val="nil"/>
              <w:bottom w:val="single" w:sz="8" w:space="0" w:color="auto"/>
              <w:right w:val="single" w:sz="8" w:space="0" w:color="auto"/>
              <w:tl2br w:val="nil"/>
              <w:tr2bl w:val="nil"/>
            </w:tcBorders>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497" w:type="dxa"/>
            <w:tcBorders>
              <w:top w:val="nil"/>
              <w:left w:val="nil"/>
              <w:bottom w:val="single" w:sz="8" w:space="0" w:color="auto"/>
              <w:right w:val="single" w:sz="8" w:space="0" w:color="auto"/>
              <w:tl2br w:val="nil"/>
              <w:tr2bl w:val="nil"/>
            </w:tcBorders>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82" w:type="dxa"/>
            <w:tcBorders>
              <w:top w:val="nil"/>
              <w:left w:val="nil"/>
              <w:bottom w:val="single" w:sz="8" w:space="0" w:color="auto"/>
              <w:right w:val="single" w:sz="8" w:space="0" w:color="auto"/>
              <w:tl2br w:val="nil"/>
              <w:tr2bl w:val="nil"/>
            </w:tcBorders>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r>
      <w:tr>
        <w:tc>
          <w:tcPr>
            <w:vMerge/>
            <w:tcBorders>
              <w:top w:val="nil"/>
              <w:left w:val="single" w:sz="8" w:space="0" w:color="auto"/>
              <w:bottom w:val="single" w:sz="8" w:space="0" w:color="auto"/>
              <w:right w:val="single" w:sz="8" w:space="0" w:color="auto"/>
              <w:tl2br w:val="nil"/>
              <w:tr2bl w:val="nil"/>
            </w:tcBorders>
            <w:vAlign w:val="center"/>
          </w:tcPr>
          <w:p/>
        </w:tc>
        <w:tc>
          <w:tcPr>
            <w:tcW w:w="3606" w:type="dxa"/>
            <w:gridSpan w:val="2"/>
            <w:tcBorders>
              <w:top w:val="nil"/>
              <w:left w:val="nil"/>
              <w:bottom w:val="single" w:sz="8" w:space="0" w:color="auto"/>
              <w:right w:val="single" w:sz="8" w:space="0" w:color="auto"/>
              <w:tl2br w:val="nil"/>
              <w:tr2bl w:val="nil"/>
            </w:tcBorders>
            <w:tcMar>
              <w:left w:w="108" w:type="dxa"/>
              <w:right w:w="108" w:type="dxa"/>
            </w:tcMar>
            <w:vAlign w:val="cente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rPr>
                <w:vanish w:val="0"/>
                <w:sz w:val="24"/>
                <w:szCs w:val="24"/>
              </w:rPr>
            </w:pPr>
            <w:r>
              <w:rPr>
                <w:rFonts w:eastAsia="楷体" w:cs="楷体" w:hint="eastAsia"/>
                <w:vanish w:val="0"/>
                <w:kern w:val="0"/>
                <w:sz w:val="24"/>
                <w:szCs w:val="24"/>
              </w:rPr>
              <w:t>（七）总计</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r>
      <w:tr>
        <w:tc>
          <w:tcPr>
            <w:tcW w:w="4302" w:type="dxa"/>
            <w:gridSpan w:val="3"/>
            <w:tcBorders>
              <w:top w:val="nil"/>
              <w:left w:val="single" w:sz="8" w:space="0" w:color="auto"/>
              <w:bottom w:val="single" w:sz="8" w:space="0" w:color="auto"/>
              <w:right w:val="single" w:sz="8" w:space="0" w:color="auto"/>
              <w:tl2br w:val="nil"/>
              <w:tr2bl w:val="nil"/>
            </w:tcBorders>
            <w:tcMar>
              <w:left w:w="108" w:type="dxa"/>
              <w:right w:w="108" w:type="dxa"/>
            </w:tcMar>
            <w:vAlign w:val="cente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left"/>
              <w:rPr>
                <w:vanish w:val="0"/>
              </w:rPr>
            </w:pPr>
            <w:r>
              <w:rPr>
                <w:rFonts w:eastAsia="宋体" w:cs="宋体" w:hint="eastAsia"/>
                <w:vanish w:val="0"/>
                <w:kern w:val="0"/>
                <w:sz w:val="24"/>
                <w:szCs w:val="24"/>
              </w:rPr>
              <w:t>四、结转下年度继续办理</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r>
    </w:tbl>
    <w:p>
      <w:pPr>
        <w:pStyle w:val="138"/>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suppressAutoHyphens w:val="0"/>
        <w:spacing w:beforeLines="50" w:before="120" w:beforeAutospacing="0" w:after="120" w:afterAutospacing="0"/>
        <w:ind w:left="0" w:right="0" w:firstLineChars="200" w:firstLine="640"/>
        <w:jc w:val="both"/>
        <w:rPr>
          <w:rFonts w:eastAsia="宋体" w:cs="宋体" w:hint="eastAsia"/>
          <w:vanish w:val="0"/>
          <w:szCs w:val="24"/>
        </w:rPr>
      </w:pPr>
      <w:r>
        <w:rPr>
          <w:rFonts w:eastAsia="方正黑体_GBK" w:cs="楷体_GB2312" w:hint="eastAsia"/>
          <w:bCs/>
          <w:vanish w:val="0"/>
          <w:sz w:val="32"/>
          <w:szCs w:val="32"/>
          <w:shd w:val="clear" w:color="auto" w:fill="FFFFFF"/>
        </w:rPr>
        <w:t>四、政府信息公开行政复议、行政诉讼情况</w:t>
      </w:r>
    </w:p>
    <w:tbl>
      <w:tblPr>
        <w:jc w:val="center"/>
        <w:tblBorders>
          <w:top w:val="none" w:sz="0" w:space="0" w:color="auto"/>
          <w:left w:val="none" w:sz="0" w:space="0" w:color="auto"/>
          <w:bottom w:val="none" w:sz="0" w:space="0" w:color="auto"/>
          <w:right w:val="none" w:sz="0" w:space="0" w:color="auto"/>
        </w:tblBorders>
        <w:tblLayout w:type="fixed"/>
        <w:tblCellMar>
          <w:top w:w="0" w:type="dxa"/>
          <w:left w:w="0" w:type="dxa"/>
          <w:bottom w:w="0" w:type="dxa"/>
          <w:right w:w="0" w:type="dxa"/>
        </w:tblCellMar>
      </w:tblPr>
      <w:tblGrid>
        <w:gridCol w:w="604"/>
        <w:gridCol w:w="604"/>
        <w:gridCol w:w="604"/>
        <w:gridCol w:w="604"/>
        <w:gridCol w:w="658"/>
        <w:gridCol w:w="550"/>
        <w:gridCol w:w="605"/>
        <w:gridCol w:w="605"/>
        <w:gridCol w:w="605"/>
        <w:gridCol w:w="605"/>
        <w:gridCol w:w="605"/>
        <w:gridCol w:w="605"/>
        <w:gridCol w:w="605"/>
        <w:gridCol w:w="606"/>
        <w:gridCol w:w="606"/>
      </w:tblGrid>
      <w:tr>
        <w:tc>
          <w:tcPr>
            <w:tcW w:w="3074" w:type="dxa"/>
            <w:gridSpan w:val="5"/>
            <w:tcBorders>
              <w:top w:val="single" w:sz="8" w:space="0" w:color="auto"/>
              <w:left w:val="single" w:sz="8" w:space="0" w:color="auto"/>
              <w:bottom w:val="single" w:sz="8" w:space="0" w:color="auto"/>
              <w:right w:val="single" w:sz="8" w:space="0" w:color="auto"/>
              <w:tl2br w:val="nil"/>
              <w:tr2bl w:val="nil"/>
            </w:tcBorders>
            <w:tcMar>
              <w:left w:w="108" w:type="dxa"/>
              <w:right w:w="108" w:type="dxa"/>
            </w:tcMar>
            <w:vAlign w:val="cente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center"/>
              <w:rPr>
                <w:vanish w:val="0"/>
                <w:sz w:val="24"/>
                <w:szCs w:val="24"/>
              </w:rPr>
            </w:pPr>
            <w:r>
              <w:rPr>
                <w:rFonts w:eastAsia="宋体" w:cs="宋体" w:hint="eastAsia"/>
                <w:vanish w:val="0"/>
                <w:kern w:val="0"/>
                <w:sz w:val="24"/>
                <w:szCs w:val="24"/>
              </w:rPr>
              <w:t>行政复议</w:t>
            </w:r>
          </w:p>
        </w:tc>
        <w:tc>
          <w:tcPr>
            <w:tcW w:w="5997" w:type="dxa"/>
            <w:gridSpan w:val="10"/>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center"/>
              <w:rPr>
                <w:vanish w:val="0"/>
                <w:sz w:val="24"/>
                <w:szCs w:val="24"/>
              </w:rPr>
            </w:pPr>
            <w:r>
              <w:rPr>
                <w:rFonts w:eastAsia="宋体" w:cs="宋体" w:hint="eastAsia"/>
                <w:vanish w:val="0"/>
                <w:kern w:val="0"/>
                <w:sz w:val="24"/>
                <w:szCs w:val="24"/>
              </w:rPr>
              <w:t>行政诉讼</w:t>
            </w:r>
          </w:p>
        </w:tc>
      </w:tr>
      <w:tr>
        <w:tc>
          <w:tcPr>
            <w:tcW w:w="604" w:type="dxa"/>
            <w:vMerge w:val="restart"/>
            <w:tcBorders>
              <w:top w:val="nil"/>
              <w:left w:val="single" w:sz="8" w:space="0" w:color="auto"/>
              <w:bottom w:val="single" w:sz="8" w:space="0" w:color="auto"/>
              <w:right w:val="single" w:sz="8" w:space="0" w:color="auto"/>
              <w:tl2br w:val="nil"/>
              <w:tr2bl w:val="nil"/>
            </w:tcBorders>
            <w:tcMar>
              <w:left w:w="108" w:type="dxa"/>
              <w:right w:w="108" w:type="dxa"/>
            </w:tcMar>
            <w:vAlign w:val="cente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center"/>
              <w:rPr>
                <w:vanish w:val="0"/>
                <w:sz w:val="24"/>
                <w:szCs w:val="24"/>
              </w:rPr>
            </w:pPr>
            <w:r>
              <w:rPr>
                <w:rFonts w:eastAsia="宋体" w:cs="宋体" w:hint="eastAsia"/>
                <w:vanish w:val="0"/>
                <w:kern w:val="0"/>
                <w:sz w:val="24"/>
                <w:szCs w:val="24"/>
              </w:rPr>
              <w:t>结果维持</w:t>
            </w:r>
          </w:p>
        </w:tc>
        <w:tc>
          <w:tcPr>
            <w:tcW w:w="604" w:type="dxa"/>
            <w:vMerge w:val="restart"/>
            <w:tcBorders>
              <w:top w:val="nil"/>
              <w:left w:val="nil"/>
              <w:bottom w:val="single" w:sz="8" w:space="0" w:color="auto"/>
              <w:right w:val="single" w:sz="8" w:space="0" w:color="auto"/>
              <w:tl2br w:val="nil"/>
              <w:tr2bl w:val="nil"/>
            </w:tcBorders>
            <w:tcMar>
              <w:left w:w="108" w:type="dxa"/>
              <w:right w:w="108" w:type="dxa"/>
            </w:tcMar>
            <w:vAlign w:val="cente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center"/>
              <w:rPr>
                <w:vanish w:val="0"/>
                <w:sz w:val="24"/>
                <w:szCs w:val="24"/>
              </w:rPr>
            </w:pPr>
            <w:r>
              <w:rPr>
                <w:rFonts w:eastAsia="宋体" w:cs="宋体" w:hint="eastAsia"/>
                <w:vanish w:val="0"/>
                <w:kern w:val="0"/>
                <w:sz w:val="24"/>
                <w:szCs w:val="24"/>
              </w:rPr>
              <w:t>结果纠正</w:t>
            </w:r>
          </w:p>
        </w:tc>
        <w:tc>
          <w:tcPr>
            <w:tcW w:w="604" w:type="dxa"/>
            <w:vMerge w:val="restart"/>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center"/>
              <w:rPr>
                <w:vanish w:val="0"/>
                <w:sz w:val="24"/>
                <w:szCs w:val="24"/>
              </w:rPr>
            </w:pPr>
            <w:r>
              <w:rPr>
                <w:rFonts w:eastAsia="宋体" w:cs="宋体" w:hint="eastAsia"/>
                <w:vanish w:val="0"/>
                <w:kern w:val="0"/>
                <w:sz w:val="24"/>
                <w:szCs w:val="24"/>
              </w:rPr>
              <w:t>其他结果</w:t>
            </w:r>
          </w:p>
        </w:tc>
        <w:tc>
          <w:tcPr>
            <w:tcW w:w="604" w:type="dxa"/>
            <w:vMerge w:val="restart"/>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center"/>
              <w:rPr>
                <w:vanish w:val="0"/>
                <w:sz w:val="24"/>
                <w:szCs w:val="24"/>
              </w:rPr>
            </w:pPr>
            <w:r>
              <w:rPr>
                <w:rFonts w:eastAsia="宋体" w:cs="宋体" w:hint="eastAsia"/>
                <w:vanish w:val="0"/>
                <w:kern w:val="0"/>
                <w:sz w:val="24"/>
                <w:szCs w:val="24"/>
              </w:rPr>
              <w:t>尚未审结</w:t>
            </w:r>
          </w:p>
        </w:tc>
        <w:tc>
          <w:tcPr>
            <w:tcW w:w="658" w:type="dxa"/>
            <w:vMerge w:val="restart"/>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center"/>
              <w:rPr>
                <w:vanish w:val="0"/>
                <w:sz w:val="24"/>
                <w:szCs w:val="24"/>
              </w:rPr>
            </w:pPr>
            <w:r>
              <w:rPr>
                <w:rFonts w:eastAsia="宋体" w:cs="宋体" w:hint="eastAsia"/>
                <w:vanish w:val="0"/>
                <w:kern w:val="0"/>
                <w:sz w:val="24"/>
                <w:szCs w:val="24"/>
              </w:rPr>
              <w:t>总计</w:t>
            </w:r>
          </w:p>
        </w:tc>
        <w:tc>
          <w:tcPr>
            <w:tcW w:w="2970" w:type="dxa"/>
            <w:gridSpan w:val="5"/>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center"/>
              <w:rPr>
                <w:vanish w:val="0"/>
                <w:sz w:val="24"/>
                <w:szCs w:val="24"/>
              </w:rPr>
            </w:pPr>
            <w:r>
              <w:rPr>
                <w:rFonts w:eastAsia="宋体" w:cs="宋体" w:hint="eastAsia"/>
                <w:vanish w:val="0"/>
                <w:kern w:val="0"/>
                <w:sz w:val="24"/>
                <w:szCs w:val="24"/>
              </w:rPr>
              <w:t>未经复议直接起诉</w:t>
            </w:r>
          </w:p>
        </w:tc>
        <w:tc>
          <w:tcPr>
            <w:tcW w:w="3027" w:type="dxa"/>
            <w:gridSpan w:val="5"/>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center"/>
              <w:rPr>
                <w:vanish w:val="0"/>
                <w:sz w:val="24"/>
                <w:szCs w:val="24"/>
              </w:rPr>
            </w:pPr>
            <w:r>
              <w:rPr>
                <w:rFonts w:eastAsia="宋体" w:cs="宋体" w:hint="eastAsia"/>
                <w:vanish w:val="0"/>
                <w:kern w:val="0"/>
                <w:sz w:val="24"/>
                <w:szCs w:val="24"/>
              </w:rPr>
              <w:t>复议后起诉</w:t>
            </w:r>
          </w:p>
        </w:tc>
      </w:tr>
      <w:tr>
        <w:tc>
          <w:tcPr>
            <w:vMerge/>
            <w:tcBorders>
              <w:top w:val="nil"/>
              <w:left w:val="single" w:sz="8" w:space="0" w:color="auto"/>
              <w:bottom w:val="single" w:sz="8" w:space="0" w:color="auto"/>
              <w:right w:val="single" w:sz="8" w:space="0" w:color="auto"/>
              <w:tl2br w:val="nil"/>
              <w:tr2bl w:val="nil"/>
            </w:tcBorders>
            <w:vAlign w:val="center"/>
          </w:tcPr>
          <w:p/>
        </w:tc>
        <w:tc>
          <w:tcPr>
            <w:vMerge/>
            <w:tcBorders>
              <w:top w:val="nil"/>
              <w:left w:val="nil"/>
              <w:bottom w:val="single" w:sz="8" w:space="0" w:color="auto"/>
              <w:right w:val="single" w:sz="8" w:space="0" w:color="auto"/>
              <w:tl2br w:val="nil"/>
              <w:tr2bl w:val="nil"/>
            </w:tcBorders>
            <w:vAlign w:val="center"/>
          </w:tcPr>
          <w:p/>
        </w:tc>
        <w:tc>
          <w:tcPr>
            <w:vMerge/>
            <w:tcBorders>
              <w:top w:val="single" w:sz="8" w:space="0" w:color="auto"/>
              <w:left w:val="nil"/>
              <w:bottom w:val="single" w:sz="8" w:space="0" w:color="auto"/>
              <w:right w:val="single" w:sz="8" w:space="0" w:color="auto"/>
              <w:tl2br w:val="nil"/>
              <w:tr2bl w:val="nil"/>
            </w:tcBorders>
            <w:vAlign w:val="center"/>
          </w:tcPr>
          <w:p/>
        </w:tc>
        <w:tc>
          <w:tcPr>
            <w:vMerge/>
            <w:tcBorders>
              <w:top w:val="single" w:sz="8" w:space="0" w:color="auto"/>
              <w:left w:val="nil"/>
              <w:bottom w:val="single" w:sz="8" w:space="0" w:color="auto"/>
              <w:right w:val="single" w:sz="8" w:space="0" w:color="auto"/>
              <w:tl2br w:val="nil"/>
              <w:tr2bl w:val="nil"/>
            </w:tcBorders>
            <w:vAlign w:val="center"/>
          </w:tcPr>
          <w:p/>
        </w:tc>
        <w:tc>
          <w:tcPr>
            <w:vMerge/>
            <w:tcBorders>
              <w:top w:val="single" w:sz="8" w:space="0" w:color="auto"/>
              <w:left w:val="nil"/>
              <w:bottom w:val="single" w:sz="8" w:space="0" w:color="auto"/>
              <w:right w:val="single" w:sz="8" w:space="0" w:color="auto"/>
              <w:tl2br w:val="nil"/>
              <w:tr2bl w:val="nil"/>
            </w:tcBorders>
            <w:vAlign w:val="center"/>
          </w:tcPr>
          <w:p/>
        </w:tc>
        <w:tc>
          <w:tcPr>
            <w:tcW w:w="550"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center"/>
              <w:rPr>
                <w:vanish w:val="0"/>
                <w:sz w:val="24"/>
                <w:szCs w:val="24"/>
              </w:rPr>
            </w:pPr>
            <w:r>
              <w:rPr>
                <w:rFonts w:eastAsia="宋体" w:cs="宋体" w:hint="eastAsia"/>
                <w:vanish w:val="0"/>
                <w:kern w:val="0"/>
                <w:sz w:val="24"/>
                <w:szCs w:val="24"/>
              </w:rPr>
              <w:t>结果维持</w:t>
            </w:r>
          </w:p>
        </w:tc>
        <w:tc>
          <w:tcPr>
            <w:tcW w:w="60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center"/>
              <w:rPr>
                <w:vanish w:val="0"/>
                <w:sz w:val="24"/>
                <w:szCs w:val="24"/>
              </w:rPr>
            </w:pPr>
            <w:r>
              <w:rPr>
                <w:rFonts w:eastAsia="宋体" w:cs="宋体" w:hint="eastAsia"/>
                <w:vanish w:val="0"/>
                <w:kern w:val="0"/>
                <w:sz w:val="24"/>
                <w:szCs w:val="24"/>
              </w:rPr>
              <w:t>结果纠正</w:t>
            </w:r>
          </w:p>
        </w:tc>
        <w:tc>
          <w:tcPr>
            <w:tcW w:w="605" w:type="dxa"/>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center"/>
              <w:rPr>
                <w:vanish w:val="0"/>
                <w:sz w:val="24"/>
                <w:szCs w:val="24"/>
              </w:rPr>
            </w:pPr>
            <w:r>
              <w:rPr>
                <w:rFonts w:eastAsia="宋体" w:cs="宋体" w:hint="eastAsia"/>
                <w:vanish w:val="0"/>
                <w:kern w:val="0"/>
                <w:sz w:val="24"/>
                <w:szCs w:val="24"/>
              </w:rPr>
              <w:t>其他结果</w:t>
            </w:r>
          </w:p>
        </w:tc>
        <w:tc>
          <w:tcPr>
            <w:tcW w:w="605" w:type="dxa"/>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center"/>
              <w:rPr>
                <w:vanish w:val="0"/>
                <w:sz w:val="24"/>
                <w:szCs w:val="24"/>
              </w:rPr>
            </w:pPr>
            <w:r>
              <w:rPr>
                <w:rFonts w:eastAsia="宋体" w:cs="宋体" w:hint="eastAsia"/>
                <w:vanish w:val="0"/>
                <w:kern w:val="0"/>
                <w:sz w:val="24"/>
                <w:szCs w:val="24"/>
              </w:rPr>
              <w:t>尚未审结</w:t>
            </w:r>
          </w:p>
        </w:tc>
        <w:tc>
          <w:tcPr>
            <w:tcW w:w="605" w:type="dxa"/>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center"/>
              <w:rPr>
                <w:vanish w:val="0"/>
                <w:sz w:val="24"/>
                <w:szCs w:val="24"/>
              </w:rPr>
            </w:pPr>
            <w:r>
              <w:rPr>
                <w:rFonts w:eastAsia="宋体" w:cs="宋体" w:hint="eastAsia"/>
                <w:vanish w:val="0"/>
                <w:kern w:val="0"/>
                <w:sz w:val="24"/>
                <w:szCs w:val="24"/>
              </w:rPr>
              <w:t>总计</w:t>
            </w:r>
          </w:p>
        </w:tc>
        <w:tc>
          <w:tcPr>
            <w:tcW w:w="605" w:type="dxa"/>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center"/>
              <w:rPr>
                <w:vanish w:val="0"/>
                <w:sz w:val="24"/>
                <w:szCs w:val="24"/>
              </w:rPr>
            </w:pPr>
            <w:r>
              <w:rPr>
                <w:rFonts w:eastAsia="宋体" w:cs="宋体" w:hint="eastAsia"/>
                <w:vanish w:val="0"/>
                <w:kern w:val="0"/>
                <w:sz w:val="24"/>
                <w:szCs w:val="24"/>
              </w:rPr>
              <w:t>结果维持</w:t>
            </w:r>
          </w:p>
        </w:tc>
        <w:tc>
          <w:tcPr>
            <w:tcW w:w="605" w:type="dxa"/>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center"/>
              <w:rPr>
                <w:vanish w:val="0"/>
                <w:sz w:val="24"/>
                <w:szCs w:val="24"/>
              </w:rPr>
            </w:pPr>
            <w:r>
              <w:rPr>
                <w:rFonts w:eastAsia="宋体" w:cs="宋体" w:hint="eastAsia"/>
                <w:vanish w:val="0"/>
                <w:kern w:val="0"/>
                <w:sz w:val="24"/>
                <w:szCs w:val="24"/>
              </w:rPr>
              <w:t>结果纠正</w:t>
            </w:r>
          </w:p>
        </w:tc>
        <w:tc>
          <w:tcPr>
            <w:tcW w:w="605" w:type="dxa"/>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center"/>
              <w:rPr>
                <w:vanish w:val="0"/>
                <w:sz w:val="24"/>
                <w:szCs w:val="24"/>
              </w:rPr>
            </w:pPr>
            <w:r>
              <w:rPr>
                <w:rFonts w:eastAsia="宋体" w:cs="宋体" w:hint="eastAsia"/>
                <w:vanish w:val="0"/>
                <w:kern w:val="0"/>
                <w:sz w:val="24"/>
                <w:szCs w:val="24"/>
              </w:rPr>
              <w:t>其他结果</w:t>
            </w:r>
          </w:p>
        </w:tc>
        <w:tc>
          <w:tcPr>
            <w:tcW w:w="606" w:type="dxa"/>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center"/>
              <w:rPr>
                <w:vanish w:val="0"/>
                <w:sz w:val="24"/>
                <w:szCs w:val="24"/>
              </w:rPr>
            </w:pPr>
            <w:r>
              <w:rPr>
                <w:rFonts w:eastAsia="宋体" w:cs="宋体" w:hint="eastAsia"/>
                <w:vanish w:val="0"/>
                <w:kern w:val="0"/>
                <w:sz w:val="24"/>
                <w:szCs w:val="24"/>
              </w:rPr>
              <w:t>尚未审结</w:t>
            </w:r>
          </w:p>
        </w:tc>
        <w:tc>
          <w:tcPr>
            <w:tcW w:w="606" w:type="dxa"/>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center"/>
              <w:rPr>
                <w:vanish w:val="0"/>
                <w:sz w:val="24"/>
                <w:szCs w:val="24"/>
              </w:rPr>
            </w:pPr>
            <w:r>
              <w:rPr>
                <w:rFonts w:eastAsia="宋体" w:cs="宋体" w:hint="eastAsia"/>
                <w:vanish w:val="0"/>
                <w:kern w:val="0"/>
                <w:sz w:val="24"/>
                <w:szCs w:val="24"/>
              </w:rPr>
              <w:t>总计</w:t>
            </w:r>
          </w:p>
        </w:tc>
      </w:tr>
      <w:tr>
        <w:trPr>
          <w:trHeight w:val="862"/>
        </w:trPr>
        <w:tc>
          <w:tcPr>
            <w:tcW w:w="604" w:type="dxa"/>
            <w:tcBorders>
              <w:top w:val="nil"/>
              <w:left w:val="single" w:sz="8" w:space="0" w:color="auto"/>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04"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04"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04"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58"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550"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0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0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0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0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0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0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05"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06"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06" w:type="dxa"/>
            <w:tcBorders>
              <w:top w:val="nil"/>
              <w:left w:val="nil"/>
              <w:bottom w:val="single" w:sz="8" w:space="0" w:color="auto"/>
              <w:right w:val="single" w:sz="8" w:space="0" w:color="auto"/>
              <w:tl2br w:val="nil"/>
              <w:tr2bl w:val="nil"/>
            </w:tcBorders>
            <w:tcMar>
              <w:left w:w="108" w:type="dxa"/>
              <w:right w:w="108" w:type="dxa"/>
            </w:tcMar>
            <w:vAlign w:val="center"/>
          </w:tcPr>
          <w:p>
            <w:pPr>
              <w:pStyle w:val="131"/>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center"/>
              <w:rPr>
                <w:vanish w:val="0"/>
                <w:kern w:val="0"/>
                <w:sz w:val="28"/>
                <w:szCs w:val="28"/>
              </w:rPr>
            </w:pPr>
            <w:r>
              <w:rPr>
                <w:vanish w:val="0"/>
                <w:kern w:val="0"/>
                <w:sz w:val="28"/>
                <w:szCs w:val="28"/>
              </w:rPr>
              <w:t>0</w:t>
            </w:r>
          </w:p>
        </w:tc>
      </w:tr>
    </w:tbl>
    <w:p>
      <w:pPr>
        <w:pStyle w:val="139"/>
        <w:keepNext w:val="0"/>
        <w:keepLines w:val="0"/>
        <w:pageBreakBefore w:val="0"/>
        <w:widowControl/>
        <w:suppressLineNumbers w:val="0"/>
        <w:shd w:val="clear" w:color="auto" w:fill="FFFFFF"/>
        <w:suppressAutoHyphens w:val="0"/>
        <w:adjustRightInd w:val="0"/>
        <w:snapToGrid w:val="0"/>
        <w:spacing w:beforeAutospacing="0" w:afterAutospacing="0" w:line="560" w:lineRule="exact"/>
        <w:ind w:firstLineChars="200" w:firstLine="640"/>
        <w:contextualSpacing w:val="0"/>
        <w:jc w:val="both"/>
        <w:rPr>
          <w:rFonts w:eastAsia="黑体" w:cs="楷体_GB2312" w:hint="eastAsia"/>
          <w:bCs/>
          <w:sz w:val="32"/>
          <w:szCs w:val="32"/>
          <w:bdr w:val="none" w:sz="0" w:space="0" w:color="auto"/>
          <w:shd w:val="clear" w:color="auto" w:fill="FFFFFF"/>
        </w:rPr>
      </w:pPr>
      <w:r>
        <w:rPr>
          <w:rFonts w:eastAsia="黑体" w:cs="楷体_GB2312" w:hint="eastAsia"/>
          <w:bCs/>
          <w:sz w:val="32"/>
          <w:szCs w:val="32"/>
          <w:bdr w:val="none" w:sz="0" w:space="0" w:color="auto"/>
          <w:shd w:val="clear" w:color="auto" w:fill="FFFFFF"/>
        </w:rPr>
        <w:t>五、存在的主要问题及改进情况</w:t>
      </w:r>
    </w:p>
    <w:p>
      <w:pPr>
        <w:pStyle w:val="124"/>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suppressAutoHyphens w:val="0"/>
        <w:adjustRightInd w:val="0"/>
        <w:snapToGrid w:val="0"/>
        <w:spacing w:beforeAutospacing="0" w:afterAutospacing="0" w:line="560" w:lineRule="exact"/>
        <w:ind w:firstLineChars="200" w:firstLine="640"/>
        <w:contextualSpacing w:val="0"/>
        <w:jc w:val="both"/>
        <w:rPr>
          <w:rFonts w:ascii="方正仿宋_GBK" w:eastAsia="方正仿宋_GBK"/>
          <w:bCs/>
          <w:sz w:val="32"/>
          <w:szCs w:val="32"/>
          <w:bdr w:val="none" w:sz="0" w:space="0" w:color="auto"/>
          <w:shd w:val="clear" w:color="auto" w:fill="FFFFFF"/>
        </w:rPr>
      </w:pPr>
      <w:r>
        <w:rPr>
          <w:rFonts w:eastAsia="方正楷体_GBK" w:hint="eastAsia"/>
          <w:bCs/>
          <w:sz w:val="32"/>
          <w:szCs w:val="32"/>
          <w:bdr w:val="none" w:sz="0" w:space="0" w:color="auto"/>
          <w:shd w:val="clear" w:color="auto" w:fill="FFFFFF"/>
        </w:rPr>
        <w:t>（一）202</w:t>
      </w:r>
      <w:r>
        <w:rPr>
          <w:rFonts w:eastAsia="方正楷体_GBK"/>
          <w:bCs/>
          <w:sz w:val="32"/>
          <w:szCs w:val="32"/>
          <w:bdr w:val="none" w:sz="0" w:space="0" w:color="auto"/>
          <w:shd w:val="clear" w:color="auto" w:fill="FFFFFF"/>
        </w:rPr>
        <w:t>4</w:t>
      </w:r>
      <w:r>
        <w:rPr>
          <w:rFonts w:eastAsia="方正楷体_GBK" w:hint="eastAsia"/>
          <w:bCs/>
          <w:sz w:val="32"/>
          <w:szCs w:val="32"/>
          <w:bdr w:val="none" w:sz="0" w:space="0" w:color="auto"/>
          <w:shd w:val="clear" w:color="auto" w:fill="FFFFFF"/>
        </w:rPr>
        <w:t>年年报中所提问题整改情况。</w:t>
      </w:r>
      <w:r>
        <w:rPr>
          <w:rFonts w:ascii="方正仿宋_GBK" w:eastAsia="方正仿宋_GBK" w:hint="eastAsia"/>
          <w:bCs/>
          <w:sz w:val="32"/>
          <w:szCs w:val="32"/>
          <w:bdr w:val="none" w:sz="0" w:space="0" w:color="auto"/>
          <w:shd w:val="clear" w:color="auto" w:fill="FFFFFF"/>
        </w:rPr>
        <w:t>针对上年度“新到岗政务公开工作人员</w:t>
      </w:r>
      <w:r>
        <w:rPr>
          <w:rFonts w:ascii="方正仿宋_GBK" w:eastAsia="方正仿宋_GBK" w:hint="eastAsia"/>
          <w:bCs/>
          <w:sz w:val="32"/>
          <w:szCs w:val="32"/>
          <w:bdr w:val="none" w:sz="0" w:space="0" w:color="auto"/>
          <w:shd w:val="clear" w:color="auto" w:fill="FFFFFF"/>
        </w:rPr>
        <w:t>知识储备不够”和“</w:t>
      </w:r>
      <w:r>
        <w:rPr>
          <w:rFonts w:ascii="方正仿宋_GBK" w:eastAsia="方正仿宋_GBK" w:hint="eastAsia"/>
          <w:bCs/>
          <w:sz w:val="32"/>
          <w:szCs w:val="32"/>
          <w:bdr w:val="none" w:sz="0" w:space="0" w:color="auto"/>
          <w:shd w:val="clear" w:color="auto" w:fill="FFFFFF"/>
        </w:rPr>
        <w:t>未配备与政务公开形势任务相适应的工作力量”的问题，本年度本关从机制建设、人员配置两方面进行了推进整改：一是开展精准化岗前与在岗培训，针对新到岗人员制定为期两周的专项培训计划，</w:t>
      </w:r>
      <w:r>
        <w:rPr>
          <w:rFonts w:ascii="方正仿宋_GBK" w:eastAsia="方正仿宋_GBK" w:hint="eastAsia"/>
          <w:bCs/>
          <w:sz w:val="32"/>
          <w:szCs w:val="32"/>
          <w:bdr w:val="none" w:sz="0" w:space="0" w:color="auto"/>
          <w:shd w:val="clear" w:color="auto" w:fill="FFFFFF"/>
        </w:rPr>
        <w:t>由科室领导干部或业务骨干进行</w:t>
      </w:r>
      <w:r>
        <w:rPr>
          <w:rFonts w:ascii="方正仿宋_GBK" w:eastAsia="方正仿宋_GBK" w:hint="eastAsia"/>
          <w:bCs/>
          <w:sz w:val="32"/>
          <w:szCs w:val="32"/>
          <w:bdr w:val="none" w:sz="0" w:space="0" w:color="auto"/>
          <w:shd w:val="clear" w:color="auto" w:fill="FFFFFF"/>
        </w:rPr>
        <w:t>授课，通过政策</w:t>
      </w:r>
      <w:r>
        <w:rPr>
          <w:rFonts w:ascii="方正仿宋_GBK" w:eastAsia="方正仿宋_GBK" w:hint="eastAsia"/>
          <w:bCs/>
          <w:sz w:val="32"/>
          <w:szCs w:val="32"/>
          <w:bdr w:val="none" w:sz="0" w:space="0" w:color="auto"/>
          <w:shd w:val="clear" w:color="auto" w:fill="FFFFFF"/>
        </w:rPr>
        <w:t>讲解</w:t>
      </w:r>
      <w:r>
        <w:rPr>
          <w:rFonts w:ascii="方正仿宋_GBK" w:eastAsia="方正仿宋_GBK" w:hint="eastAsia"/>
          <w:bCs/>
          <w:sz w:val="32"/>
          <w:szCs w:val="32"/>
          <w:bdr w:val="none" w:sz="0" w:space="0" w:color="auto"/>
          <w:shd w:val="clear" w:color="auto" w:fill="FFFFFF"/>
        </w:rPr>
        <w:t>、案例</w:t>
      </w:r>
      <w:r>
        <w:rPr>
          <w:rFonts w:ascii="方正仿宋_GBK" w:eastAsia="方正仿宋_GBK" w:hint="eastAsia"/>
          <w:bCs/>
          <w:sz w:val="32"/>
          <w:szCs w:val="32"/>
          <w:bdr w:val="none" w:sz="0" w:space="0" w:color="auto"/>
          <w:shd w:val="clear" w:color="auto" w:fill="FFFFFF"/>
        </w:rPr>
        <w:t>剖析等</w:t>
      </w:r>
      <w:r>
        <w:rPr>
          <w:rFonts w:ascii="方正仿宋_GBK" w:eastAsia="方正仿宋_GBK" w:hint="eastAsia"/>
          <w:bCs/>
          <w:sz w:val="32"/>
          <w:szCs w:val="32"/>
          <w:bdr w:val="none" w:sz="0" w:space="0" w:color="auto"/>
          <w:shd w:val="clear" w:color="auto" w:fill="FFFFFF"/>
        </w:rPr>
        <w:t>方式，帮助其快速掌握政务公开工作的核心业务流程。二是科学优化工作力量配置，全面梳理政务公开岗位的职责清单与工作负荷，通过内部跨科室调剂</w:t>
      </w:r>
      <w:r>
        <w:rPr>
          <w:rFonts w:ascii="方正仿宋_GBK" w:eastAsia="方正仿宋_GBK" w:hint="eastAsia"/>
          <w:bCs/>
          <w:sz w:val="32"/>
          <w:szCs w:val="32"/>
          <w:bdr w:val="none" w:sz="0" w:space="0" w:color="auto"/>
          <w:shd w:val="clear" w:color="auto" w:fill="FFFFFF"/>
        </w:rPr>
        <w:t>和定向</w:t>
      </w:r>
      <w:r>
        <w:rPr>
          <w:rFonts w:ascii="方正仿宋_GBK" w:eastAsia="方正仿宋_GBK" w:hint="eastAsia"/>
          <w:bCs/>
          <w:sz w:val="32"/>
          <w:szCs w:val="32"/>
          <w:bdr w:val="none" w:sz="0" w:space="0" w:color="auto"/>
          <w:shd w:val="clear" w:color="auto" w:fill="FFFFFF"/>
        </w:rPr>
        <w:t>招录专业人才的方式，补齐人员缺口，确保岗位力量与工作任务相匹配</w:t>
      </w:r>
      <w:r>
        <w:rPr>
          <w:rFonts w:ascii="方正仿宋_GBK" w:eastAsia="方正仿宋_GBK" w:hint="eastAsia"/>
          <w:bCs/>
          <w:sz w:val="32"/>
          <w:szCs w:val="32"/>
          <w:bdr w:val="none" w:sz="0" w:space="0" w:color="auto"/>
          <w:shd w:val="clear" w:color="auto" w:fill="FFFFFF"/>
        </w:rPr>
        <w:t>，</w:t>
      </w:r>
      <w:r>
        <w:rPr>
          <w:rFonts w:ascii="方正仿宋_GBK" w:eastAsia="方正仿宋_GBK" w:hint="eastAsia"/>
          <w:bCs/>
          <w:sz w:val="32"/>
          <w:szCs w:val="32"/>
          <w:bdr w:val="none" w:sz="0" w:space="0" w:color="auto"/>
          <w:shd w:val="clear" w:color="auto" w:fill="FFFFFF"/>
        </w:rPr>
        <w:t>逐步建成一支专业素养过硬、人员配置合理的政务公开人才队伍。</w:t>
      </w:r>
    </w:p>
    <w:p>
      <w:pPr>
        <w:pStyle w:val="124"/>
        <w:keepNext w:val="0"/>
        <w:keepLines w:val="0"/>
        <w:pageBreakBefore w:val="0"/>
        <w:widowControl/>
        <w:suppressLineNumbers w:val="0"/>
        <w:shd w:val="clear" w:color="auto" w:fill="FFFFFF"/>
        <w:suppressAutoHyphens w:val="0"/>
        <w:adjustRightInd w:val="0"/>
        <w:snapToGrid w:val="0"/>
        <w:spacing w:beforeAutospacing="0" w:afterAutospacing="0" w:line="560" w:lineRule="exact"/>
        <w:ind w:firstLineChars="200" w:firstLine="640"/>
        <w:contextualSpacing w:val="0"/>
        <w:jc w:val="both"/>
        <w:rPr>
          <w:rFonts w:ascii="方正仿宋_GBK" w:eastAsia="方正仿宋_GBK"/>
          <w:bCs/>
          <w:sz w:val="32"/>
          <w:szCs w:val="32"/>
          <w:bdr w:val="none" w:sz="0" w:space="0" w:color="auto"/>
          <w:shd w:val="clear" w:color="auto" w:fill="FFFFFF"/>
        </w:rPr>
      </w:pPr>
      <w:r>
        <w:rPr>
          <w:rFonts w:eastAsia="方正楷体_GBK" w:hint="eastAsia"/>
          <w:bCs/>
          <w:sz w:val="32"/>
          <w:szCs w:val="32"/>
          <w:bdr w:val="none" w:sz="0" w:space="0" w:color="auto"/>
          <w:shd w:val="clear" w:color="auto" w:fill="FFFFFF"/>
        </w:rPr>
        <w:t>（二）目前存在问题。</w:t>
      </w:r>
      <w:r>
        <w:rPr>
          <w:rFonts w:ascii="方正仿宋_GBK" w:eastAsia="方正仿宋_GBK" w:hint="eastAsia"/>
          <w:bCs/>
          <w:sz w:val="32"/>
          <w:szCs w:val="32"/>
          <w:bdr w:val="none" w:sz="0" w:space="0" w:color="auto"/>
          <w:shd w:val="clear" w:color="auto" w:fill="FFFFFF"/>
        </w:rPr>
        <w:t>与各科室的沟通协调方面仍然存在一定的</w:t>
      </w:r>
      <w:r>
        <w:rPr>
          <w:rFonts w:ascii="方正仿宋_GBK" w:eastAsia="方正仿宋_GBK" w:hint="eastAsia"/>
          <w:bCs/>
          <w:sz w:val="32"/>
          <w:szCs w:val="32"/>
          <w:bdr w:val="none" w:sz="0" w:space="0" w:color="auto"/>
          <w:shd w:val="clear" w:color="auto" w:fill="FFFFFF"/>
        </w:rPr>
        <w:t>信息壁垒，需要进一步加强对话，完善内部沟通机制，畅通信息流转渠道，从而实现各科室无障碍、无阻力的协同运转，充分发挥</w:t>
      </w:r>
      <w:r>
        <w:rPr>
          <w:rFonts w:ascii="方正仿宋_GBK" w:eastAsia="方正仿宋_GBK"/>
          <w:bCs/>
          <w:sz w:val="32"/>
          <w:szCs w:val="32"/>
          <w:bdr w:val="none" w:sz="0" w:space="0" w:color="auto"/>
          <w:shd w:val="clear" w:color="auto" w:fill="FFFFFF"/>
        </w:rPr>
        <w:t>政务公开队伍的能动性。</w:t>
      </w:r>
    </w:p>
    <w:p>
      <w:pPr>
        <w:pStyle w:val="142"/>
        <w:keepNext w:val="0"/>
        <w:keepLines w:val="0"/>
        <w:pageBreakBefore w:val="0"/>
        <w:widowControl/>
        <w:suppressLineNumbers w:val="0"/>
        <w:shd w:val="clear" w:color="auto" w:fill="FFFFFF"/>
        <w:suppressAutoHyphens w:val="0"/>
        <w:adjustRightInd w:val="0"/>
        <w:snapToGrid w:val="0"/>
        <w:spacing w:beforeAutospacing="0" w:afterAutospacing="0" w:line="560" w:lineRule="exact"/>
        <w:ind w:firstLineChars="200" w:firstLine="640"/>
        <w:contextualSpacing w:val="0"/>
        <w:jc w:val="both"/>
        <w:rPr>
          <w:rFonts w:eastAsia="黑体" w:cs="楷体_GB2312" w:hint="eastAsia"/>
          <w:bCs/>
          <w:sz w:val="32"/>
          <w:szCs w:val="32"/>
          <w:bdr w:val="none" w:sz="0" w:space="0" w:color="auto"/>
          <w:shd w:val="clear" w:color="auto" w:fill="FFFFFF"/>
        </w:rPr>
      </w:pPr>
      <w:r>
        <w:rPr>
          <w:rFonts w:eastAsia="黑体" w:cs="楷体_GB2312" w:hint="eastAsia"/>
          <w:bCs/>
          <w:sz w:val="32"/>
          <w:szCs w:val="32"/>
          <w:bdr w:val="none" w:sz="0" w:space="0" w:color="auto"/>
          <w:shd w:val="clear" w:color="auto" w:fill="FFFFFF"/>
        </w:rPr>
        <w:t>六、其他需要报告的事项</w:t>
      </w:r>
    </w:p>
    <w:p>
      <w:pPr>
        <w:pStyle w:val="142"/>
        <w:keepNext w:val="0"/>
        <w:keepLines w:val="0"/>
        <w:pageBreakBefore w:val="0"/>
        <w:widowControl/>
        <w:suppressLineNumbers w:val="0"/>
        <w:shd w:val="clear" w:color="auto" w:fill="FFFFFF"/>
        <w:suppressAutoHyphens w:val="0"/>
        <w:adjustRightInd w:val="0"/>
        <w:snapToGrid w:val="0"/>
        <w:spacing w:beforeAutospacing="0" w:afterAutospacing="0" w:line="560" w:lineRule="exact"/>
        <w:ind w:firstLineChars="200" w:firstLine="640"/>
        <w:contextualSpacing w:val="0"/>
        <w:jc w:val="both"/>
        <w:rPr>
          <w:rFonts w:eastAsia="方正仿宋_GBK" w:hint="eastAsia"/>
          <w:sz w:val="32"/>
          <w:szCs w:val="32"/>
          <w:bdr w:val="none" w:sz="0" w:space="0" w:color="auto"/>
          <w:shd w:val="clear" w:color="auto" w:fill="FFFFFF"/>
        </w:rPr>
      </w:pPr>
      <w:r>
        <w:rPr>
          <w:rFonts w:eastAsia="方正仿宋_GBK" w:hint="eastAsia"/>
          <w:sz w:val="32"/>
          <w:szCs w:val="32"/>
          <w:bdr w:val="none" w:sz="0" w:space="0" w:color="auto"/>
          <w:shd w:val="clear" w:color="auto" w:fill="FFFFFF"/>
        </w:rPr>
        <w:t>本年度濠江海关未收取信息处理费。无其它需要报告的事项。</w:t>
      </w:r>
    </w:p>
    <w:sectPr>
      <w:pgSz w:w="11907" w:h="16840"/>
      <w:pgMar w:top="2098" w:right="1588" w:bottom="2098" w:left="1588" w:header="851" w:footer="992" w:gutter="0"/>
      <w:pgNumType w:start="0"/>
      <w:docGrid w:linePitch="312" w:charSpace="-6553"/>
    </w:sectPr>
  </w:body>
</w:document>
</file>

<file path=word/fontTable.xml><?xml version="1.0" encoding="utf-8"?>
<w:fonts xmlns:w="http://schemas.openxmlformats.org/wordprocessingml/2006/main" xmlns:r="http://schemas.openxmlformats.org/officeDocument/2006/relationships">
  <w:font w:name="方正小标宋_GBK">
    <w:panose1 w:val="03000509000000000000"/>
    <w:charset w:val="86"/>
    <w:family w:val="script"/>
    <w:pitch w:val="variable"/>
    <w:sig w:usb0="00000001" w:usb1="080E0000" w:usb2="00000000" w:usb3="00000000" w:csb0="00040000" w:csb1="00000000"/>
  </w:font>
  <w:font w:name="方正仿宋_GBK">
    <w:panose1 w:val="03000509000000000000"/>
    <w:charset w:val="86"/>
    <w:family w:val="script"/>
    <w:pitch w:val="variable"/>
    <w:sig w:usb0="00000001" w:usb1="080E0000" w:usb2="00000000" w:usb3="00000000" w:csb0="00040000" w:csb1="00000000"/>
  </w:font>
  <w:font w:name="楷体_GB2312">
    <w:altName w:val="楷体"/>
    <w:panose1 w:val="00000000000000000000"/>
    <w:charset w:val="00"/>
    <w:family w:val="auto"/>
    <w:pitch w:val="variable"/>
    <w:sig w:usb0="00000000" w:usb1="00000000" w:usb2="00000000" w:usb3="00000000" w:csb0="00000000" w:csb1="00000000"/>
  </w:font>
  <w:font w:name="方正黑体_GBK">
    <w:panose1 w:val="03000509000000000000"/>
    <w:charset w:val="86"/>
    <w:family w:val="script"/>
    <w:pitch w:val="variable"/>
    <w:sig w:usb0="00000001" w:usb1="080E0000" w:usb2="00000000" w:usb3="00000000" w:csb0="00040000" w:csb1="00000000"/>
  </w:font>
  <w:font w:name="方正楷体_GBK">
    <w:panose1 w:val="03000509000000000000"/>
    <w:charset w:val="86"/>
    <w:family w:val="script"/>
    <w:pitch w:val="variable"/>
    <w:sig w:usb0="00000001" w:usb1="080E0000" w:usb2="00000000" w:usb3="00000000" w:csb0="00040000" w:csb1="00000000"/>
  </w:font>
  <w:font w:name="宋体">
    <w:panose1 w:val="02010600030101010101"/>
    <w:charset w:val="86"/>
    <w:family w:val="auto"/>
    <w:pitch w:val="variable"/>
    <w:sig w:usb0="00000003" w:usb1="080E0000" w:usb2="00000000" w:usb3="00000000" w:csb0="00040001" w:csb1="00000000"/>
  </w:font>
  <w:font w:name="楷体">
    <w:panose1 w:val="02010609060101010101"/>
    <w:charset w:val="86"/>
    <w:family w:val="auto"/>
    <w:pitch w:val="variable"/>
    <w:sig w:usb0="800002BF" w:usb1="38CF7CFA" w:usb2="00000016" w:usb3="00000000" w:csb0="00040001" w:csb1="00000000"/>
  </w:font>
  <w:font w:name="黑体">
    <w:panose1 w:val="02010609060101010101"/>
    <w:charset w:val="86"/>
    <w:family w:val="auto"/>
    <w:pitch w:val="variable"/>
    <w:sig w:usb0="800002BF" w:usb1="38CF7CFA" w:usb2="00000016" w:usb3="00000000" w:csb0="00040001" w:csb1="00000000"/>
  </w:font>
  <w:font w:name="Times New Roman">
    <w:panose1 w:val="02020603050405020304"/>
    <w:charset w:val="00"/>
    <w:family w:val="auto"/>
    <w:pitch w:val="variable"/>
    <w:sig w:usb0="00000A87" w:usb1="00000000" w:usb2="00000000" w:usb3="00000000" w:csb0="400001BF" w:csb1="DFF70000"/>
  </w:font>
  <w:font w:name="Arial">
    <w:panose1 w:val="020B0604020202020204"/>
    <w:charset w:val="00"/>
    <w:family w:val="auto"/>
    <w:pitch w:val="variable"/>
    <w:sig w:usb0="00007A87" w:usb1="80000000" w:usb2="00000008" w:usb3="00000000" w:csb0="400001FF" w:csb1="FFFF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80"/>
  <w:doNotDisplayPageBoundaries/>
  <w:displayBackgroundShape/>
  <w:bordersDoNotSurroundHeader/>
  <w:bordersDoNotSurroundFooter/>
  <w:defaultTabStop w:val="420"/>
  <w:drawingGridHorizontalSpacing w:val="157"/>
  <w:drawingGridVerticalSpacing w:val="289"/>
  <w:displayHorizontalDrawingGridEvery w:val="2"/>
  <w:displayVerticalDrawingGridEvery w:val="2"/>
  <w:characterSpacingControl w:val="compressPunctuation"/>
  <w:savePreviewPicture/>
  <w:compat>
    <w:spaceForUL/>
    <w:balanceSingleByteDoubleByteWidth/>
    <w:ulTrailSpace/>
    <w:doNotExpandShiftReturn/>
    <w:adjustLineHeightInTable/>
    <w:doNotUseIndentAsNumberingTabStop/>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spacing w:line="240" w:lineRule="auto"/>
      <w:jc w:val="both"/>
    </w:pPr>
    <w:rPr>
      <w:rFonts w:ascii="Times New Roman" w:eastAsia="方正仿宋_GBK" w:cs="Times New Roman" w:hAnsi="Times New Roman"/>
      <w:kern w:val="2"/>
      <w:sz w:val="32"/>
      <w:lang w:val="en-US" w:eastAsia="zh-CN" w:bidi="ar-SA"/>
    </w:rPr>
  </w:style>
  <w:style w:type="paragraph" w:styleId="1">
    <w:name w:val="heading 1"/>
    <w:basedOn w:val="0"/>
    <w:next w:val="0"/>
    <w:pPr>
      <w:keepNext/>
      <w:keepLines/>
      <w:widowControl w:val="0"/>
      <w:spacing w:before="340" w:after="330" w:line="578" w:lineRule="auto"/>
      <w:outlineLvl w:val="0"/>
    </w:pPr>
    <w:rPr>
      <w:b/>
      <w:kern w:val="44"/>
      <w:sz w:val="44"/>
    </w:rPr>
  </w:style>
  <w:style w:type="paragraph" w:styleId="2">
    <w:name w:val="heading 2"/>
    <w:basedOn w:val="0"/>
    <w:next w:val="0"/>
    <w:pPr>
      <w:keepNext/>
      <w:keepLines/>
      <w:widowControl w:val="0"/>
      <w:spacing w:before="260" w:after="260" w:line="415" w:lineRule="auto"/>
      <w:outlineLvl w:val="1"/>
    </w:pPr>
    <w:rPr>
      <w:rFonts w:ascii="Arial" w:eastAsia="黑体" w:hAnsi="Arial"/>
      <w:b/>
      <w:sz w:val="32"/>
    </w:rPr>
  </w:style>
  <w:style w:type="paragraph" w:styleId="3">
    <w:name w:val="heading 3"/>
    <w:basedOn w:val="0"/>
    <w:next w:val="0"/>
    <w:pPr>
      <w:keepNext/>
      <w:keepLines/>
      <w:widowControl w:val="0"/>
      <w:spacing w:before="260" w:after="260" w:line="415" w:lineRule="auto"/>
      <w:outlineLvl w:val="2"/>
    </w:pPr>
    <w:rPr>
      <w:b/>
      <w:sz w:val="32"/>
    </w:rPr>
  </w:style>
  <w:style w:type="character" w:default="1" w:styleId="10">
    <w:name w:val="Default Paragraph Font"/>
  </w:style>
  <w:style w:type="paragraph" w:styleId="15">
    <w:name w:val="header"/>
    <w:basedOn w:val="0"/>
    <w:pPr>
      <w:pBdr>
        <w:bottom w:val="single" w:sz="6" w:space="1" w:color="auto"/>
      </w:pBdr>
      <w:tabs>
        <w:tab w:val="center" w:pos="4153"/>
        <w:tab w:val="right" w:pos="8307"/>
      </w:tabs>
      <w:snapToGrid w:val="0"/>
      <w:jc w:val="center"/>
    </w:pPr>
    <w:rPr>
      <w:sz w:val="18"/>
      <w:bdr w:val="none" w:sz="0" w:space="0" w:color="auto"/>
    </w:rPr>
  </w:style>
  <w:style w:type="paragraph" w:styleId="16">
    <w:name w:val="footer"/>
    <w:next w:val="22"/>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tabs>
        <w:tab w:val="center" w:pos="4153"/>
        <w:tab w:val="right" w:pos="8306"/>
      </w:tabs>
      <w:suppressAutoHyphens w:val="0"/>
      <w:kinsoku/>
      <w:wordWrap/>
      <w:overflowPunct/>
      <w:topLinePunct w:val="0"/>
      <w:autoSpaceDE/>
      <w:autoSpaceDN/>
      <w:bidi w:val="0"/>
      <w:adjustRightInd/>
      <w:snapToGrid w:val="0"/>
      <w:spacing w:before="0" w:beforeAutospacing="0" w:after="0" w:afterAutospacing="0" w:line="240" w:lineRule="auto"/>
      <w:ind w:left="0" w:right="0" w:firstLine="0"/>
      <w:contextualSpacing w:val="0"/>
      <w:jc w:val="left"/>
      <w:textAlignment w:val="auto"/>
      <w:outlineLvl w:val="9"/>
    </w:pPr>
    <w:rPr>
      <w:rFonts w:ascii="Times New Roman" w:eastAsia="方正仿宋_GBK" w:hAnsi="Times New Roman"/>
      <w:b w:val="0"/>
      <w:i w:val="0"/>
      <w:caps w:val="0"/>
      <w:smallCaps w:val="0"/>
      <w:strike w:val="0"/>
      <w:dstrike w:val="0"/>
      <w:snapToGrid/>
      <w:vanish w:val="0"/>
      <w:color w:val="auto"/>
      <w:spacing w:val="0"/>
      <w:w w:val="100"/>
      <w:kern w:val="2"/>
      <w:position w:val="0"/>
      <w:sz w:val="18"/>
      <w:szCs w:val="18"/>
      <w:u w:val="none" w:color="auto"/>
      <w:shd w:val="clear" w:color="auto" w:fill="auto"/>
      <w:vertAlign w:val="baseline"/>
      <w:em w:val="none"/>
      <w:lang w:val="en-US" w:eastAsia="zh-CN"/>
    </w:rPr>
  </w:style>
  <w:style w:type="paragraph" w:styleId="17">
    <w:name w:val="index 5"/>
    <w:basedOn w:val="0"/>
    <w:autoRedefine/>
    <w:next w:val="0"/>
    <w:pPr>
      <w:ind w:left="1680"/>
    </w:pPr>
  </w:style>
  <w:style w:type="paragraph" w:styleId="18">
    <w:name w:val="index 6"/>
    <w:basedOn w:val="0"/>
    <w:autoRedefine/>
    <w:next w:val="0"/>
    <w:pPr>
      <w:ind w:left="2100"/>
    </w:pPr>
  </w:style>
  <w:style w:type="paragraph" w:styleId="19">
    <w:name w:val="index 7"/>
    <w:basedOn w:val="0"/>
    <w:autoRedefine/>
    <w:next w:val="0"/>
    <w:pPr>
      <w:ind w:left="2520"/>
    </w:pPr>
  </w:style>
  <w:style w:type="paragraph" w:styleId="21">
    <w:name w:val="index 9"/>
    <w:basedOn w:val="0"/>
    <w:autoRedefine/>
    <w:next w:val="0"/>
    <w:pPr>
      <w:ind w:left="3360"/>
    </w:pPr>
  </w:style>
  <w:style w:type="paragraph" w:styleId="24">
    <w:name w:val="toc 3"/>
    <w:basedOn w:val="0"/>
    <w:autoRedefine/>
    <w:next w:val="0"/>
    <w:pPr>
      <w:ind w:left="840"/>
    </w:pPr>
  </w:style>
  <w:style w:type="paragraph" w:styleId="29">
    <w:name w:val="toc 8"/>
    <w:basedOn w:val="0"/>
    <w:autoRedefine/>
    <w:next w:val="0"/>
    <w:pPr>
      <w:ind w:left="2940"/>
    </w:pPr>
  </w:style>
  <w:style w:type="paragraph" w:styleId="92">
    <w:name w:val="Normal (Web)"/>
    <w:next w:val="15"/>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100" w:beforeAutospacing="1" w:after="100" w:afterAutospacing="1" w:line="240" w:lineRule="auto"/>
      <w:ind w:left="0" w:right="0" w:firstLine="0"/>
      <w:contextualSpacing w:val="0"/>
      <w:jc w:val="left"/>
      <w:textAlignment w:val="auto"/>
      <w:outlineLvl w:val="9"/>
    </w:pPr>
    <w:rPr>
      <w:rFonts w:ascii="Times New Roman" w:eastAsia="宋体" w:hAnsi="Times New Roman"/>
      <w:b w:val="0"/>
      <w:i w:val="0"/>
      <w:caps w:val="0"/>
      <w:smallCaps w:val="0"/>
      <w:strike w:val="0"/>
      <w:dstrike w:val="0"/>
      <w:snapToGrid/>
      <w:vanish w:val="0"/>
      <w:color w:val="auto"/>
      <w:spacing w:val="0"/>
      <w:w w:val="100"/>
      <w:kern w:val="0"/>
      <w:position w:val="0"/>
      <w:sz w:val="24"/>
      <w:szCs w:val="30"/>
      <w:u w:val="none" w:color="auto"/>
      <w:shd w:val="clear" w:color="auto" w:fill="auto"/>
      <w:vertAlign w:val="baseline"/>
      <w:em w:val="none"/>
      <w:lang w:val="en-US" w:eastAsia="zh-CN"/>
    </w:rPr>
  </w:style>
  <w:style w:type="paragraph" w:customStyle="1" w:styleId="123">
    <w:name w:val="样式 小四"/>
    <w:pPr>
      <w:widowControl w:val="0"/>
      <w:spacing w:line="240" w:lineRule="auto"/>
      <w:jc w:val="left"/>
    </w:pPr>
    <w:rPr>
      <w:rFonts w:ascii="宋体" w:eastAsia="宋体"/>
      <w:kern w:val="2"/>
      <w:sz w:val="24"/>
      <w:szCs w:val="21"/>
      <w:lang w:val="en-US" w:eastAsia="zh-CN"/>
    </w:rPr>
  </w:style>
  <w:style w:type="paragraph" w:customStyle="1" w:styleId="124">
    <w:name w:val="样式 1 小四"/>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100" w:beforeAutospacing="1" w:after="100" w:afterAutospacing="1" w:line="240" w:lineRule="auto"/>
      <w:ind w:left="0" w:right="0" w:firstLine="0"/>
      <w:contextualSpacing w:val="0"/>
      <w:jc w:val="left"/>
      <w:textAlignment w:val="auto"/>
      <w:outlineLvl w:val="9"/>
    </w:pPr>
    <w:rPr>
      <w:rFonts w:ascii="Times New Roman" w:eastAsia="宋体" w:hAnsi="Times New Roman"/>
      <w:b w:val="0"/>
      <w:i w:val="0"/>
      <w:caps w:val="0"/>
      <w:smallCaps w:val="0"/>
      <w:strike w:val="0"/>
      <w:dstrike w:val="0"/>
      <w:snapToGrid/>
      <w:vanish w:val="0"/>
      <w:color w:val="auto"/>
      <w:spacing w:val="0"/>
      <w:w w:val="100"/>
      <w:kern w:val="0"/>
      <w:position w:val="0"/>
      <w:sz w:val="24"/>
      <w:szCs w:val="30"/>
      <w:u w:val="none" w:color="auto"/>
      <w:shd w:val="clear" w:color="auto" w:fill="auto"/>
      <w:vertAlign w:val="baseline"/>
      <w:em w:val="none"/>
      <w:lang w:val="en-US" w:eastAsia="zh-CN"/>
    </w:rPr>
  </w:style>
  <w:style w:type="paragraph" w:customStyle="1" w:styleId="125">
    <w:name w:val="样式 2 小四"/>
    <w:pPr>
      <w:widowControl w:val="0"/>
      <w:spacing w:line="240" w:lineRule="auto"/>
      <w:jc w:val="left"/>
    </w:pPr>
    <w:rPr>
      <w:rFonts w:ascii="宋体" w:eastAsia="宋体"/>
      <w:kern w:val="2"/>
      <w:sz w:val="24"/>
      <w:szCs w:val="21"/>
      <w:lang w:val="en-US" w:eastAsia="zh-CN"/>
    </w:rPr>
  </w:style>
  <w:style w:type="paragraph" w:customStyle="1" w:styleId="126">
    <w:name w:val="样式 3 小四"/>
    <w:pPr>
      <w:widowControl w:val="0"/>
      <w:spacing w:line="240" w:lineRule="auto"/>
      <w:jc w:val="left"/>
    </w:pPr>
    <w:rPr>
      <w:rFonts w:ascii="宋体" w:eastAsia="宋体"/>
      <w:kern w:val="2"/>
      <w:sz w:val="24"/>
      <w:szCs w:val="21"/>
      <w:lang w:val="en-US" w:eastAsia="zh-CN"/>
    </w:rPr>
  </w:style>
  <w:style w:type="paragraph" w:customStyle="1" w:styleId="127">
    <w:name w:val="样式 4 小四"/>
    <w:pPr>
      <w:widowControl w:val="0"/>
      <w:spacing w:line="240" w:lineRule="auto"/>
      <w:jc w:val="left"/>
    </w:pPr>
    <w:rPr>
      <w:rFonts w:ascii="宋体" w:eastAsia="宋体"/>
      <w:kern w:val="2"/>
      <w:sz w:val="24"/>
      <w:szCs w:val="21"/>
      <w:lang w:val="en-US" w:eastAsia="zh-CN"/>
    </w:rPr>
  </w:style>
  <w:style w:type="paragraph" w:customStyle="1" w:styleId="128">
    <w:name w:val="样式 5 小四"/>
    <w:pPr>
      <w:widowControl w:val="0"/>
      <w:spacing w:line="240" w:lineRule="auto"/>
      <w:jc w:val="left"/>
    </w:pPr>
    <w:rPr>
      <w:rFonts w:ascii="宋体" w:eastAsia="宋体"/>
      <w:kern w:val="2"/>
      <w:sz w:val="24"/>
      <w:szCs w:val="21"/>
      <w:lang w:val="en-US" w:eastAsia="zh-CN"/>
    </w:rPr>
  </w:style>
  <w:style w:type="paragraph" w:customStyle="1" w:styleId="130">
    <w:name w:val="样式 50 三号"/>
    <w:next w:val="16"/>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0"/>
      <w:contextualSpacing w:val="0"/>
      <w:jc w:val="both"/>
      <w:textAlignment w:val="auto"/>
      <w:outlineLvl w:val="9"/>
    </w:pPr>
    <w:rPr>
      <w:rFonts w:ascii="Times New Roman" w:eastAsia="方正仿宋_GBK" w:hAnsi="Times New Roman"/>
      <w:b w:val="0"/>
      <w:i w:val="0"/>
      <w:caps w:val="0"/>
      <w:smallCaps w:val="0"/>
      <w:strike w:val="0"/>
      <w:dstrike w:val="0"/>
      <w:snapToGrid/>
      <w:vanish w:val="0"/>
      <w:color w:val="auto"/>
      <w:spacing w:val="-4"/>
      <w:w w:val="100"/>
      <w:kern w:val="2"/>
      <w:position w:val="0"/>
      <w:sz w:val="32"/>
      <w:szCs w:val="20"/>
      <w:u w:val="none" w:color="auto"/>
      <w:shd w:val="clear" w:color="auto" w:fill="auto"/>
      <w:vertAlign w:val="baseline"/>
      <w:em w:val="none"/>
      <w:lang w:val="en-US" w:eastAsia="zh-CN"/>
    </w:rPr>
  </w:style>
  <w:style w:type="paragraph" w:customStyle="1" w:styleId="131">
    <w:name w:val="样式 小三"/>
    <w:next w:val="24"/>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hAnsi="Times New Roman"/>
      <w:b w:val="0"/>
      <w:i w:val="0"/>
      <w:caps w:val="0"/>
      <w:smallCaps w:val="0"/>
      <w:strike w:val="0"/>
      <w:dstrike w:val="0"/>
      <w:snapToGrid/>
      <w:vanish w:val="0"/>
      <w:color w:val="auto"/>
      <w:spacing w:val="0"/>
      <w:w w:val="100"/>
      <w:kern w:val="2"/>
      <w:position w:val="0"/>
      <w:sz w:val="30"/>
      <w:szCs w:val="30"/>
      <w:u w:val="none" w:color="auto"/>
      <w:shd w:val="clear" w:color="auto" w:fill="auto"/>
      <w:vertAlign w:val="baseline"/>
      <w:em w:val="none"/>
      <w:lang w:val="en-US" w:eastAsia="zh-CN"/>
    </w:rPr>
  </w:style>
  <w:style w:type="paragraph" w:customStyle="1" w:styleId="132">
    <w:name w:val="样式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hAnsi="Times New Roman"/>
      <w:b w:val="0"/>
      <w:i w:val="0"/>
      <w:caps w:val="0"/>
      <w:smallCaps w:val="0"/>
      <w:strike w:val="0"/>
      <w:dstrike w:val="0"/>
      <w:snapToGrid/>
      <w:vanish w:val="0"/>
      <w:color w:val="auto"/>
      <w:spacing w:val="0"/>
      <w:w w:val="100"/>
      <w:kern w:val="2"/>
      <w:position w:val="0"/>
      <w:sz w:val="32"/>
      <w:szCs w:val="22"/>
      <w:u w:val="none" w:color="auto"/>
      <w:shd w:val="clear" w:color="auto" w:fill="auto"/>
      <w:vertAlign w:val="baseline"/>
      <w:em w:val="none"/>
      <w:lang w:val="en-US" w:eastAsia="zh-CN"/>
    </w:rPr>
  </w:style>
  <w:style w:type="paragraph" w:customStyle="1" w:styleId="133">
    <w:name w:val="样式 5 小三"/>
    <w:next w:val="29"/>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hAnsi="Times New Roman"/>
      <w:b w:val="0"/>
      <w:i w:val="0"/>
      <w:caps w:val="0"/>
      <w:smallCaps w:val="0"/>
      <w:strike w:val="0"/>
      <w:dstrike w:val="0"/>
      <w:snapToGrid/>
      <w:vanish w:val="0"/>
      <w:color w:val="auto"/>
      <w:spacing w:val="0"/>
      <w:w w:val="100"/>
      <w:kern w:val="2"/>
      <w:position w:val="0"/>
      <w:sz w:val="30"/>
      <w:szCs w:val="30"/>
      <w:u w:val="none" w:color="auto"/>
      <w:shd w:val="clear" w:color="auto" w:fill="auto"/>
      <w:vertAlign w:val="baseline"/>
      <w:em w:val="none"/>
      <w:lang w:val="en-US" w:eastAsia="zh-CN"/>
    </w:rPr>
  </w:style>
  <w:style w:type="paragraph" w:customStyle="1" w:styleId="134">
    <w:name w:val="样式 16 小三"/>
    <w:next w:val="19"/>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hAnsi="Times New Roman"/>
      <w:b w:val="0"/>
      <w:i w:val="0"/>
      <w:caps w:val="0"/>
      <w:smallCaps w:val="0"/>
      <w:strike w:val="0"/>
      <w:dstrike w:val="0"/>
      <w:snapToGrid/>
      <w:vanish w:val="0"/>
      <w:color w:val="auto"/>
      <w:spacing w:val="0"/>
      <w:w w:val="100"/>
      <w:kern w:val="2"/>
      <w:position w:val="0"/>
      <w:sz w:val="30"/>
      <w:szCs w:val="30"/>
      <w:u w:val="none" w:color="auto"/>
      <w:shd w:val="clear" w:color="auto" w:fill="auto"/>
      <w:vertAlign w:val="baseline"/>
      <w:em w:val="none"/>
      <w:lang w:val="en-US" w:eastAsia="zh-CN"/>
    </w:rPr>
  </w:style>
  <w:style w:type="paragraph" w:customStyle="1" w:styleId="135">
    <w:name w:val="样式 8 小三"/>
    <w:next w:val="17"/>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hAnsi="Times New Roman"/>
      <w:b w:val="0"/>
      <w:i w:val="0"/>
      <w:caps w:val="0"/>
      <w:smallCaps w:val="0"/>
      <w:strike w:val="0"/>
      <w:dstrike w:val="0"/>
      <w:snapToGrid/>
      <w:vanish w:val="0"/>
      <w:color w:val="auto"/>
      <w:spacing w:val="0"/>
      <w:w w:val="100"/>
      <w:kern w:val="2"/>
      <w:position w:val="0"/>
      <w:sz w:val="30"/>
      <w:szCs w:val="30"/>
      <w:u w:val="none" w:color="auto"/>
      <w:shd w:val="clear" w:color="auto" w:fill="auto"/>
      <w:vertAlign w:val="baseline"/>
      <w:em w:val="none"/>
      <w:lang w:val="en-US" w:eastAsia="zh-CN"/>
    </w:rPr>
  </w:style>
  <w:style w:type="paragraph" w:customStyle="1" w:styleId="136">
    <w:name w:val="样式 17 小三"/>
    <w:next w:val="18"/>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hAnsi="Times New Roman"/>
      <w:b w:val="0"/>
      <w:i w:val="0"/>
      <w:caps w:val="0"/>
      <w:smallCaps w:val="0"/>
      <w:strike w:val="0"/>
      <w:dstrike w:val="0"/>
      <w:snapToGrid/>
      <w:vanish w:val="0"/>
      <w:color w:val="auto"/>
      <w:spacing w:val="0"/>
      <w:w w:val="100"/>
      <w:kern w:val="2"/>
      <w:position w:val="0"/>
      <w:sz w:val="30"/>
      <w:szCs w:val="30"/>
      <w:u w:val="none" w:color="auto"/>
      <w:shd w:val="clear" w:color="auto" w:fill="auto"/>
      <w:vertAlign w:val="baseline"/>
      <w:em w:val="none"/>
      <w:lang w:val="en-US" w:eastAsia="zh-CN"/>
    </w:rPr>
  </w:style>
  <w:style w:type="paragraph" w:customStyle="1" w:styleId="137">
    <w:name w:val="样式 12 小三"/>
    <w:next w:val="21"/>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hAnsi="Times New Roman"/>
      <w:b w:val="0"/>
      <w:i w:val="0"/>
      <w:caps w:val="0"/>
      <w:smallCaps w:val="0"/>
      <w:strike w:val="0"/>
      <w:dstrike w:val="0"/>
      <w:snapToGrid/>
      <w:vanish w:val="0"/>
      <w:color w:val="auto"/>
      <w:spacing w:val="0"/>
      <w:w w:val="100"/>
      <w:kern w:val="2"/>
      <w:position w:val="0"/>
      <w:sz w:val="30"/>
      <w:szCs w:val="30"/>
      <w:u w:val="none" w:color="auto"/>
      <w:shd w:val="clear" w:color="auto" w:fill="auto"/>
      <w:vertAlign w:val="baseline"/>
      <w:em w:val="none"/>
      <w:lang w:val="en-US" w:eastAsia="zh-CN"/>
    </w:rPr>
  </w:style>
  <w:style w:type="paragraph" w:customStyle="1" w:styleId="138">
    <w:name w:val="样式 6 小四"/>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100" w:beforeAutospacing="1" w:after="100" w:afterAutospacing="1" w:line="240" w:lineRule="auto"/>
      <w:ind w:left="0" w:right="0" w:firstLine="0"/>
      <w:contextualSpacing w:val="0"/>
      <w:jc w:val="left"/>
      <w:textAlignment w:val="auto"/>
      <w:outlineLvl w:val="9"/>
    </w:pPr>
    <w:rPr>
      <w:rFonts w:ascii="Times New Roman" w:eastAsia="宋体" w:hAnsi="Times New Roman"/>
      <w:b w:val="0"/>
      <w:i w:val="0"/>
      <w:caps w:val="0"/>
      <w:smallCaps w:val="0"/>
      <w:strike w:val="0"/>
      <w:dstrike w:val="0"/>
      <w:snapToGrid/>
      <w:vanish w:val="0"/>
      <w:color w:val="auto"/>
      <w:spacing w:val="0"/>
      <w:w w:val="100"/>
      <w:kern w:val="0"/>
      <w:position w:val="0"/>
      <w:sz w:val="24"/>
      <w:szCs w:val="30"/>
      <w:u w:val="none" w:color="auto"/>
      <w:shd w:val="clear" w:color="auto" w:fill="auto"/>
      <w:vertAlign w:val="baseline"/>
      <w:em w:val="none"/>
      <w:lang w:val="en-US" w:eastAsia="zh-CN"/>
    </w:rPr>
  </w:style>
  <w:style w:type="paragraph" w:customStyle="1" w:styleId="139">
    <w:name w:val="样式 7 小四"/>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100" w:beforeAutospacing="1" w:after="100" w:afterAutospacing="1" w:line="240" w:lineRule="auto"/>
      <w:ind w:left="0" w:right="0" w:firstLine="0"/>
      <w:contextualSpacing w:val="0"/>
      <w:jc w:val="left"/>
      <w:textAlignment w:val="auto"/>
      <w:outlineLvl w:val="9"/>
    </w:pPr>
    <w:rPr>
      <w:rFonts w:ascii="Times New Roman" w:eastAsia="宋体" w:hAnsi="Times New Roman"/>
      <w:b w:val="0"/>
      <w:i w:val="0"/>
      <w:caps w:val="0"/>
      <w:smallCaps w:val="0"/>
      <w:strike w:val="0"/>
      <w:dstrike w:val="0"/>
      <w:snapToGrid/>
      <w:vanish w:val="0"/>
      <w:color w:val="auto"/>
      <w:spacing w:val="0"/>
      <w:w w:val="100"/>
      <w:kern w:val="0"/>
      <w:position w:val="0"/>
      <w:sz w:val="24"/>
      <w:szCs w:val="30"/>
      <w:u w:val="none" w:color="auto"/>
      <w:shd w:val="clear" w:color="auto" w:fill="auto"/>
      <w:vertAlign w:val="baseline"/>
      <w:em w:val="none"/>
      <w:lang w:val="en-US" w:eastAsia="zh-CN"/>
    </w:rPr>
  </w:style>
  <w:style w:type="paragraph" w:customStyle="1" w:styleId="140">
    <w:name w:val="样式 8 小四"/>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100" w:beforeAutospacing="1" w:after="100" w:afterAutospacing="1" w:line="240" w:lineRule="auto"/>
      <w:ind w:left="0" w:right="0" w:firstLine="0"/>
      <w:contextualSpacing w:val="0"/>
      <w:jc w:val="left"/>
      <w:textAlignment w:val="auto"/>
      <w:outlineLvl w:val="9"/>
    </w:pPr>
    <w:rPr>
      <w:rFonts w:ascii="Times New Roman" w:eastAsia="宋体" w:hAnsi="Times New Roman"/>
      <w:b w:val="0"/>
      <w:i w:val="0"/>
      <w:caps w:val="0"/>
      <w:smallCaps w:val="0"/>
      <w:strike w:val="0"/>
      <w:dstrike w:val="0"/>
      <w:snapToGrid/>
      <w:vanish w:val="0"/>
      <w:color w:val="auto"/>
      <w:spacing w:val="0"/>
      <w:w w:val="100"/>
      <w:kern w:val="0"/>
      <w:position w:val="0"/>
      <w:sz w:val="24"/>
      <w:szCs w:val="30"/>
      <w:u w:val="none" w:color="auto"/>
      <w:shd w:val="clear" w:color="auto" w:fill="auto"/>
      <w:vertAlign w:val="baseline"/>
      <w:em w:val="none"/>
      <w:lang w:val="en-US" w:eastAsia="zh-CN"/>
    </w:rPr>
  </w:style>
  <w:style w:type="paragraph" w:customStyle="1" w:styleId="141">
    <w:name w:val="样式 9 小四"/>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100" w:beforeAutospacing="1" w:after="100" w:afterAutospacing="1" w:line="240" w:lineRule="auto"/>
      <w:ind w:left="0" w:right="0" w:firstLine="0"/>
      <w:contextualSpacing w:val="0"/>
      <w:jc w:val="left"/>
      <w:textAlignment w:val="auto"/>
      <w:outlineLvl w:val="9"/>
    </w:pPr>
    <w:rPr>
      <w:rFonts w:ascii="Times New Roman" w:eastAsia="宋体" w:hAnsi="Times New Roman"/>
      <w:b w:val="0"/>
      <w:i w:val="0"/>
      <w:caps w:val="0"/>
      <w:smallCaps w:val="0"/>
      <w:strike w:val="0"/>
      <w:dstrike w:val="0"/>
      <w:snapToGrid/>
      <w:vanish w:val="0"/>
      <w:color w:val="auto"/>
      <w:spacing w:val="0"/>
      <w:w w:val="100"/>
      <w:kern w:val="0"/>
      <w:position w:val="0"/>
      <w:sz w:val="24"/>
      <w:szCs w:val="30"/>
      <w:u w:val="none" w:color="auto"/>
      <w:shd w:val="clear" w:color="auto" w:fill="auto"/>
      <w:vertAlign w:val="baseline"/>
      <w:em w:val="none"/>
      <w:lang w:val="en-US" w:eastAsia="zh-CN"/>
    </w:rPr>
  </w:style>
  <w:style w:type="paragraph" w:customStyle="1" w:styleId="142">
    <w:name w:val="样式 10 小四"/>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100" w:beforeAutospacing="1" w:after="100" w:afterAutospacing="1" w:line="240" w:lineRule="auto"/>
      <w:ind w:left="0" w:right="0" w:firstLine="0"/>
      <w:contextualSpacing w:val="0"/>
      <w:jc w:val="left"/>
      <w:textAlignment w:val="auto"/>
      <w:outlineLvl w:val="9"/>
    </w:pPr>
    <w:rPr>
      <w:rFonts w:ascii="Times New Roman" w:eastAsia="宋体" w:hAnsi="Times New Roman"/>
      <w:b w:val="0"/>
      <w:i w:val="0"/>
      <w:caps w:val="0"/>
      <w:smallCaps w:val="0"/>
      <w:strike w:val="0"/>
      <w:dstrike w:val="0"/>
      <w:snapToGrid/>
      <w:vanish w:val="0"/>
      <w:color w:val="auto"/>
      <w:spacing w:val="0"/>
      <w:w w:val="100"/>
      <w:kern w:val="0"/>
      <w:position w:val="0"/>
      <w:sz w:val="24"/>
      <w:szCs w:val="30"/>
      <w:u w:val="none" w:color="auto"/>
      <w:shd w:val="clear" w:color="auto" w:fill="auto"/>
      <w:vertAlign w:val="baseline"/>
      <w:em w:val="none"/>
      <w:lang w:val="en-US" w:eastAsia="zh-CN"/>
    </w:rPr>
  </w:style>
  <w:style w:type="paragraph" w:customStyle="1" w:styleId="143">
    <w:name w:val="样式 11 小四"/>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100" w:beforeAutospacing="1" w:after="100" w:afterAutospacing="1" w:line="240" w:lineRule="auto"/>
      <w:ind w:left="0" w:right="0" w:firstLine="0"/>
      <w:contextualSpacing w:val="0"/>
      <w:jc w:val="left"/>
      <w:textAlignment w:val="auto"/>
      <w:outlineLvl w:val="9"/>
    </w:pPr>
    <w:rPr>
      <w:rFonts w:ascii="Times New Roman" w:eastAsia="宋体" w:hAnsi="Times New Roman"/>
      <w:b w:val="0"/>
      <w:i w:val="0"/>
      <w:caps w:val="0"/>
      <w:smallCaps w:val="0"/>
      <w:strike w:val="0"/>
      <w:dstrike w:val="0"/>
      <w:snapToGrid/>
      <w:vanish w:val="0"/>
      <w:color w:val="auto"/>
      <w:spacing w:val="0"/>
      <w:w w:val="100"/>
      <w:kern w:val="0"/>
      <w:position w:val="0"/>
      <w:sz w:val="24"/>
      <w:szCs w:val="30"/>
      <w:u w:val="none" w:color="auto"/>
      <w:shd w:val="clear" w:color="auto" w:fill="auto"/>
      <w:vertAlign w:val="baseline"/>
      <w:em w:val="none"/>
      <w:lang w:val="en-US" w:eastAsia="zh-CN"/>
    </w:rPr>
  </w:style>
  <w:style w:type="paragraph" w:customStyle="1" w:styleId="144">
    <w:name w:val="样式 5 三号"/>
    <w:next w:val="150"/>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hAnsi="Times New Roman"/>
      <w:b w:val="0"/>
      <w:i w:val="0"/>
      <w:caps w:val="0"/>
      <w:smallCaps w:val="0"/>
      <w:strike w:val="0"/>
      <w:dstrike w:val="0"/>
      <w:snapToGrid/>
      <w:vanish w:val="0"/>
      <w:color w:val="auto"/>
      <w:spacing w:val="0"/>
      <w:w w:val="100"/>
      <w:kern w:val="2"/>
      <w:position w:val="0"/>
      <w:sz w:val="32"/>
      <w:szCs w:val="22"/>
      <w:u w:val="none" w:color="auto"/>
      <w:shd w:val="clear" w:color="auto" w:fill="auto"/>
      <w:vertAlign w:val="baseline"/>
      <w:em w:val="none"/>
      <w:lang w:val="en-US" w:eastAsia="zh-CN"/>
    </w:rPr>
  </w:style>
  <w:style w:type="paragraph" w:customStyle="1" w:styleId="146">
    <w:name w:val="样式 12 小四"/>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100" w:beforeAutospacing="1" w:after="100" w:afterAutospacing="1" w:line="240" w:lineRule="auto"/>
      <w:ind w:left="0" w:right="0" w:firstLine="0"/>
      <w:contextualSpacing w:val="0"/>
      <w:jc w:val="left"/>
      <w:textAlignment w:val="auto"/>
      <w:outlineLvl w:val="9"/>
    </w:pPr>
    <w:rPr>
      <w:rFonts w:ascii="Times New Roman" w:eastAsia="宋体" w:hAnsi="Times New Roman"/>
      <w:b w:val="0"/>
      <w:i w:val="0"/>
      <w:caps w:val="0"/>
      <w:smallCaps w:val="0"/>
      <w:strike w:val="0"/>
      <w:dstrike w:val="0"/>
      <w:snapToGrid/>
      <w:vanish w:val="0"/>
      <w:color w:val="auto"/>
      <w:spacing w:val="0"/>
      <w:w w:val="100"/>
      <w:kern w:val="0"/>
      <w:position w:val="0"/>
      <w:sz w:val="24"/>
      <w:szCs w:val="30"/>
      <w:u w:val="none" w:color="auto"/>
      <w:shd w:val="clear" w:color="auto" w:fill="auto"/>
      <w:vertAlign w:val="baseline"/>
      <w:em w:val="none"/>
      <w:lang w:val="en-US" w:eastAsia="zh-CN"/>
    </w:rPr>
  </w:style>
  <w:style w:type="paragraph" w:customStyle="1" w:styleId="149">
    <w:name w:val="样式 13 小四"/>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100" w:beforeAutospacing="1" w:after="100" w:afterAutospacing="1" w:line="240" w:lineRule="auto"/>
      <w:ind w:left="0" w:right="0" w:firstLine="0"/>
      <w:contextualSpacing w:val="0"/>
      <w:jc w:val="left"/>
      <w:textAlignment w:val="auto"/>
      <w:outlineLvl w:val="9"/>
    </w:pPr>
    <w:rPr>
      <w:rFonts w:ascii="Times New Roman" w:eastAsia="宋体" w:hAnsi="Times New Roman"/>
      <w:b w:val="0"/>
      <w:i w:val="0"/>
      <w:caps w:val="0"/>
      <w:smallCaps w:val="0"/>
      <w:strike w:val="0"/>
      <w:dstrike w:val="0"/>
      <w:snapToGrid/>
      <w:vanish w:val="0"/>
      <w:color w:val="auto"/>
      <w:spacing w:val="0"/>
      <w:w w:val="100"/>
      <w:kern w:val="0"/>
      <w:position w:val="0"/>
      <w:sz w:val="24"/>
      <w:szCs w:val="30"/>
      <w:u w:val="none" w:color="auto"/>
      <w:shd w:val="clear" w:color="auto" w:fill="auto"/>
      <w:vertAlign w:val="baseline"/>
      <w:em w:val="none"/>
      <w:lang w:val="en-US" w:eastAsia="zh-CN"/>
    </w:rPr>
  </w:style>
  <w:style w:type="paragraph" w:customStyle="1" w:styleId="150">
    <w:name w:val="样式 14 小四"/>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100" w:beforeAutospacing="1" w:after="100" w:afterAutospacing="1" w:line="240" w:lineRule="auto"/>
      <w:ind w:left="0" w:right="0" w:firstLine="0"/>
      <w:contextualSpacing w:val="0"/>
      <w:jc w:val="left"/>
      <w:textAlignment w:val="auto"/>
      <w:outlineLvl w:val="9"/>
    </w:pPr>
    <w:rPr>
      <w:rFonts w:ascii="Times New Roman" w:eastAsia="宋体" w:hAnsi="Times New Roman"/>
      <w:b w:val="0"/>
      <w:i w:val="0"/>
      <w:caps w:val="0"/>
      <w:smallCaps w:val="0"/>
      <w:strike w:val="0"/>
      <w:dstrike w:val="0"/>
      <w:snapToGrid/>
      <w:vanish w:val="0"/>
      <w:color w:val="auto"/>
      <w:spacing w:val="0"/>
      <w:w w:val="100"/>
      <w:kern w:val="0"/>
      <w:position w:val="0"/>
      <w:sz w:val="24"/>
      <w:szCs w:val="30"/>
      <w:u w:val="none" w:color="auto"/>
      <w:shd w:val="clear" w:color="auto" w:fill="auto"/>
      <w:vertAlign w:val="baseline"/>
      <w:em w:val="none"/>
      <w:lang w:val="en-US" w:eastAsia="zh-CN"/>
    </w:rPr>
  </w:style>
  <w:style w:type="paragraph" w:customStyle="1" w:styleId="151">
    <w:name w:val="样式 15 小四"/>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100" w:beforeAutospacing="1" w:after="100" w:afterAutospacing="1" w:line="240" w:lineRule="auto"/>
      <w:ind w:left="0" w:right="0" w:firstLine="0"/>
      <w:contextualSpacing w:val="0"/>
      <w:jc w:val="left"/>
      <w:textAlignment w:val="auto"/>
      <w:outlineLvl w:val="9"/>
    </w:pPr>
    <w:rPr>
      <w:rFonts w:ascii="Times New Roman" w:eastAsia="宋体" w:hAnsi="Times New Roman"/>
      <w:b w:val="0"/>
      <w:i w:val="0"/>
      <w:caps w:val="0"/>
      <w:smallCaps w:val="0"/>
      <w:strike w:val="0"/>
      <w:dstrike w:val="0"/>
      <w:snapToGrid/>
      <w:vanish w:val="0"/>
      <w:color w:val="auto"/>
      <w:spacing w:val="0"/>
      <w:w w:val="100"/>
      <w:kern w:val="0"/>
      <w:position w:val="0"/>
      <w:sz w:val="24"/>
      <w:szCs w:val="30"/>
      <w:u w:val="none" w:color="auto"/>
      <w:shd w:val="clear" w:color="auto" w:fill="auto"/>
      <w:vertAlign w:val="baseline"/>
      <w:em w:val="none"/>
      <w:lang w:val="en-US" w:eastAsia="zh-CN"/>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s>
</file>

<file path=docProps/app.xml><?xml version="1.0" encoding="utf-8"?>
<Properties xmlns="http://schemas.openxmlformats.org/officeDocument/2006/extended-properties">
  <Template>Normal.eit</Template>
  <TotalTime>1918</TotalTime>
  <Application>Yozo_Office</Application>
  <Pages>6</Pages>
  <Words>2376</Words>
  <Characters>2464</Characters>
  <Lines>429</Lines>
  <Paragraphs>303</Paragraphs>
  <CharactersWithSpaces>2467</CharactersWithSpaces>
  <Company>YOZOSOFT</Company>
</Properties>
</file>

<file path=docProps/core.xml><?xml version="1.0" encoding="utf-8"?>
<cp:coreProperties xmlns:cp="http://schemas.openxmlformats.org/package/2006/metadata/core-properties" xmlns:dc="http://purl.org/dc/elements/1.1/" xmlns:dcterms="http://purl.org/dc/terms/" xmlns:xsi="http://www.w3.org/2001/XMLSchema-instance">
  <dc:creator>Cynthia</dc:creator>
  <cp:lastModifiedBy>user</cp:lastModifiedBy>
  <cp:revision>41</cp:revision>
  <dcterms:created xsi:type="dcterms:W3CDTF">2014-08-13T02:01:00Z</dcterms:created>
  <dcterms:modified xsi:type="dcterms:W3CDTF">2026-01-30T02:58:07Z</dcterms:modified>
</cp:coreProperties>
</file>