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0"/>
        <w:keepNext w:val="0"/>
        <w:keepLines w:val="0"/>
        <w:pageBreakBefore w:val="0"/>
        <w:widowControl/>
        <w:kinsoku/>
        <w:wordWrap/>
        <w:overflowPunct/>
        <w:topLinePunct w:val="0"/>
        <w:autoSpaceDE/>
        <w:autoSpaceDN/>
        <w:bidi w:val="0"/>
        <w:adjustRightInd/>
        <w:snapToGrid/>
        <w:spacing w:before="0" w:after="0" w:line="560" w:lineRule="exact"/>
        <w:jc w:val="center"/>
        <w:textAlignment w:val="auto"/>
        <w:rPr>
          <w:rFonts w:ascii="Times New Roman" w:eastAsia="方正小标宋_GBK" w:cs="Times New Roman" w:hAnsi="Times New Roman"/>
          <w:sz w:val="36"/>
          <w:szCs w:val="36"/>
          <w:lang w:val="en-US" w:eastAsia="zh-CN"/>
        </w:rPr>
      </w:pPr>
      <w:r>
        <w:rPr>
          <w:rFonts w:ascii="Times New Roman" w:eastAsia="方正小标宋_GBK" w:cs="Times New Roman" w:hAnsi="Times New Roman"/>
          <w:sz w:val="36"/>
          <w:szCs w:val="36"/>
          <w:lang w:val="en-US" w:eastAsia="zh-CN"/>
        </w:rPr>
        <w:t>气体自动灭火系统设计需求（含对应标准）</w:t>
      </w:r>
    </w:p>
    <w:p>
      <w:pPr>
        <w:pStyle w:val="20"/>
        <w:keepNext w:val="0"/>
        <w:keepLines w:val="0"/>
        <w:pageBreakBefore w:val="0"/>
        <w:widowControl/>
        <w:kinsoku/>
        <w:wordWrap/>
        <w:overflowPunct/>
        <w:topLinePunct w:val="0"/>
        <w:autoSpaceDE/>
        <w:autoSpaceDN/>
        <w:bidi w:val="0"/>
        <w:adjustRightInd/>
        <w:snapToGrid/>
        <w:spacing w:before="0" w:after="0" w:line="560" w:lineRule="exact"/>
        <w:jc w:val="both"/>
        <w:textAlignment w:val="auto"/>
        <w:rPr>
          <w:rFonts w:ascii="Times New Roman" w:eastAsia="方正小标宋_GBK" w:cs="Times New Roman" w:hAnsi="Times New Roman"/>
          <w:sz w:val="52"/>
          <w:szCs w:val="52"/>
          <w:lang w:val="en-US" w:eastAsia="zh-CN"/>
        </w:rPr>
      </w:pP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1、设计依据：</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1.1 中华人民共和国国家标准 GB50370 - 2005《气体灭火系统设计规范》；</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1.2 中华人民共和国国家标准 GB50116 - 2013《火灾自动报警系统设计规范》；</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1.3 中华人民共和国国家标准 GB50166 - 2019《火灾自动报警系统施工及验收规范》；</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1.4 中华人民共和国国家标准 GB50263 - 2007《气体灭火系统施工及验收规范》；</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2、基本设计参数：</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2.1 系统储存压力：2.5MPa；</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2.2 气体喷放时间：</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10s；</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2.3 灭火系统的设计温度应采用 20℃；</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 xml:space="preserve">2.4 防护区围护结构承受内压的允许压强，不宜低于 </w:t>
      </w:r>
      <w:bookmarkStart w:id="0" w:name="_GoBack"/>
      <w:bookmarkEnd w:id="0"/>
      <w:r>
        <w:rPr>
          <w:rFonts w:ascii="Times New Roman" w:eastAsia="方正仿宋_GBK" w:cs="Times New Roman" w:hAnsi="Times New Roman"/>
          <w:sz w:val="32"/>
          <w:szCs w:val="32"/>
        </w:rPr>
        <w:t>1200Pa。</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3、设计需求：</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3.1 防护区情况：详见设计参数表</w:t>
      </w:r>
    </w:p>
    <w:p>
      <w:pPr>
        <w:pStyle w:val="20"/>
        <w:keepNext w:val="0"/>
        <w:keepLines w:val="0"/>
        <w:pageBreakBefore w:val="0"/>
        <w:widowControl/>
        <w:kinsoku/>
        <w:wordWrap/>
        <w:overflowPunct/>
        <w:topLinePunct w:val="0"/>
        <w:autoSpaceDE/>
        <w:autoSpaceDN/>
        <w:adjustRightInd/>
        <w:snapToGrid/>
        <w:spacing w:before="0" w:after="0"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3.2 灭火方式：防护区采用全淹没灭火方式，即在规定的时间内，向防护区喷放设计规定用量的灭火剂，使其均匀地充满整个保护区。</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4、对土建要求：</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4.1 防护区应有足够宽的疏散通道和出口，保证人员在 30 秒内撤出防护区。</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4.2 防护区及储瓶间的门应采用乙级防火门，向外开启，并能自动关闭，保证在任何情况下可以从防护区内打开。</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4.3 防护区围护结构及门窗（包括玻璃墙、砖墙、玻璃门窗等）的耐火极限均不应低于 0.5h；吊顶的耐火极限不应低于 0.25h。</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4.4 防护区灭火时应保持封闭条件，除泄压口以外的开口，以及用于该防护区的通风机和通风管道中的防火阀等在喷放七氟丙烷前，应做到自动关闭。</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4.5 地下防护区及无窗或固定窗户的地上防护区应设立机械排风装置。</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4.6 防护区围护结构及门窗的允许压强不宜小于 1200Pa。</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4.7 本防护区墙体采用龙骨基层加硅钙板封板，天花为轻钢骨加600</w:t>
      </w:r>
      <w:r>
        <w:rPr>
          <w:rFonts w:ascii="Times New Roman" w:eastAsia="方正仿宋_GBK" w:cs="Times New Roman" w:hAnsi="Times New Roman" w:hint="eastAsia"/>
          <w:sz w:val="32"/>
          <w:szCs w:val="32"/>
        </w:rPr>
        <w:t>×600铝天花，门为钢</w:t>
      </w:r>
      <w:r>
        <w:rPr>
          <w:rFonts w:ascii="Times New Roman" w:eastAsia="方正仿宋_GBK" w:cs="Times New Roman" w:hAnsi="Times New Roman"/>
          <w:sz w:val="32"/>
          <w:szCs w:val="32"/>
        </w:rPr>
        <w:t>制防火门，满足压强120Pa以上的要求。</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5、对电气要求：</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5.1 在喷放灭火剂之前，应将防护区排风装置自动关闭。</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5.2 防护区内设火灾自动报警、控制系统。</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5.3 其它按照 GB50166 - 2007《火灾自动报警系统施工及验收规范》的规定执行。</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5.4 所有电线线路均按规范要求采用 JDG20 型镀锌金属电线导管进行敷设，并严格遵循国家防火规范要求，在金属线管表面涂覆防火涂料三道，确保电气线路的防火安全性能符合《建筑电气防火设计规范》GB 50054 相关标准。</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6、系统调试验收：</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6.1 调试负责人必须由有资格的专业技术人员担任，所有参加调试的人员应职责明确。</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6.2 调试前应检查系统设备的安装质量，并应及时处理有关问题。</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6.3 系统调试的项目及要求按国家标准《火灾自动报警系统施工及验收规范》和国家标准《气体灭火系统施工及验收规范》的要求进行。</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6.4 系统的竣工验收应由我单位组织，建设单位、施工单位等共同派员进行。</w:t>
      </w:r>
    </w:p>
    <w:p>
      <w:pPr>
        <w:pStyle w:val="20"/>
        <w:keepNext w:val="0"/>
        <w:keepLines w:val="0"/>
        <w:pageBreakBefore w:val="0"/>
        <w:widowControl/>
        <w:kinsoku/>
        <w:wordWrap/>
        <w:overflowPunct/>
        <w:topLinePunct w:val="0"/>
        <w:autoSpaceDE/>
        <w:autoSpaceDN/>
        <w:bidi w:val="0"/>
        <w:adjustRightInd/>
        <w:snapToGrid/>
        <w:spacing w:before="0" w:after="0" w:line="560" w:lineRule="exact"/>
        <w:ind w:firstLineChars="200" w:firstLine="640"/>
        <w:textAlignment w:val="auto"/>
        <w:rPr>
          <w:rFonts w:ascii="Times New Roman" w:eastAsia="方正仿宋_GBK" w:cs="Times New Roman" w:hAnsi="Times New Roman"/>
          <w:sz w:val="32"/>
          <w:szCs w:val="32"/>
        </w:rPr>
      </w:pPr>
      <w:r>
        <w:rPr>
          <w:rFonts w:ascii="Times New Roman" w:eastAsia="方正仿宋_GBK" w:cs="Times New Roman" w:hAnsi="Times New Roman"/>
          <w:sz w:val="32"/>
          <w:szCs w:val="32"/>
        </w:rPr>
        <w:t>6.5 系统验收合格后，应将其功能恢复到正常工作状态，验收不合格的不得投入使用。</w:t>
      </w:r>
    </w:p>
    <w:p>
      <w:pPr>
        <w:pStyle w:val="2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ascii="Times New Roman" w:eastAsia="方正黑体_GBK" w:cs="Times New Roman" w:hAnsi="Times New Roman"/>
          <w:sz w:val="32"/>
          <w:szCs w:val="32"/>
        </w:rPr>
      </w:pPr>
      <w:r>
        <w:rPr>
          <w:rFonts w:ascii="Times New Roman" w:eastAsia="方正黑体_GBK" w:cs="Times New Roman" w:hAnsi="Times New Roman"/>
          <w:sz w:val="32"/>
          <w:szCs w:val="32"/>
        </w:rPr>
        <w:t>7、防护区应设置泄压口，宜设在外墙上。泄压口应位于防护区净高的 2/3 以上。</w:t>
      </w:r>
    </w:p>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ind w:left="0" w:firstLineChars="200" w:firstLine="640"/>
        <w:textAlignment w:val="auto"/>
        <w:rPr>
          <w:rFonts w:ascii="Times New Roman" w:eastAsia="方正仿宋_GBK" w:cs="Times New Roman" w:hAnsi="Times New Roman" w:hint="eastAsia"/>
          <w:b w:val="0"/>
          <w:bCs w:val="0"/>
          <w:sz w:val="32"/>
          <w:szCs w:val="32"/>
          <w:lang w:eastAsia="zh-CN"/>
        </w:rPr>
      </w:pPr>
      <w:r>
        <w:rPr>
          <w:rFonts w:ascii="Times New Roman" w:eastAsia="方正仿宋_GBK" w:cs="Times New Roman" w:hAnsi="Times New Roman"/>
          <w:b w:val="0"/>
          <w:bCs w:val="0"/>
          <w:sz w:val="32"/>
          <w:szCs w:val="32"/>
        </w:rPr>
        <w:t>防护区情况</w:t>
      </w:r>
      <w:r>
        <w:rPr>
          <w:rFonts w:ascii="Times New Roman" w:eastAsia="方正仿宋_GBK" w:cs="Times New Roman" w:hAnsi="Times New Roman" w:hint="eastAsia"/>
          <w:b w:val="0"/>
          <w:bCs w:val="0"/>
          <w:sz w:val="32"/>
          <w:szCs w:val="32"/>
          <w:lang w:eastAsia="zh-CN"/>
        </w:rPr>
        <w:t>：</w:t>
      </w:r>
    </w:p>
    <w:tbl>
      <w:tblPr>
        <w:tblpPr w:leftFromText="180" w:rightFromText="180" w:vertAnchor="text" w:horzAnchor="page" w:tblpX="2211" w:tblpY="37"/>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 w:type="dxa"/>
          <w:bottom w:w="0" w:type="dxa"/>
          <w:right w:w="10" w:type="dxa"/>
        </w:tblCellMar>
      </w:tblPr>
      <w:tblGrid>
        <w:gridCol w:w="4075"/>
        <w:gridCol w:w="3913"/>
      </w:tblGrid>
      <w:tr>
        <w:tc>
          <w:tcPr>
            <w:tcW w:w="4075"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方正黑体_GBK" w:eastAsia="方正黑体_GBK" w:cs="方正黑体_GBK" w:hint="eastAsia"/>
                <w:b w:val="0"/>
                <w:bCs w:val="0"/>
                <w:sz w:val="28"/>
                <w:szCs w:val="28"/>
                <w:lang w:val="en-US" w:eastAsia="zh-CN"/>
              </w:rPr>
            </w:pPr>
            <w:r>
              <w:rPr>
                <w:rFonts w:ascii="方正黑体_GBK" w:eastAsia="方正黑体_GBK" w:cs="方正黑体_GBK" w:hint="eastAsia"/>
                <w:b w:val="0"/>
                <w:bCs w:val="0"/>
                <w:sz w:val="28"/>
                <w:szCs w:val="28"/>
                <w:lang w:val="en-US" w:eastAsia="zh-CN"/>
              </w:rPr>
              <w:t>防护区名称</w:t>
            </w:r>
          </w:p>
        </w:tc>
        <w:tc>
          <w:tcPr>
            <w:tcW w:w="3913"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Times New Roman" w:eastAsia="方正仿宋_GBK" w:cs="Times New Roman" w:hAnsi="Times New Roman"/>
                <w:b w:val="0"/>
                <w:bCs w:val="0"/>
                <w:sz w:val="28"/>
                <w:szCs w:val="28"/>
                <w:lang w:val="en-US" w:eastAsia="zh-CN"/>
              </w:rPr>
            </w:pPr>
            <w:r>
              <w:rPr>
                <w:rFonts w:ascii="Times New Roman" w:eastAsia="方正仿宋_GBK" w:cs="Times New Roman" w:hAnsi="Times New Roman" w:hint="eastAsia"/>
                <w:b w:val="0"/>
                <w:bCs w:val="0"/>
                <w:sz w:val="28"/>
                <w:szCs w:val="28"/>
                <w:lang w:val="en-US" w:eastAsia="zh-CN"/>
              </w:rPr>
              <w:t>数据分中心配线间</w:t>
            </w:r>
          </w:p>
        </w:tc>
      </w:tr>
      <w:tr>
        <w:tc>
          <w:tcPr>
            <w:tcW w:w="4075"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方正黑体_GBK" w:eastAsia="方正黑体_GBK" w:cs="方正黑体_GBK" w:hint="eastAsia"/>
                <w:b w:val="0"/>
                <w:bCs w:val="0"/>
                <w:sz w:val="28"/>
                <w:szCs w:val="28"/>
              </w:rPr>
            </w:pPr>
            <w:r>
              <w:rPr>
                <w:rFonts w:ascii="方正黑体_GBK" w:eastAsia="方正黑体_GBK" w:cs="方正黑体_GBK" w:hint="eastAsia"/>
                <w:b w:val="0"/>
                <w:bCs w:val="0"/>
                <w:sz w:val="28"/>
                <w:szCs w:val="28"/>
              </w:rPr>
              <w:t>面积 (</w:t>
            </w:r>
            <w:r>
              <w:rPr>
                <w:rFonts w:ascii="方正黑体_GBK" w:eastAsia="方正黑体_GBK" w:cs="方正黑体_GBK" w:hint="eastAsia"/>
                <w:b w:val="0"/>
                <w:bCs w:val="0"/>
                <w:sz w:val="28"/>
                <w:szCs w:val="28"/>
                <w:lang w:val="en-US" w:eastAsia="zh-CN"/>
              </w:rPr>
              <w:t>m</w:t>
            </w:r>
            <w:r>
              <w:rPr>
                <w:rFonts w:ascii="方正黑体_GBK" w:eastAsia="方正黑体_GBK" w:cs="方正黑体_GBK" w:hint="eastAsia"/>
                <w:b w:val="0"/>
                <w:bCs w:val="0"/>
                <w:sz w:val="28"/>
                <w:szCs w:val="28"/>
                <w:vertAlign w:val="superscript"/>
                <w:lang w:val="en-US" w:eastAsia="zh-CN"/>
              </w:rPr>
              <w:t>2</w:t>
            </w:r>
            <w:r>
              <w:rPr>
                <w:rFonts w:ascii="方正黑体_GBK" w:eastAsia="方正黑体_GBK" w:cs="方正黑体_GBK" w:hint="eastAsia"/>
                <w:b w:val="0"/>
                <w:bCs w:val="0"/>
                <w:sz w:val="28"/>
                <w:szCs w:val="28"/>
              </w:rPr>
              <w:t>)</w:t>
            </w:r>
          </w:p>
        </w:tc>
        <w:tc>
          <w:tcPr>
            <w:tcW w:w="3913"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Times New Roman" w:eastAsia="方正仿宋_GBK" w:cs="Times New Roman" w:hAnsi="Times New Roman"/>
                <w:b w:val="0"/>
                <w:bCs w:val="0"/>
                <w:sz w:val="28"/>
                <w:szCs w:val="28"/>
              </w:rPr>
            </w:pPr>
            <w:r>
              <w:rPr>
                <w:rFonts w:ascii="Times New Roman" w:eastAsia="方正仿宋_GBK" w:cs="Times New Roman" w:hAnsi="Times New Roman"/>
                <w:b w:val="0"/>
                <w:bCs w:val="0"/>
                <w:sz w:val="28"/>
                <w:szCs w:val="28"/>
              </w:rPr>
              <w:t>25.27</w:t>
            </w:r>
          </w:p>
        </w:tc>
      </w:tr>
      <w:tr>
        <w:tc>
          <w:tcPr>
            <w:tcW w:w="4075"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方正黑体_GBK" w:eastAsia="方正黑体_GBK" w:cs="方正黑体_GBK" w:hint="eastAsia"/>
                <w:b w:val="0"/>
                <w:bCs w:val="0"/>
                <w:sz w:val="28"/>
                <w:szCs w:val="28"/>
              </w:rPr>
            </w:pPr>
            <w:r>
              <w:rPr>
                <w:rFonts w:ascii="方正黑体_GBK" w:eastAsia="方正黑体_GBK" w:cs="方正黑体_GBK" w:hint="eastAsia"/>
                <w:b w:val="0"/>
                <w:bCs w:val="0"/>
                <w:sz w:val="28"/>
                <w:szCs w:val="28"/>
              </w:rPr>
              <w:t>高度 (m)</w:t>
            </w:r>
          </w:p>
        </w:tc>
        <w:tc>
          <w:tcPr>
            <w:tcW w:w="3913"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Times New Roman" w:eastAsia="方正仿宋_GBK" w:cs="Times New Roman" w:hAnsi="Times New Roman"/>
                <w:b w:val="0"/>
                <w:bCs w:val="0"/>
                <w:sz w:val="28"/>
                <w:szCs w:val="28"/>
              </w:rPr>
            </w:pPr>
            <w:r>
              <w:rPr>
                <w:rFonts w:ascii="Times New Roman" w:eastAsia="方正仿宋_GBK" w:cs="Times New Roman" w:hAnsi="Times New Roman"/>
                <w:b w:val="0"/>
                <w:bCs w:val="0"/>
                <w:sz w:val="28"/>
                <w:szCs w:val="28"/>
              </w:rPr>
              <w:t>4.07</w:t>
            </w:r>
          </w:p>
        </w:tc>
      </w:tr>
      <w:tr>
        <w:tc>
          <w:tcPr>
            <w:tcW w:w="4075"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方正黑体_GBK" w:eastAsia="方正黑体_GBK" w:cs="方正黑体_GBK" w:hint="eastAsia"/>
                <w:b w:val="0"/>
                <w:bCs w:val="0"/>
                <w:sz w:val="28"/>
                <w:szCs w:val="28"/>
              </w:rPr>
            </w:pPr>
            <w:r>
              <w:rPr>
                <w:rFonts w:ascii="方正黑体_GBK" w:eastAsia="方正黑体_GBK" w:cs="方正黑体_GBK" w:hint="eastAsia"/>
                <w:b w:val="0"/>
                <w:bCs w:val="0"/>
                <w:sz w:val="28"/>
                <w:szCs w:val="28"/>
              </w:rPr>
              <w:t>净容积 V (m³)</w:t>
            </w:r>
          </w:p>
        </w:tc>
        <w:tc>
          <w:tcPr>
            <w:tcW w:w="3913" w:type="dxa"/>
            <w:tcBorders>
              <w:top w:val="single" w:sz="2" w:space="0" w:color="DEE0E3"/>
              <w:left w:val="single" w:sz="2" w:space="0" w:color="DEE0E3"/>
              <w:bottom w:val="single" w:sz="2" w:space="0" w:color="DEE0E3"/>
              <w:right w:val="single" w:sz="2" w:space="0" w:color="DEE0E3"/>
            </w:tcBorders>
            <w:tcMar>
              <w:top w:w="60" w:type="dxa"/>
              <w:left w:w="120" w:type="dxa"/>
              <w:bottom w:w="30" w:type="dxa"/>
              <w:right w:w="120" w:type="dxa"/>
            </w:tcMar>
          </w:tcPr>
          <w:p>
            <w:pPr>
              <w:pStyle w:val="3"/>
              <w:keepNext w:val="0"/>
              <w:keepLines w:val="0"/>
              <w:pageBreakBefore w:val="0"/>
              <w:widowControl/>
              <w:suppressLineNumbers w:val="0"/>
              <w:pBdr>
                <w:bottom w:val="none" w:sz="0" w:space="0" w:color="auto"/>
              </w:pBdr>
              <w:shd w:val="clear" w:color="auto" w:fill="FFFFFF"/>
              <w:kinsoku/>
              <w:wordWrap/>
              <w:overflowPunct/>
              <w:topLinePunct w:val="0"/>
              <w:autoSpaceDE/>
              <w:autoSpaceDN/>
              <w:bidi w:val="0"/>
              <w:adjustRightInd/>
              <w:snapToGrid/>
              <w:spacing w:before="0" w:beforeAutospacing="0" w:after="0" w:line="560" w:lineRule="exact"/>
              <w:textAlignment w:val="auto"/>
              <w:rPr>
                <w:rFonts w:ascii="Times New Roman" w:eastAsia="方正仿宋_GBK" w:cs="Times New Roman" w:hAnsi="Times New Roman"/>
                <w:b w:val="0"/>
                <w:bCs w:val="0"/>
                <w:sz w:val="28"/>
                <w:szCs w:val="28"/>
              </w:rPr>
            </w:pPr>
            <w:r>
              <w:rPr>
                <w:rFonts w:ascii="Times New Roman" w:eastAsia="方正仿宋_GBK" w:cs="Times New Roman" w:hAnsi="Times New Roman"/>
                <w:b w:val="0"/>
                <w:bCs w:val="0"/>
                <w:sz w:val="28"/>
                <w:szCs w:val="28"/>
              </w:rPr>
              <w:t>102.85</w:t>
            </w:r>
          </w:p>
        </w:tc>
      </w:tr>
    </w:tbl>
    <w:p>
      <w:pPr>
        <w:rPr>
          <w:rFonts w:ascii="Times New Roman" w:eastAsia="方正仿宋_GBK" w:cs="Times New Roman" w:hAnsi="Times New Roman" w:hint="eastAsia"/>
          <w:b w:val="0"/>
          <w:bCs w:val="0"/>
          <w:sz w:val="32"/>
          <w:szCs w:val="32"/>
          <w:lang w:eastAsia="zh-CN"/>
        </w:rPr>
      </w:pPr>
    </w:p>
    <w:p>
      <w:pPr>
        <w:rPr>
          <w:rFonts w:ascii="Times New Roman" w:eastAsia="方正仿宋_GBK" w:cs="Times New Roman" w:hAnsi="Times New Roman" w:hint="eastAsia"/>
          <w:b w:val="0"/>
          <w:bCs w:val="0"/>
          <w:sz w:val="32"/>
          <w:szCs w:val="32"/>
          <w:lang w:eastAsia="zh-CN"/>
        </w:rPr>
      </w:pPr>
    </w:p>
    <w:p>
      <w:pPr>
        <w:rPr>
          <w:rFonts w:ascii="Times New Roman" w:eastAsia="方正仿宋_GBK" w:cs="Times New Roman" w:hAnsi="Times New Roman" w:hint="eastAsia"/>
          <w:b w:val="0"/>
          <w:bCs w:val="0"/>
          <w:sz w:val="32"/>
          <w:szCs w:val="32"/>
          <w:lang w:eastAsia="zh-CN"/>
        </w:rPr>
      </w:pPr>
    </w:p>
    <w:sectPr>
      <w:pgSz w:w="11906" w:h="16838"/>
      <w:pgMar w:top="1440" w:right="1440" w:bottom="1440" w:left="1440" w:header="708" w:footer="708" w:gutter="0"/>
      <w:docGrid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auto"/>
    <w:pitch w:val="variable"/>
    <w:sig w:usb0="00000001" w:usb1="080E0000" w:usb2="00000000" w:usb3="00000000" w:csb0="00040000" w:csb1="00000000"/>
  </w:font>
  <w:font w:name="方正黑体_GBK">
    <w:panose1 w:val="03000509000000000000"/>
    <w:charset w:val="86"/>
    <w:family w:val="auto"/>
    <w:pitch w:val="variable"/>
    <w:sig w:usb0="00000001" w:usb1="080E0000" w:usb2="00000000" w:usb3="00000000" w:csb0="00040000" w:csb1="00000000"/>
  </w:font>
  <w:font w:name="方正仿宋_GBK">
    <w:panose1 w:val="03000509000000000000"/>
    <w:charset w:val="86"/>
    <w:family w:val="auto"/>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等线">
    <w:altName w:val="Arial Unicode MS"/>
    <w:panose1 w:val="02010600030101010101"/>
    <w:charset w:val="86"/>
    <w:family w:val="auto"/>
    <w:pitch w:val="variable"/>
    <w:sig w:usb0="A00002BF"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244"/>
  <w:doNotDisplayPageBoundaries/>
  <w:displayBackgroundShape/>
  <w:bordersDoNotSurroundHeader w:val="0"/>
  <w:bordersDoNotSurroundFooter w:val="0"/>
  <w:defaultTabStop w:val="420"/>
  <w:drawingGridHorizontalSpacing w:val="105"/>
  <w:drawingGridVerticalSpacing w:val="156"/>
  <w:displayHorizontalDrawingGridEvery w:val="1"/>
  <w:displayVerticalDrawingGridEvery w:val="1"/>
  <w:noPunctuationKerning/>
  <w:compat>
    <w:spaceForUL/>
    <w:doNotExpandShiftReturn/>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sz w:val="21"/>
      <w:szCs w:val="22"/>
      <w:lang w:val="en-US" w:eastAsia="zh-CN" w:bidi="ar-SA"/>
    </w:rPr>
  </w:style>
  <w:style w:type="paragraph" w:styleId="1">
    <w:name w:val="heading 1"/>
    <w:next w:val="0"/>
    <w:pPr>
      <w:spacing w:before="380" w:after="140" w:line="288" w:lineRule="auto"/>
      <w:ind w:left="0"/>
      <w:jc w:val="left"/>
      <w:outlineLvl w:val="0"/>
    </w:pPr>
    <w:rPr>
      <w:rFonts w:ascii="Arial" w:eastAsia="等线" w:cs="Arial" w:hAnsi="Arial"/>
      <w:b/>
      <w:bCs/>
      <w:sz w:val="36"/>
      <w:szCs w:val="36"/>
      <w:lang w:val="en-US" w:eastAsia="zh-CN" w:bidi="ar-SA"/>
    </w:rPr>
  </w:style>
  <w:style w:type="paragraph" w:styleId="2">
    <w:name w:val="heading 2"/>
    <w:next w:val="0"/>
    <w:pPr>
      <w:spacing w:before="320" w:after="120" w:line="288" w:lineRule="auto"/>
      <w:ind w:left="0"/>
      <w:jc w:val="left"/>
      <w:outlineLvl w:val="1"/>
    </w:pPr>
    <w:rPr>
      <w:rFonts w:ascii="Arial" w:eastAsia="等线" w:cs="Arial" w:hAnsi="Arial"/>
      <w:b/>
      <w:bCs/>
      <w:sz w:val="32"/>
      <w:szCs w:val="32"/>
      <w:lang w:val="en-US" w:eastAsia="zh-CN" w:bidi="ar-SA"/>
    </w:rPr>
  </w:style>
  <w:style w:type="paragraph" w:styleId="3">
    <w:name w:val="heading 3"/>
    <w:next w:val="0"/>
    <w:pPr>
      <w:spacing w:before="300" w:after="120" w:line="288" w:lineRule="auto"/>
      <w:ind w:left="0"/>
      <w:jc w:val="left"/>
      <w:outlineLvl w:val="2"/>
    </w:pPr>
    <w:rPr>
      <w:rFonts w:ascii="Arial" w:eastAsia="等线" w:cs="Arial" w:hAnsi="Arial"/>
      <w:b/>
      <w:bCs/>
      <w:sz w:val="30"/>
      <w:szCs w:val="30"/>
      <w:lang w:val="en-US" w:eastAsia="zh-CN" w:bidi="ar-SA"/>
    </w:rPr>
  </w:style>
  <w:style w:type="paragraph" w:styleId="4">
    <w:name w:val="heading 4"/>
    <w:next w:val="0"/>
    <w:pPr>
      <w:spacing w:before="260" w:after="120" w:line="288" w:lineRule="auto"/>
      <w:ind w:left="0"/>
      <w:jc w:val="left"/>
      <w:outlineLvl w:val="3"/>
    </w:pPr>
    <w:rPr>
      <w:rFonts w:ascii="Arial" w:eastAsia="等线" w:cs="Arial" w:hAnsi="Arial"/>
      <w:b/>
      <w:bCs/>
      <w:sz w:val="28"/>
      <w:szCs w:val="28"/>
      <w:lang w:val="en-US" w:eastAsia="zh-CN" w:bidi="ar-SA"/>
    </w:rPr>
  </w:style>
  <w:style w:type="paragraph" w:styleId="5">
    <w:name w:val="heading 5"/>
    <w:next w:val="0"/>
    <w:pPr>
      <w:spacing w:before="240" w:after="120" w:line="288" w:lineRule="auto"/>
      <w:ind w:left="0"/>
      <w:jc w:val="left"/>
      <w:outlineLvl w:val="4"/>
    </w:pPr>
    <w:rPr>
      <w:rFonts w:ascii="Arial" w:eastAsia="等线" w:cs="Arial" w:hAnsi="Arial"/>
      <w:b/>
      <w:bCs/>
      <w:sz w:val="24"/>
      <w:szCs w:val="24"/>
      <w:lang w:val="en-US" w:eastAsia="zh-CN" w:bidi="ar-SA"/>
    </w:rPr>
  </w:style>
  <w:style w:type="paragraph" w:styleId="6">
    <w:name w:val="heading 6"/>
    <w:next w:val="0"/>
    <w:pPr>
      <w:spacing w:before="240" w:after="120" w:line="288" w:lineRule="auto"/>
      <w:ind w:left="0"/>
      <w:jc w:val="left"/>
      <w:outlineLvl w:val="5"/>
    </w:pPr>
    <w:rPr>
      <w:rFonts w:ascii="Arial" w:eastAsia="等线" w:cs="Arial" w:hAnsi="Arial"/>
      <w:b/>
      <w:bCs/>
      <w:sz w:val="24"/>
      <w:szCs w:val="24"/>
      <w:lang w:val="en-US" w:eastAsia="zh-CN" w:bidi="ar-SA"/>
    </w:rPr>
  </w:style>
  <w:style w:type="character" w:default="1" w:styleId="10">
    <w:name w:val="Default Paragraph Font"/>
  </w:style>
  <w:style w:type="paragraph" w:styleId="15">
    <w:name w:val="footnote text"/>
    <w:pPr>
      <w:spacing w:after="0" w:line="240" w:lineRule="auto"/>
    </w:pPr>
    <w:rPr>
      <w:rFonts w:ascii="Times New Roman" w:eastAsia="宋体" w:cs="Times New Roman" w:hAnsi="Times New Roman"/>
      <w:sz w:val="20"/>
      <w:szCs w:val="20"/>
      <w:lang w:val="en-US" w:eastAsia="zh-CN" w:bidi="ar-SA"/>
    </w:rPr>
  </w:style>
  <w:style w:type="paragraph" w:styleId="16">
    <w:name w:val="Title"/>
    <w:pPr>
      <w:spacing w:before="480" w:after="480" w:line="288" w:lineRule="auto"/>
      <w:ind w:left="0"/>
    </w:pPr>
    <w:rPr>
      <w:rFonts w:ascii="Arial" w:eastAsia="等线" w:cs="Arial" w:hAnsi="Arial"/>
      <w:b/>
      <w:bCs/>
      <w:sz w:val="52"/>
      <w:szCs w:val="52"/>
      <w:lang w:val="en-US" w:eastAsia="zh-CN" w:bidi="ar-SA"/>
    </w:rPr>
  </w:style>
  <w:style w:type="character" w:styleId="17">
    <w:name w:val="Hyperlink"/>
    <w:rPr>
      <w:color w:val="0563C1"/>
      <w:u w:val="single"/>
    </w:rPr>
  </w:style>
  <w:style w:type="character" w:styleId="18">
    <w:name w:val="footnote reference"/>
    <w:rPr>
      <w:vertAlign w:val="superscript"/>
    </w:rPr>
  </w:style>
  <w:style w:type="paragraph" w:customStyle="1" w:styleId="19">
    <w:name w:val="List Paragraph"/>
    <w:rPr>
      <w:rFonts w:ascii="Times New Roman" w:eastAsia="宋体" w:cs="Times New Roman" w:hAnsi="Times New Roman"/>
      <w:sz w:val="21"/>
      <w:szCs w:val="22"/>
      <w:lang w:val="en-US" w:eastAsia="zh-CN" w:bidi="ar-SA"/>
    </w:rPr>
  </w:style>
  <w:style w:type="paragraph" w:customStyle="1" w:styleId="20">
    <w:name w:val="_Style 13"/>
    <w:pPr>
      <w:spacing w:before="120" w:after="120" w:line="288" w:lineRule="auto"/>
      <w:ind w:left="0"/>
      <w:jc w:val="left"/>
    </w:pPr>
    <w:rPr>
      <w:rFonts w:ascii="Arial" w:eastAsia="等线" w:cs="Arial" w:hAnsi="Arial"/>
      <w:sz w:val="22"/>
      <w:szCs w:val="22"/>
      <w:lang w:val="en-US" w:eastAsia="zh-CN" w:bidi="ar-SA"/>
    </w:rPr>
  </w:style>
  <w:style w:type="paragraph" w:customStyle="1" w:styleId="21">
    <w:name w:val="_Style 14"/>
    <w:pPr>
      <w:spacing w:before="120" w:after="120" w:line="288" w:lineRule="auto"/>
      <w:ind w:left="0"/>
      <w:jc w:val="left"/>
    </w:pPr>
    <w:rPr>
      <w:rFonts w:ascii="Arial" w:eastAsia="等线" w:cs="Arial" w:hAnsi="Arial"/>
      <w:color w:val="8F959E"/>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938</TotalTime>
  <Application>Yozo_Office</Application>
  <Pages>3</Pages>
  <Words>1052</Words>
  <Characters>1216</Characters>
  <Lines>73</Lines>
  <Paragraphs>43</Paragraphs>
  <CharactersWithSpaces>1274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Un-named</dc:creator>
  <cp:lastModifiedBy>陈冠武</cp:lastModifiedBy>
  <cp:revision>1</cp:revision>
  <dcterms:created xsi:type="dcterms:W3CDTF">2025-04-12T05:13:00Z</dcterms:created>
  <dcterms:modified xsi:type="dcterms:W3CDTF">2025-07-18T04:56:25Z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eyJoZGlkIjoiOWI5YTliYjM3ZjljNThiZWY3MGI0NzdkZjAyNjNkZjkiLCJ1c2VySWQiOiIzODk4MTkzMjYifQ==</vt:lpwstr>
  </property>
  <property fmtid="{D5CDD505-2E9C-101B-9397-08002B2CF9AE}" pid="3" name="KSOProductBuildVer">
    <vt:lpwstr>2052-12.1.0.20784</vt:lpwstr>
  </property>
  <property fmtid="{D5CDD505-2E9C-101B-9397-08002B2CF9AE}" pid="4" name="ICV">
    <vt:lpwstr>E96B75836E404772AA8D735D8EC17C01_12</vt:lpwstr>
  </property>
</Properties>
</file>