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pStyle w:val="20"/>
        <w:spacing w:line="560" w:lineRule="exact"/>
        <w:ind w:left="0"/>
        <w:jc w:val="center"/>
        <w:rPr>
          <w:rFonts w:ascii="方正小标宋_GBK" w:eastAsia="方正小标宋_GBK" w:hint="eastAsia"/>
          <w:sz w:val="44"/>
          <w:szCs w:val="44"/>
        </w:rPr>
      </w:pPr>
    </w:p>
    <w:p>
      <w:pPr>
        <w:pStyle w:val="20"/>
        <w:spacing w:line="0" w:lineRule="atLeast"/>
        <w:ind w:left="0"/>
        <w:jc w:val="center"/>
        <w:rPr>
          <w:rFonts w:ascii="方正小标宋_GBK" w:eastAsia="方正小标宋_GBK"/>
          <w:sz w:val="44"/>
          <w:szCs w:val="44"/>
          <w:lang w:val="zh-CN" w:eastAsia="zh-CN" w:bidi="ar-SA"/>
        </w:rPr>
      </w:pPr>
      <w:r>
        <w:rPr>
          <w:rFonts w:ascii="方正小标宋_GBK" w:eastAsia="方正小标宋_GBK" w:hint="eastAsia"/>
          <w:sz w:val="44"/>
          <w:szCs w:val="44"/>
          <w:lang w:val="zh-CN" w:eastAsia="zh-CN" w:bidi="ar-SA"/>
        </w:rPr>
        <w:t>澄海海关工会2025年中秋国庆节慰问品</w:t>
      </w:r>
    </w:p>
    <w:p>
      <w:pPr>
        <w:pStyle w:val="20"/>
        <w:spacing w:line="0" w:lineRule="atLeast"/>
        <w:ind w:left="0"/>
        <w:jc w:val="center"/>
        <w:rPr>
          <w:rFonts w:ascii="方正小标宋_GBK" w:eastAsia="方正小标宋_GBK"/>
          <w:sz w:val="44"/>
          <w:szCs w:val="44"/>
          <w:lang w:val="zh-CN" w:eastAsia="zh-CN" w:bidi="ar-SA"/>
        </w:rPr>
      </w:pPr>
      <w:r>
        <w:rPr>
          <w:rFonts w:ascii="方正小标宋_GBK" w:eastAsia="方正小标宋_GBK" w:hint="eastAsia"/>
          <w:sz w:val="44"/>
          <w:szCs w:val="44"/>
          <w:lang w:val="zh-CN" w:eastAsia="zh-CN" w:bidi="ar-SA"/>
        </w:rPr>
        <w:t>配送服务项目评分标准表</w:t>
      </w:r>
    </w:p>
    <w:p>
      <w:pPr>
        <w:pStyle w:val="20"/>
        <w:spacing w:line="0" w:lineRule="atLeast"/>
        <w:ind w:left="0"/>
        <w:jc w:val="center"/>
        <w:rPr>
          <w:rFonts w:ascii="方正仿宋_GBK" w:eastAsia="方正仿宋_GBK"/>
          <w:sz w:val="32"/>
          <w:szCs w:val="32"/>
        </w:rPr>
      </w:pPr>
    </w:p>
    <w:p>
      <w:pPr>
        <w:pStyle w:val="20"/>
        <w:spacing w:line="400" w:lineRule="exact"/>
        <w:ind w:firstLineChars="200" w:firstLine="640"/>
        <w:rPr>
          <w:rFonts w:ascii="方正仿宋_GBK" w:eastAsia="方正仿宋_GBK" w:hint="eastAsia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根据评标原则，采用综合评分法对</w:t>
      </w:r>
      <w:r>
        <w:rPr>
          <w:rFonts w:ascii="方正仿宋_GBK" w:eastAsia="方正仿宋_GBK" w:cs="宋体" w:hint="eastAsia"/>
          <w:sz w:val="32"/>
          <w:szCs w:val="32"/>
        </w:rPr>
        <w:t>已通过初步评审的供应商响应文件进行评分，</w:t>
      </w:r>
      <w:r>
        <w:rPr>
          <w:rFonts w:ascii="方正仿宋_GBK" w:eastAsia="方正仿宋_GBK" w:hint="eastAsia"/>
          <w:sz w:val="32"/>
          <w:szCs w:val="32"/>
        </w:rPr>
        <w:t>所有响应文</w:t>
      </w:r>
      <w:bookmarkStart w:id="0" w:name="_GoBack"/>
      <w:bookmarkEnd w:id="0"/>
      <w:r>
        <w:rPr>
          <w:rFonts w:ascii="方正仿宋_GBK" w:eastAsia="方正仿宋_GBK" w:hint="eastAsia"/>
          <w:sz w:val="32"/>
          <w:szCs w:val="32"/>
        </w:rPr>
        <w:t>件的评分按价格部分、商务部分和技术部分三个部分分别打分的方式进行。</w:t>
      </w:r>
    </w:p>
    <w:p>
      <w:pPr>
        <w:pStyle w:val="20"/>
        <w:spacing w:line="400" w:lineRule="exact"/>
        <w:ind w:firstLineChars="200" w:firstLine="640"/>
        <w:rPr>
          <w:rFonts w:ascii="方正仿宋_GBK" w:eastAsia="方正仿宋_GBK" w:hint="eastAsia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评标总得分=技术部分+商务部分+价格部分。</w:t>
      </w:r>
    </w:p>
    <w:p>
      <w:pPr>
        <w:pStyle w:val="20"/>
        <w:spacing w:line="400" w:lineRule="exact"/>
        <w:ind w:firstLineChars="200" w:firstLine="640"/>
        <w:rPr>
          <w:rFonts w:ascii="方正仿宋_GBK" w:eastAsia="方正仿宋_GBK" w:hint="eastAsia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评分因素分值表如下：</w:t>
      </w:r>
    </w:p>
    <w:p>
      <w:pPr>
        <w:pStyle w:val="17"/>
        <w:spacing w:line="400" w:lineRule="exact"/>
        <w:ind w:firstLineChars="200" w:firstLine="640"/>
        <w:rPr>
          <w:rFonts w:ascii="方正黑体_GBK" w:eastAsia="方正黑体_GBK" w:hint="eastAsia"/>
          <w:b/>
          <w:bCs/>
          <w:sz w:val="32"/>
          <w:szCs w:val="32"/>
        </w:rPr>
      </w:pPr>
      <w:r>
        <w:rPr>
          <w:rFonts w:ascii="方正黑体_GBK" w:eastAsia="方正黑体_GBK" w:hint="eastAsia"/>
          <w:b/>
          <w:bCs/>
          <w:sz w:val="32"/>
          <w:szCs w:val="32"/>
        </w:rPr>
        <w:t>一、价格部分（满分</w:t>
      </w:r>
      <w:r>
        <w:rPr>
          <w:rFonts w:ascii="方正黑体_GBK" w:eastAsia="方正黑体_GBK"/>
          <w:b/>
          <w:bCs/>
          <w:sz w:val="32"/>
          <w:szCs w:val="32"/>
        </w:rPr>
        <w:t>3</w:t>
      </w:r>
      <w:r>
        <w:rPr>
          <w:rFonts w:ascii="方正黑体_GBK" w:eastAsia="方正黑体_GBK" w:hint="eastAsia"/>
          <w:b/>
          <w:bCs/>
          <w:sz w:val="32"/>
          <w:szCs w:val="32"/>
        </w:rPr>
        <w:t>0分）</w:t>
      </w:r>
    </w:p>
    <w:tbl>
      <w:tblPr>
        <w:jc w:val="center"/>
        <w:tblW w:w="845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95"/>
        <w:gridCol w:w="4290"/>
        <w:gridCol w:w="2171"/>
      </w:tblGrid>
      <w:tr>
        <w:trPr>
          <w:trHeight w:val="527"/>
        </w:trPr>
        <w:tc>
          <w:tcPr>
            <w:tcW w:w="19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19"/>
              <w:widowControl/>
              <w:spacing w:line="400" w:lineRule="exact"/>
              <w:jc w:val="center"/>
              <w:rPr>
                <w:rFonts w:cs="宋体"/>
                <w:b/>
                <w:kern w:val="0"/>
                <w:szCs w:val="21"/>
              </w:rPr>
            </w:pPr>
            <w:r>
              <w:rPr>
                <w:rFonts w:ascii="宋体" w:cs="宋体" w:hint="eastAsia"/>
                <w:b/>
                <w:kern w:val="0"/>
                <w:szCs w:val="21"/>
              </w:rPr>
              <w:t>评分项目</w:t>
            </w:r>
          </w:p>
        </w:tc>
        <w:tc>
          <w:tcPr>
            <w:tcW w:w="429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19"/>
              <w:widowControl/>
              <w:spacing w:line="400" w:lineRule="exact"/>
              <w:jc w:val="center"/>
              <w:rPr>
                <w:rFonts w:cs="宋体"/>
                <w:b/>
                <w:kern w:val="0"/>
                <w:szCs w:val="21"/>
              </w:rPr>
            </w:pPr>
            <w:r>
              <w:rPr>
                <w:rFonts w:ascii="宋体" w:cs="宋体" w:hint="eastAsia"/>
                <w:b/>
                <w:kern w:val="0"/>
                <w:szCs w:val="21"/>
              </w:rPr>
              <w:t>评分标准</w:t>
            </w:r>
          </w:p>
        </w:tc>
        <w:tc>
          <w:tcPr>
            <w:tcW w:w="217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19"/>
              <w:widowControl/>
              <w:spacing w:line="400" w:lineRule="exact"/>
              <w:jc w:val="center"/>
              <w:rPr>
                <w:rFonts w:cs="宋体"/>
                <w:b/>
                <w:kern w:val="0"/>
                <w:szCs w:val="21"/>
              </w:rPr>
            </w:pPr>
            <w:r>
              <w:rPr>
                <w:rFonts w:ascii="宋体" w:cs="宋体" w:hint="eastAsia"/>
                <w:b/>
                <w:kern w:val="0"/>
                <w:szCs w:val="21"/>
              </w:rPr>
              <w:t>分值</w:t>
            </w:r>
          </w:p>
        </w:tc>
      </w:tr>
      <w:tr>
        <w:trPr>
          <w:trHeight w:val="2048"/>
        </w:trPr>
        <w:tc>
          <w:tcPr>
            <w:tcW w:w="199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19"/>
              <w:widowControl/>
              <w:spacing w:line="400" w:lineRule="exact"/>
              <w:rPr>
                <w:rFonts w:cs="宋体"/>
                <w:kern w:val="0"/>
                <w:szCs w:val="21"/>
              </w:rPr>
            </w:pPr>
            <w:r>
              <w:rPr>
                <w:rFonts w:ascii="宋体" w:cs="宋体" w:hint="eastAsia"/>
                <w:kern w:val="0"/>
                <w:szCs w:val="21"/>
              </w:rPr>
              <w:t>价格部分（</w:t>
            </w:r>
            <w:r>
              <w:rPr>
                <w:rFonts w:cs="宋体"/>
                <w:kern w:val="0"/>
                <w:szCs w:val="21"/>
              </w:rPr>
              <w:t>30</w:t>
            </w:r>
            <w:r>
              <w:rPr>
                <w:rFonts w:ascii="宋体" w:cs="宋体" w:hint="eastAsia"/>
                <w:kern w:val="0"/>
                <w:szCs w:val="21"/>
              </w:rPr>
              <w:t>分）</w:t>
            </w:r>
          </w:p>
        </w:tc>
        <w:tc>
          <w:tcPr>
            <w:tcW w:w="42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27"/>
              <w:widowControl/>
              <w:spacing w:line="400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/>
                <w:sz w:val="24"/>
              </w:rPr>
              <w:t>按优惠方案进行综合评分，优惠方案最优得30分，依次递减2分，最低分为10分。</w:t>
            </w:r>
          </w:p>
        </w:tc>
        <w:tc>
          <w:tcPr>
            <w:tcW w:w="21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30"/>
              <w:widowControl/>
              <w:spacing w:line="40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30分</w:t>
            </w:r>
          </w:p>
          <w:p>
            <w:pPr>
              <w:pStyle w:val="31"/>
              <w:widowControl/>
              <w:spacing w:line="40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</w:tr>
    </w:tbl>
    <w:p>
      <w:pPr>
        <w:pStyle w:val="17"/>
        <w:spacing w:line="400" w:lineRule="exact"/>
        <w:ind w:firstLineChars="200" w:firstLine="640"/>
        <w:rPr>
          <w:rFonts w:ascii="方正黑体_GBK" w:eastAsia="方正黑体_GBK" w:cs="宋体"/>
          <w:b/>
          <w:bCs/>
          <w:sz w:val="32"/>
          <w:szCs w:val="32"/>
        </w:rPr>
      </w:pPr>
    </w:p>
    <w:p>
      <w:pPr>
        <w:pStyle w:val="17"/>
        <w:spacing w:line="400" w:lineRule="exact"/>
        <w:ind w:left="0" w:firstLineChars="150" w:firstLine="480"/>
        <w:rPr>
          <w:rFonts w:ascii="方正黑体_GBK" w:eastAsia="方正黑体_GBK" w:cs="宋体" w:hint="eastAsia"/>
          <w:b/>
          <w:bCs/>
          <w:sz w:val="32"/>
          <w:szCs w:val="32"/>
        </w:rPr>
      </w:pPr>
      <w:r>
        <w:rPr>
          <w:rFonts w:ascii="方正黑体_GBK" w:eastAsia="方正黑体_GBK" w:cs="宋体" w:hint="eastAsia"/>
          <w:b/>
          <w:bCs/>
          <w:sz w:val="32"/>
          <w:szCs w:val="32"/>
        </w:rPr>
        <w:t>二、商务技术部分（满分</w:t>
      </w:r>
      <w:r>
        <w:rPr>
          <w:rFonts w:ascii="方正黑体_GBK" w:eastAsia="方正黑体_GBK" w:cs="宋体"/>
          <w:b/>
          <w:bCs/>
          <w:sz w:val="32"/>
          <w:szCs w:val="32"/>
        </w:rPr>
        <w:t>7</w:t>
      </w:r>
      <w:r>
        <w:rPr>
          <w:rFonts w:ascii="方正黑体_GBK" w:eastAsia="方正黑体_GBK" w:cs="宋体" w:hint="eastAsia"/>
          <w:b/>
          <w:bCs/>
          <w:sz w:val="32"/>
          <w:szCs w:val="32"/>
        </w:rPr>
        <w:t>0分）</w:t>
      </w:r>
    </w:p>
    <w:p>
      <w:pPr>
        <w:pStyle w:val="22"/>
        <w:keepNext w:val="0"/>
        <w:widowControl w:val="0"/>
        <w:numPr>
          <w:ilvl w:val="3"/>
          <w:numId w:val="1"/>
        </w:numPr>
        <w:tabs>
          <w:tab w:val="left" w:pos="0"/>
        </w:tabs>
        <w:spacing w:after="0" w:line="400" w:lineRule="exact"/>
        <w:ind w:left="360" w:firstLine="59"/>
        <w:rPr>
          <w:rFonts w:ascii="宋体"/>
          <w:sz w:val="24"/>
        </w:rPr>
      </w:pPr>
      <w:r>
        <w:rPr>
          <w:rFonts w:ascii="宋体" w:hint="eastAsia"/>
          <w:b/>
          <w:sz w:val="24"/>
        </w:rPr>
        <w:t>商务评分标准</w:t>
      </w:r>
    </w:p>
    <w:tbl>
      <w:tblPr>
        <w:jc w:val="center"/>
        <w:tblW w:w="853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9"/>
        <w:gridCol w:w="1134"/>
        <w:gridCol w:w="3260"/>
        <w:gridCol w:w="709"/>
        <w:gridCol w:w="2349"/>
      </w:tblGrid>
      <w:tr>
        <w:trPr>
          <w:trHeight w:val="740"/>
        </w:trPr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</w:rPr>
            </w:pPr>
            <w:r>
              <w:rPr>
                <w:rFonts w:ascii="微软雅黑" w:eastAsia="微软雅黑" w:cs="宋体" w:hint="eastAsia"/>
                <w:b/>
                <w:bCs/>
                <w:sz w:val="20"/>
                <w:szCs w:val="20"/>
              </w:rPr>
              <w:t>评分项目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</w:rPr>
            </w:pPr>
            <w:r>
              <w:rPr>
                <w:rFonts w:ascii="微软雅黑" w:eastAsia="微软雅黑" w:cs="宋体" w:hint="eastAsia"/>
                <w:b/>
                <w:bCs/>
                <w:sz w:val="20"/>
                <w:szCs w:val="20"/>
              </w:rPr>
              <w:t>内容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</w:rPr>
            </w:pPr>
            <w:r>
              <w:rPr>
                <w:rFonts w:ascii="微软雅黑" w:eastAsia="微软雅黑" w:cs="宋体" w:hint="eastAsia"/>
                <w:b/>
                <w:bCs/>
                <w:sz w:val="20"/>
                <w:szCs w:val="20"/>
              </w:rPr>
              <w:t>评分标准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</w:rPr>
            </w:pPr>
            <w:r>
              <w:rPr>
                <w:rFonts w:ascii="微软雅黑" w:eastAsia="微软雅黑" w:cs="宋体" w:hint="eastAsia"/>
                <w:b/>
                <w:bCs/>
                <w:sz w:val="20"/>
                <w:szCs w:val="20"/>
              </w:rPr>
              <w:t>分值</w:t>
            </w:r>
          </w:p>
        </w:tc>
        <w:tc>
          <w:tcPr>
            <w:tcW w:w="2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</w:rPr>
            </w:pPr>
            <w:r>
              <w:rPr>
                <w:rFonts w:ascii="微软雅黑" w:eastAsia="微软雅黑" w:cs="宋体" w:hint="eastAsia"/>
                <w:b/>
                <w:bCs/>
              </w:rPr>
              <w:t>证明文件</w:t>
            </w:r>
          </w:p>
        </w:tc>
      </w:tr>
      <w:tr>
        <w:trPr>
          <w:trHeight w:val="1124"/>
        </w:trPr>
        <w:tc>
          <w:tcPr>
            <w:tcW w:w="107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spacing w:line="400" w:lineRule="exact"/>
              <w:rPr>
                <w:rFonts w:ascii="宋体" w:cs="宋体"/>
              </w:rPr>
            </w:pPr>
            <w:r>
              <w:rPr>
                <w:rFonts w:ascii="宋体" w:cs="宋体" w:hint="eastAsia"/>
              </w:rPr>
              <w:t>商务部分</w:t>
              <w:br/>
              <w:t>（</w:t>
            </w:r>
            <w:r>
              <w:rPr>
                <w:rFonts w:ascii="宋体" w:cs="宋体"/>
              </w:rPr>
              <w:t>3</w:t>
            </w:r>
            <w:r>
              <w:rPr>
                <w:rFonts w:ascii="宋体" w:cs="宋体" w:hint="eastAsia"/>
              </w:rPr>
              <w:t>0分）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spacing w:line="400" w:lineRule="exact"/>
              <w:rPr>
                <w:rFonts w:ascii="宋体" w:cs="宋体"/>
              </w:rPr>
            </w:pPr>
            <w:r>
              <w:rPr>
                <w:rFonts w:ascii="宋体" w:cs="宋体" w:hint="eastAsia"/>
              </w:rPr>
              <w:t>社会公开电商平台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spacing w:line="400" w:lineRule="exact"/>
              <w:rPr>
                <w:rFonts w:ascii="宋体"/>
              </w:rPr>
            </w:pPr>
            <w:r>
              <w:rPr>
                <w:rFonts w:ascii="宋体" w:hint="eastAsia"/>
              </w:rPr>
              <w:t>供应商具有面向全社会公开的电子商务网络购物平台，支持在线结算、转账、微信等多种支付方式</w:t>
            </w:r>
            <w:r>
              <w:rPr>
                <w:rFonts w:ascii="宋体" w:hint="eastAsia"/>
                <w:color w:val="000000"/>
              </w:rPr>
              <w:t>。</w:t>
            </w:r>
          </w:p>
          <w:p>
            <w:pPr>
              <w:spacing w:line="400" w:lineRule="exact"/>
              <w:rPr>
                <w:rFonts w:ascii="宋体"/>
              </w:rPr>
            </w:pPr>
            <w:r>
              <w:rPr>
                <w:rFonts w:ascii="宋体" w:cs="宋体" w:hint="eastAsia"/>
              </w:rPr>
              <w:t>①</w:t>
            </w:r>
            <w:r>
              <w:rPr>
                <w:rFonts w:ascii="宋体" w:hint="eastAsia"/>
              </w:rPr>
              <w:t>满足需求得1</w:t>
            </w:r>
            <w:r>
              <w:rPr>
                <w:rFonts w:ascii="宋体"/>
              </w:rPr>
              <w:t>0</w:t>
            </w:r>
            <w:r>
              <w:rPr>
                <w:rFonts w:ascii="宋体" w:hint="eastAsia"/>
              </w:rPr>
              <w:t>分；</w:t>
            </w:r>
          </w:p>
          <w:p>
            <w:pPr>
              <w:spacing w:line="400" w:lineRule="exact"/>
              <w:rPr>
                <w:rFonts w:ascii="宋体"/>
              </w:rPr>
            </w:pPr>
            <w:r>
              <w:rPr>
                <w:rFonts w:ascii="宋体" w:cs="宋体" w:hint="eastAsia"/>
              </w:rPr>
              <w:t>②</w:t>
            </w:r>
            <w:r>
              <w:rPr>
                <w:rFonts w:ascii="宋体" w:hint="eastAsia"/>
              </w:rPr>
              <w:t>其他情况不得分。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1</w:t>
            </w:r>
            <w:r>
              <w:rPr>
                <w:rFonts w:ascii="宋体"/>
              </w:rPr>
              <w:t>0分</w:t>
            </w:r>
          </w:p>
        </w:tc>
        <w:tc>
          <w:tcPr>
            <w:tcW w:w="2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spacing w:line="400" w:lineRule="exact"/>
              <w:ind w:firstLineChars="100" w:firstLine="210"/>
              <w:rPr>
                <w:rFonts w:ascii="宋体"/>
              </w:rPr>
            </w:pPr>
            <w:r>
              <w:rPr>
                <w:rFonts w:ascii="宋体" w:hint="eastAsia"/>
              </w:rPr>
              <w:t>网站截图</w:t>
            </w:r>
            <w:r>
              <w:rPr>
                <w:rFonts w:ascii="宋体" w:cs="宋体" w:hint="eastAsia"/>
              </w:rPr>
              <w:t>并加盖供应商公章</w:t>
            </w:r>
          </w:p>
        </w:tc>
      </w:tr>
      <w:tr>
        <w:trPr>
          <w:trHeight w:val="1871"/>
        </w:trPr>
        <w:tc>
          <w:tcPr>
            <w:tcW w:w="11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/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000000" w:fill="FFFFFF"/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</w:rPr>
            </w:pPr>
            <w:r>
              <w:rPr>
                <w:rFonts w:ascii="宋体" w:cs="宋体" w:hint="eastAsia"/>
              </w:rPr>
              <w:t>供应商管理体系认证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000000" w:fill="FFFFFF"/>
            <w:vAlign w:val="center"/>
          </w:tcPr>
          <w:p>
            <w:pPr>
              <w:spacing w:line="400" w:lineRule="exact"/>
              <w:textAlignment w:val="center"/>
              <w:rPr>
                <w:rFonts w:ascii="宋体" w:cs="宋体"/>
              </w:rPr>
            </w:pPr>
            <w:r>
              <w:rPr>
                <w:rFonts w:ascii="宋体" w:hint="eastAsia"/>
              </w:rPr>
              <w:t>供应商具有质量管理体系认证ISO9001、环境管理体系认证ISO14001、职业健康安全管理体系认证OHSAS18001</w:t>
            </w:r>
            <w:r>
              <w:rPr>
                <w:rFonts w:ascii="宋体"/>
              </w:rPr>
              <w:t>、食品安全管理体系认证ISO22000、五星级售后服务认证证书</w:t>
            </w:r>
            <w:r>
              <w:rPr>
                <w:rFonts w:ascii="宋体" w:hint="eastAsia"/>
              </w:rPr>
              <w:t>，且在有效期内。</w:t>
            </w:r>
            <w:r>
              <w:rPr>
                <w:rFonts w:ascii="宋体"/>
              </w:rPr>
              <w:t>每提供一个得2分，最好得10分</w:t>
            </w:r>
            <w:r>
              <w:rPr>
                <w:rFonts w:ascii="宋体" w:cs="宋体" w:hint="eastAsia"/>
              </w:rPr>
              <w:t>。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000000" w:fill="FFFFFF"/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</w:rPr>
            </w:pPr>
            <w:r>
              <w:rPr>
                <w:rFonts w:ascii="宋体" w:cs="宋体" w:hint="eastAsia"/>
              </w:rPr>
              <w:t>1</w:t>
            </w:r>
            <w:r>
              <w:rPr>
                <w:rFonts w:ascii="宋体" w:cs="宋体"/>
              </w:rPr>
              <w:t>0分</w:t>
            </w:r>
          </w:p>
        </w:tc>
        <w:tc>
          <w:tcPr>
            <w:tcW w:w="2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000000" w:fill="FFFFFF"/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</w:rPr>
            </w:pPr>
            <w:r>
              <w:rPr>
                <w:rFonts w:ascii="宋体" w:cs="宋体" w:hint="eastAsia"/>
              </w:rPr>
              <w:t>提供</w:t>
            </w:r>
            <w:r>
              <w:rPr>
                <w:rFonts w:ascii="宋体" w:cs="宋体"/>
              </w:rPr>
              <w:t>有效</w:t>
            </w:r>
            <w:r>
              <w:rPr>
                <w:rFonts w:ascii="宋体" w:cs="宋体" w:hint="eastAsia"/>
              </w:rPr>
              <w:t>证书复印件并加盖供应商公章</w:t>
            </w:r>
          </w:p>
        </w:tc>
      </w:tr>
      <w:tr>
        <w:trPr>
          <w:trHeight w:val="1871"/>
        </w:trPr>
        <w:tc>
          <w:tcPr>
            <w:tcW w:w="11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/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000000" w:fill="FFFFFF"/>
            <w:vAlign w:val="center"/>
          </w:tcPr>
          <w:p>
            <w:pPr>
              <w:spacing w:line="400" w:lineRule="exact"/>
              <w:rPr>
                <w:rFonts w:ascii="宋体" w:cs="宋体"/>
              </w:rPr>
            </w:pPr>
            <w:r>
              <w:rPr>
                <w:rFonts w:ascii="宋体" w:cs="宋体"/>
              </w:rPr>
              <w:t>业绩情况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000000" w:fill="FFFFFF"/>
            <w:vAlign w:val="center"/>
          </w:tcPr>
          <w:p>
            <w:pPr>
              <w:spacing w:line="400" w:lineRule="exact"/>
              <w:rPr>
                <w:rFonts w:ascii="宋体"/>
              </w:rPr>
            </w:pPr>
            <w:r>
              <w:rPr>
                <w:rFonts w:ascii="宋体" w:hint="eastAsia"/>
              </w:rPr>
              <w:t>供应商提供开标时间前近三年（以合同签订时间为准）以来线上合作类似的业绩合同，每个得2分，最高得10分。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000000" w:fill="FFFFFF"/>
            <w:vAlign w:val="center"/>
          </w:tcPr>
          <w:p>
            <w:pPr>
              <w:spacing w:line="400" w:lineRule="exact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10</w:t>
            </w:r>
            <w:r>
              <w:rPr>
                <w:rFonts w:ascii="宋体"/>
              </w:rPr>
              <w:t>分</w:t>
            </w:r>
          </w:p>
        </w:tc>
        <w:tc>
          <w:tcPr>
            <w:tcW w:w="2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000000" w:fill="FFFFFF"/>
            <w:vAlign w:val="center"/>
          </w:tcPr>
          <w:p>
            <w:pPr>
              <w:spacing w:line="400" w:lineRule="exact"/>
              <w:rPr>
                <w:rFonts w:ascii="宋体"/>
              </w:rPr>
            </w:pPr>
            <w:r>
              <w:rPr>
                <w:rFonts w:ascii="宋体" w:hint="eastAsia"/>
              </w:rPr>
              <w:t>提供线上合作业绩证明</w:t>
            </w:r>
            <w:r>
              <w:rPr>
                <w:rFonts w:ascii="宋体"/>
              </w:rPr>
              <w:t>加盖供应商公章（</w:t>
            </w:r>
            <w:r>
              <w:rPr>
                <w:rFonts w:ascii="宋体" w:hint="eastAsia"/>
              </w:rPr>
              <w:t>包括合作商城截图和项目合同复印件</w:t>
            </w:r>
            <w:r>
              <w:rPr>
                <w:rFonts w:ascii="宋体"/>
              </w:rPr>
              <w:t>）</w:t>
            </w:r>
            <w:r>
              <w:rPr>
                <w:rFonts w:ascii="宋体" w:hint="eastAsia"/>
              </w:rPr>
              <w:t>。</w:t>
            </w:r>
          </w:p>
        </w:tc>
      </w:tr>
    </w:tbl>
    <w:p>
      <w:pPr>
        <w:pStyle w:val="22"/>
        <w:keepNext w:val="0"/>
        <w:widowControl w:val="0"/>
        <w:spacing w:after="0" w:line="400" w:lineRule="exact"/>
        <w:rPr>
          <w:rFonts w:ascii="宋体"/>
          <w:b/>
          <w:bCs/>
          <w:sz w:val="24"/>
        </w:rPr>
      </w:pPr>
      <w:r>
        <w:rPr>
          <w:rFonts w:ascii="宋体" w:hint="eastAsia"/>
          <w:b/>
          <w:bCs/>
          <w:sz w:val="24"/>
        </w:rPr>
        <w:t>2、技术评分标准</w:t>
      </w:r>
    </w:p>
    <w:tbl>
      <w:tblPr>
        <w:jc w:val="center"/>
        <w:tblW w:w="850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5"/>
        <w:gridCol w:w="1418"/>
        <w:gridCol w:w="3884"/>
        <w:gridCol w:w="851"/>
        <w:gridCol w:w="1217"/>
      </w:tblGrid>
      <w:tr>
        <w:trPr>
          <w:trHeight w:val="765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b/>
                <w:bCs/>
              </w:rPr>
            </w:pPr>
            <w:r>
              <w:rPr>
                <w:rFonts w:ascii="宋体" w:cs="宋体" w:hint="eastAsia"/>
                <w:b/>
                <w:bCs/>
              </w:rPr>
              <w:t>评分项目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b/>
                <w:bCs/>
              </w:rPr>
            </w:pPr>
            <w:r>
              <w:rPr>
                <w:rFonts w:ascii="宋体" w:cs="宋体" w:hint="eastAsia"/>
                <w:b/>
                <w:bCs/>
              </w:rPr>
              <w:t>内容</w:t>
            </w:r>
          </w:p>
        </w:tc>
        <w:tc>
          <w:tcPr>
            <w:tcW w:w="38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b/>
                <w:bCs/>
              </w:rPr>
            </w:pPr>
            <w:r>
              <w:rPr>
                <w:rFonts w:ascii="宋体" w:cs="宋体" w:hint="eastAsia"/>
                <w:b/>
                <w:bCs/>
              </w:rPr>
              <w:t>评分标准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b/>
                <w:bCs/>
              </w:rPr>
            </w:pPr>
            <w:r>
              <w:rPr>
                <w:rFonts w:ascii="宋体" w:cs="宋体" w:hint="eastAsia"/>
                <w:b/>
                <w:bCs/>
              </w:rPr>
              <w:t>分值</w:t>
            </w:r>
          </w:p>
        </w:tc>
        <w:tc>
          <w:tcPr>
            <w:tcW w:w="12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b/>
                <w:bCs/>
              </w:rPr>
            </w:pPr>
            <w:r>
              <w:rPr>
                <w:rFonts w:ascii="宋体" w:cs="宋体" w:hint="eastAsia"/>
                <w:b/>
                <w:bCs/>
              </w:rPr>
              <w:t>证明文件</w:t>
            </w:r>
          </w:p>
        </w:tc>
      </w:tr>
      <w:tr>
        <w:trPr>
          <w:trHeight w:val="765"/>
        </w:trPr>
        <w:tc>
          <w:tcPr>
            <w:tcW w:w="1135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spacing w:line="400" w:lineRule="exact"/>
            </w:pPr>
            <w:r>
              <w:rPr>
                <w:rFonts w:hint="eastAsia"/>
              </w:rPr>
              <w:t>技术部分(40分)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</w:rPr>
            </w:pPr>
            <w:r>
              <w:rPr>
                <w:rFonts w:ascii="宋体" w:cs="宋体" w:hint="eastAsia"/>
              </w:rPr>
              <w:t>供货方案</w:t>
            </w:r>
          </w:p>
        </w:tc>
        <w:tc>
          <w:tcPr>
            <w:tcW w:w="38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spacing w:line="400" w:lineRule="exact"/>
              <w:rPr>
                <w:rFonts w:ascii="宋体" w:cs="宋体"/>
              </w:rPr>
            </w:pPr>
            <w:r>
              <w:rPr>
                <w:rFonts w:ascii="宋体" w:cs="宋体"/>
              </w:rPr>
              <w:t>根据</w:t>
            </w:r>
            <w:r>
              <w:rPr>
                <w:rFonts w:ascii="宋体" w:cs="宋体" w:hint="eastAsia"/>
              </w:rPr>
              <w:t>供应商</w:t>
            </w:r>
            <w:r>
              <w:rPr>
                <w:rFonts w:ascii="宋体" w:cs="宋体"/>
              </w:rPr>
              <w:t>提供的</w:t>
            </w:r>
            <w:r>
              <w:rPr>
                <w:rFonts w:ascii="宋体" w:cs="宋体" w:hint="eastAsia"/>
              </w:rPr>
              <w:t>供货实施方案及承诺（</w:t>
            </w:r>
            <w:r>
              <w:rPr>
                <w:rFonts w:ascii="宋体" w:cs="宋体"/>
              </w:rPr>
              <w:t>包括但不限于包邮起送价格、配送时效、</w:t>
            </w:r>
            <w:r>
              <w:rPr>
                <w:rFonts w:ascii="宋体" w:cs="宋体" w:hint="eastAsia"/>
              </w:rPr>
              <w:t>未落入包邮价订单</w:t>
            </w:r>
            <w:r>
              <w:rPr>
                <w:rFonts w:ascii="宋体" w:cs="宋体"/>
              </w:rPr>
              <w:t>的运费、生鲜物品配送等</w:t>
            </w:r>
            <w:r>
              <w:rPr>
                <w:rFonts w:ascii="宋体" w:cs="宋体" w:hint="eastAsia"/>
              </w:rPr>
              <w:t>）</w:t>
            </w:r>
            <w:r>
              <w:rPr>
                <w:rFonts w:ascii="宋体" w:cs="宋体"/>
              </w:rPr>
              <w:t>进行评审：</w:t>
            </w:r>
          </w:p>
          <w:p>
            <w:pPr>
              <w:spacing w:line="400" w:lineRule="exact"/>
              <w:rPr>
                <w:rFonts w:ascii="宋体" w:cs="宋体"/>
              </w:rPr>
            </w:pPr>
            <w:r>
              <w:rPr>
                <w:rFonts w:ascii="宋体" w:cs="宋体" w:hint="eastAsia"/>
              </w:rPr>
              <w:t>①</w:t>
            </w:r>
            <w:r>
              <w:rPr>
                <w:rFonts w:ascii="宋体" w:cs="宋体"/>
              </w:rPr>
              <w:t>供货</w:t>
            </w:r>
            <w:r>
              <w:rPr>
                <w:rFonts w:ascii="宋体" w:cs="宋体" w:hint="eastAsia"/>
              </w:rPr>
              <w:t>方案非常详尽、完善，完全满足采购需求的、可行性非常强的，得15分；</w:t>
            </w:r>
          </w:p>
          <w:p>
            <w:pPr>
              <w:spacing w:line="400" w:lineRule="exact"/>
              <w:rPr>
                <w:rFonts w:ascii="宋体" w:cs="宋体"/>
              </w:rPr>
            </w:pPr>
            <w:r>
              <w:rPr>
                <w:rFonts w:ascii="宋体" w:cs="宋体" w:hint="eastAsia"/>
              </w:rPr>
              <w:t>②</w:t>
            </w:r>
            <w:r>
              <w:rPr>
                <w:rFonts w:ascii="宋体" w:cs="宋体"/>
              </w:rPr>
              <w:t>供货</w:t>
            </w:r>
            <w:r>
              <w:rPr>
                <w:rFonts w:ascii="宋体" w:cs="宋体" w:hint="eastAsia"/>
              </w:rPr>
              <w:t>方案详尽、完善，满足采购需求的、可行性强的，得10分；</w:t>
            </w:r>
          </w:p>
          <w:p>
            <w:pPr>
              <w:spacing w:line="400" w:lineRule="exact"/>
              <w:rPr>
                <w:rFonts w:ascii="宋体" w:cs="宋体"/>
              </w:rPr>
            </w:pPr>
            <w:r>
              <w:rPr>
                <w:rFonts w:ascii="宋体" w:cs="宋体" w:hint="eastAsia"/>
              </w:rPr>
              <w:t>③</w:t>
            </w:r>
            <w:r>
              <w:rPr>
                <w:rFonts w:ascii="宋体" w:cs="宋体"/>
              </w:rPr>
              <w:t>供货</w:t>
            </w:r>
            <w:r>
              <w:rPr>
                <w:rFonts w:ascii="宋体" w:cs="宋体" w:hint="eastAsia"/>
              </w:rPr>
              <w:t>方案基本详尽、完善，基本符合采购需求的、可行性一般的，得5分；</w:t>
            </w:r>
          </w:p>
          <w:p>
            <w:pPr>
              <w:spacing w:line="400" w:lineRule="exact"/>
              <w:rPr>
                <w:rFonts w:ascii="宋体" w:cs="宋体"/>
              </w:rPr>
            </w:pPr>
            <w:r>
              <w:rPr>
                <w:rFonts w:ascii="宋体" w:cs="宋体" w:hint="eastAsia"/>
              </w:rPr>
              <w:t>④</w:t>
            </w:r>
            <w:r>
              <w:rPr>
                <w:rFonts w:ascii="宋体" w:cs="宋体"/>
              </w:rPr>
              <w:t>供货</w:t>
            </w:r>
            <w:r>
              <w:rPr>
                <w:rFonts w:ascii="宋体" w:cs="宋体" w:hint="eastAsia"/>
              </w:rPr>
              <w:t>方案不够详尽、完善，部分符合采购需求的、可行性较一般的，得1分；</w:t>
            </w:r>
          </w:p>
          <w:p>
            <w:pPr>
              <w:spacing w:line="400" w:lineRule="exact"/>
              <w:rPr>
                <w:rFonts w:ascii="宋体" w:cs="宋体"/>
              </w:rPr>
            </w:pPr>
            <w:r>
              <w:rPr>
                <w:rFonts w:ascii="宋体" w:cs="宋体" w:hint="eastAsia"/>
              </w:rPr>
              <w:t>⑤未提供方案的不得分。</w:t>
            </w:r>
          </w:p>
          <w:p>
            <w:pPr>
              <w:spacing w:line="400" w:lineRule="exact"/>
              <w:rPr>
                <w:rFonts w:ascii="宋体"/>
                <w:b/>
                <w:bCs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</w:rPr>
            </w:pPr>
            <w:r>
              <w:rPr>
                <w:rFonts w:ascii="宋体" w:cs="宋体" w:hint="eastAsia"/>
              </w:rPr>
              <w:t>15</w:t>
            </w:r>
            <w:r>
              <w:rPr>
                <w:rFonts w:ascii="宋体" w:cs="宋体"/>
              </w:rPr>
              <w:t>分</w:t>
            </w:r>
          </w:p>
        </w:tc>
        <w:tc>
          <w:tcPr>
            <w:tcW w:w="12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</w:rPr>
            </w:pPr>
            <w:r>
              <w:rPr>
                <w:rFonts w:ascii="宋体" w:cs="宋体" w:hint="eastAsia"/>
              </w:rPr>
              <w:t>　</w:t>
            </w:r>
          </w:p>
        </w:tc>
      </w:tr>
      <w:tr>
        <w:trPr>
          <w:trHeight w:val="765"/>
        </w:trPr>
        <w:tc>
          <w:tcPr>
            <w:tcW w:w="113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  <w:tl2br w:val="nil"/>
              <w:tr2bl w:val="nil"/>
            </w:tcBorders>
            <w:vAlign w:val="center"/>
          </w:tcPr>
          <w:p/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</w:rPr>
            </w:pPr>
            <w:r>
              <w:rPr>
                <w:rFonts w:ascii="宋体" w:cs="宋体" w:hint="eastAsia"/>
              </w:rPr>
              <w:t>售后服务</w:t>
            </w:r>
          </w:p>
          <w:p>
            <w:pPr>
              <w:spacing w:line="400" w:lineRule="exact"/>
              <w:jc w:val="center"/>
              <w:rPr>
                <w:rFonts w:ascii="宋体" w:cs="宋体"/>
              </w:rPr>
            </w:pPr>
            <w:r>
              <w:rPr>
                <w:rFonts w:ascii="宋体" w:cs="宋体" w:hint="eastAsia"/>
              </w:rPr>
              <w:t>方案</w:t>
            </w:r>
          </w:p>
        </w:tc>
        <w:tc>
          <w:tcPr>
            <w:tcW w:w="38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spacing w:line="400" w:lineRule="exact"/>
              <w:rPr>
                <w:rFonts w:ascii="宋体"/>
              </w:rPr>
            </w:pPr>
            <w:r>
              <w:rPr>
                <w:rFonts w:ascii="宋体"/>
              </w:rPr>
              <w:t>根据供应商提供</w:t>
            </w:r>
            <w:r>
              <w:rPr>
                <w:rFonts w:ascii="宋体" w:hint="eastAsia"/>
              </w:rPr>
              <w:t>售后服务方案</w:t>
            </w:r>
            <w:r>
              <w:rPr>
                <w:rFonts w:ascii="宋体"/>
              </w:rPr>
              <w:t>（包括但不限于</w:t>
            </w:r>
            <w:r>
              <w:rPr>
                <w:rFonts w:ascii="宋体" w:hint="eastAsia"/>
              </w:rPr>
              <w:t>退换货政策、上门服务、符合国家三包政策、售后维护、客服专线服务、在线咨询服务、问题处理周期、纠纷解决等</w:t>
            </w:r>
            <w:r>
              <w:rPr>
                <w:rFonts w:ascii="宋体"/>
              </w:rPr>
              <w:t>）进行评审：</w:t>
            </w:r>
          </w:p>
          <w:p>
            <w:pPr>
              <w:spacing w:line="400" w:lineRule="exact"/>
              <w:rPr>
                <w:rFonts w:ascii="宋体"/>
              </w:rPr>
            </w:pPr>
            <w:r>
              <w:rPr>
                <w:rFonts w:ascii="宋体" w:cs="宋体" w:hint="eastAsia"/>
              </w:rPr>
              <w:t>①方案非常完整、合理</w:t>
            </w:r>
            <w:r>
              <w:rPr>
                <w:rFonts w:ascii="宋体" w:cs="宋体" w:hint="eastAsia"/>
                <w:bCs/>
              </w:rPr>
              <w:t>，服务承诺非常详细、具体，</w:t>
            </w:r>
            <w:r>
              <w:rPr>
                <w:rFonts w:ascii="宋体" w:cs="宋体" w:hint="eastAsia"/>
              </w:rPr>
              <w:t>售后服务技术力量非常雄厚，</w:t>
            </w:r>
            <w:r>
              <w:rPr>
                <w:rFonts w:ascii="宋体" w:cs="宋体" w:hint="eastAsia"/>
                <w:bCs/>
              </w:rPr>
              <w:t>有利于项目实施的</w:t>
            </w:r>
            <w:r>
              <w:rPr>
                <w:rFonts w:ascii="宋体" w:cs="宋体"/>
                <w:bCs/>
              </w:rPr>
              <w:t>，得</w:t>
            </w:r>
            <w:r>
              <w:rPr>
                <w:rFonts w:ascii="宋体" w:hint="eastAsia"/>
              </w:rPr>
              <w:t>10分；</w:t>
            </w:r>
          </w:p>
          <w:p>
            <w:pPr>
              <w:spacing w:line="400" w:lineRule="exact"/>
              <w:rPr>
                <w:rFonts w:ascii="宋体"/>
              </w:rPr>
            </w:pPr>
            <w:r>
              <w:rPr>
                <w:rFonts w:ascii="宋体" w:cs="宋体" w:hint="eastAsia"/>
              </w:rPr>
              <w:t>②方案完整、合理</w:t>
            </w:r>
            <w:r>
              <w:rPr>
                <w:rFonts w:ascii="宋体" w:cs="宋体" w:hint="eastAsia"/>
                <w:bCs/>
              </w:rPr>
              <w:t>，服务承诺详细、具体，</w:t>
            </w:r>
            <w:r>
              <w:rPr>
                <w:rFonts w:ascii="宋体" w:cs="宋体" w:hint="eastAsia"/>
              </w:rPr>
              <w:t>售后服务技术力量雄厚，</w:t>
            </w:r>
            <w:r>
              <w:rPr>
                <w:rFonts w:ascii="宋体" w:cs="宋体" w:hint="eastAsia"/>
                <w:bCs/>
              </w:rPr>
              <w:t>有利于项目实施的，</w:t>
            </w:r>
            <w:r>
              <w:rPr>
                <w:rFonts w:ascii="宋体" w:cs="宋体"/>
                <w:bCs/>
              </w:rPr>
              <w:t>得</w:t>
            </w:r>
            <w:r>
              <w:rPr>
                <w:rFonts w:ascii="宋体" w:hint="eastAsia"/>
              </w:rPr>
              <w:t>6分；</w:t>
            </w:r>
          </w:p>
          <w:p>
            <w:pPr>
              <w:spacing w:line="400" w:lineRule="exact"/>
              <w:rPr>
                <w:rFonts w:ascii="宋体"/>
              </w:rPr>
            </w:pPr>
            <w:r>
              <w:rPr>
                <w:rFonts w:ascii="宋体" w:cs="宋体" w:hint="eastAsia"/>
              </w:rPr>
              <w:t>③方案基本完整、合理</w:t>
            </w:r>
            <w:r>
              <w:rPr>
                <w:rFonts w:ascii="宋体" w:cs="宋体" w:hint="eastAsia"/>
                <w:bCs/>
              </w:rPr>
              <w:t>，服务承诺一般详细、具体的，</w:t>
            </w:r>
            <w:r>
              <w:rPr>
                <w:rFonts w:ascii="宋体" w:cs="宋体" w:hint="eastAsia"/>
              </w:rPr>
              <w:t>售后服务技术力量</w:t>
            </w:r>
            <w:r>
              <w:rPr>
                <w:rFonts w:ascii="宋体" w:cs="宋体"/>
              </w:rPr>
              <w:t>一般</w:t>
            </w:r>
            <w:r>
              <w:rPr>
                <w:rFonts w:ascii="宋体" w:cs="宋体" w:hint="eastAsia"/>
              </w:rPr>
              <w:t>，</w:t>
            </w:r>
            <w:r>
              <w:rPr>
                <w:rFonts w:ascii="宋体" w:cs="宋体" w:hint="eastAsia"/>
                <w:bCs/>
              </w:rPr>
              <w:t>基本能完成项目的，得</w:t>
            </w:r>
            <w:r>
              <w:rPr>
                <w:rFonts w:ascii="宋体" w:hint="eastAsia"/>
              </w:rPr>
              <w:t>3分；</w:t>
            </w:r>
          </w:p>
          <w:p>
            <w:pPr>
              <w:spacing w:line="400" w:lineRule="exact"/>
              <w:rPr>
                <w:rFonts w:ascii="宋体"/>
              </w:rPr>
            </w:pPr>
            <w:r>
              <w:rPr>
                <w:rFonts w:ascii="宋体" w:cs="宋体" w:hint="eastAsia"/>
              </w:rPr>
              <w:t>④方案</w:t>
            </w:r>
            <w:r>
              <w:rPr>
                <w:rFonts w:ascii="宋体" w:cs="宋体"/>
              </w:rPr>
              <w:t>部分</w:t>
            </w:r>
            <w:r>
              <w:rPr>
                <w:rFonts w:ascii="宋体" w:cs="宋体" w:hint="eastAsia"/>
              </w:rPr>
              <w:t>完整、合理</w:t>
            </w:r>
            <w:r>
              <w:rPr>
                <w:rFonts w:ascii="宋体" w:cs="宋体" w:hint="eastAsia"/>
                <w:bCs/>
              </w:rPr>
              <w:t>，服务承诺</w:t>
            </w:r>
            <w:r>
              <w:rPr>
                <w:rFonts w:ascii="宋体" w:cs="宋体"/>
                <w:bCs/>
              </w:rPr>
              <w:t>欠缺完整性的</w:t>
            </w:r>
            <w:r>
              <w:rPr>
                <w:rFonts w:ascii="宋体" w:cs="宋体" w:hint="eastAsia"/>
                <w:bCs/>
              </w:rPr>
              <w:t>，</w:t>
            </w:r>
            <w:r>
              <w:rPr>
                <w:rFonts w:ascii="宋体" w:cs="宋体" w:hint="eastAsia"/>
              </w:rPr>
              <w:t>售后服务技术力量</w:t>
            </w:r>
            <w:r>
              <w:rPr>
                <w:rFonts w:ascii="宋体" w:cs="宋体"/>
              </w:rPr>
              <w:t>较差</w:t>
            </w:r>
            <w:r>
              <w:rPr>
                <w:rFonts w:ascii="宋体" w:cs="宋体" w:hint="eastAsia"/>
              </w:rPr>
              <w:t>，</w:t>
            </w:r>
            <w:r>
              <w:rPr>
                <w:rFonts w:ascii="宋体" w:cs="宋体"/>
                <w:bCs/>
              </w:rPr>
              <w:t>不能很好</w:t>
            </w:r>
            <w:r>
              <w:rPr>
                <w:rFonts w:ascii="宋体" w:cs="宋体" w:hint="eastAsia"/>
                <w:bCs/>
              </w:rPr>
              <w:t>完成项目的，得</w:t>
            </w:r>
            <w:r>
              <w:rPr>
                <w:rFonts w:ascii="宋体" w:cs="宋体"/>
                <w:bCs/>
              </w:rPr>
              <w:t>1</w:t>
            </w:r>
            <w:r>
              <w:rPr>
                <w:rFonts w:ascii="宋体" w:hint="eastAsia"/>
              </w:rPr>
              <w:t>分；</w:t>
            </w:r>
          </w:p>
          <w:p>
            <w:pPr>
              <w:spacing w:line="400" w:lineRule="exact"/>
              <w:rPr>
                <w:rFonts w:ascii="宋体"/>
              </w:rPr>
            </w:pPr>
            <w:r>
              <w:rPr>
                <w:rFonts w:ascii="宋体" w:cs="宋体" w:hint="eastAsia"/>
              </w:rPr>
              <w:t>⑤</w:t>
            </w:r>
            <w:r>
              <w:rPr>
                <w:rFonts w:ascii="宋体" w:cs="宋体" w:hint="eastAsia"/>
                <w:bCs/>
              </w:rPr>
              <w:t>未提供对应方案不得分</w:t>
            </w:r>
            <w:r>
              <w:rPr>
                <w:rFonts w:ascii="宋体" w:hint="eastAsia"/>
              </w:rPr>
              <w:t>。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</w:rPr>
            </w:pPr>
            <w:r>
              <w:rPr>
                <w:rFonts w:ascii="宋体" w:cs="宋体" w:hint="eastAsia"/>
              </w:rPr>
              <w:t>10</w:t>
            </w:r>
            <w:r>
              <w:rPr>
                <w:rFonts w:ascii="宋体" w:cs="宋体"/>
              </w:rPr>
              <w:t>分</w:t>
            </w:r>
          </w:p>
        </w:tc>
        <w:tc>
          <w:tcPr>
            <w:tcW w:w="12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</w:rPr>
            </w:pPr>
            <w:r>
              <w:rPr>
                <w:rFonts w:ascii="宋体" w:cs="宋体" w:hint="eastAsia"/>
              </w:rPr>
              <w:t>　</w:t>
            </w:r>
          </w:p>
        </w:tc>
      </w:tr>
      <w:tr>
        <w:trPr>
          <w:trHeight w:val="416"/>
        </w:trPr>
        <w:tc>
          <w:tcPr>
            <w:tcW w:w="113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  <w:tl2br w:val="nil"/>
              <w:tr2bl w:val="nil"/>
            </w:tcBorders>
            <w:vAlign w:val="center"/>
          </w:tcPr>
          <w:p/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</w:rPr>
            </w:pPr>
            <w:r>
              <w:rPr>
                <w:rFonts w:ascii="宋体" w:cs="宋体" w:hint="eastAsia"/>
              </w:rPr>
              <w:t>特色服务</w:t>
            </w:r>
          </w:p>
        </w:tc>
        <w:tc>
          <w:tcPr>
            <w:tcW w:w="38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spacing w:line="400" w:lineRule="exact"/>
              <w:rPr>
                <w:rFonts w:ascii="宋体"/>
              </w:rPr>
            </w:pPr>
            <w:r>
              <w:rPr>
                <w:rFonts w:ascii="宋体"/>
              </w:rPr>
              <w:t>根据</w:t>
            </w:r>
            <w:r>
              <w:rPr>
                <w:rFonts w:ascii="宋体" w:hint="eastAsia"/>
              </w:rPr>
              <w:t>供应商可为采购人提供</w:t>
            </w:r>
            <w:r>
              <w:rPr>
                <w:rFonts w:ascii="宋体"/>
              </w:rPr>
              <w:t>的</w:t>
            </w:r>
            <w:r>
              <w:rPr>
                <w:rFonts w:ascii="宋体" w:hint="eastAsia"/>
              </w:rPr>
              <w:t>特色服务</w:t>
            </w:r>
            <w:r>
              <w:rPr>
                <w:rFonts w:ascii="宋体"/>
              </w:rPr>
              <w:t>进行评审:</w:t>
            </w:r>
          </w:p>
          <w:p>
            <w:pPr>
              <w:spacing w:line="400" w:lineRule="exact"/>
              <w:rPr>
                <w:rFonts w:ascii="宋体"/>
              </w:rPr>
            </w:pPr>
            <w:r>
              <w:rPr>
                <w:rFonts w:ascii="宋体" w:cs="宋体" w:hint="eastAsia"/>
              </w:rPr>
              <w:t>①</w:t>
            </w:r>
            <w:r>
              <w:rPr>
                <w:rFonts w:ascii="宋体" w:cs="宋体"/>
              </w:rPr>
              <w:t>方案</w:t>
            </w:r>
            <w:r>
              <w:rPr>
                <w:rFonts w:ascii="宋体" w:hint="eastAsia"/>
              </w:rPr>
              <w:t>针对性</w:t>
            </w:r>
            <w:r>
              <w:rPr>
                <w:rFonts w:ascii="宋体"/>
              </w:rPr>
              <w:t>非常</w:t>
            </w:r>
            <w:r>
              <w:rPr>
                <w:rFonts w:ascii="宋体" w:hint="eastAsia"/>
              </w:rPr>
              <w:t>强，</w:t>
            </w:r>
            <w:r>
              <w:rPr>
                <w:rFonts w:ascii="宋体"/>
              </w:rPr>
              <w:t>完全满足</w:t>
            </w:r>
            <w:r>
              <w:rPr>
                <w:rFonts w:ascii="宋体" w:hint="eastAsia"/>
              </w:rPr>
              <w:t>采购人实际需要</w:t>
            </w:r>
            <w:r>
              <w:rPr>
                <w:rFonts w:ascii="宋体"/>
              </w:rPr>
              <w:t>，可行性非常强</w:t>
            </w:r>
            <w:r>
              <w:rPr>
                <w:rFonts w:ascii="宋体" w:hint="eastAsia"/>
              </w:rPr>
              <w:t>的</w:t>
            </w:r>
            <w:r>
              <w:rPr>
                <w:rFonts w:ascii="宋体"/>
              </w:rPr>
              <w:t>，得</w:t>
            </w:r>
            <w:r>
              <w:rPr>
                <w:rFonts w:ascii="宋体" w:hint="eastAsia"/>
              </w:rPr>
              <w:t>10分；</w:t>
            </w:r>
          </w:p>
          <w:p>
            <w:pPr>
              <w:spacing w:line="400" w:lineRule="exact"/>
              <w:rPr>
                <w:rFonts w:ascii="宋体"/>
              </w:rPr>
            </w:pPr>
            <w:r>
              <w:rPr>
                <w:rFonts w:ascii="宋体" w:cs="宋体" w:hint="eastAsia"/>
              </w:rPr>
              <w:t>②</w:t>
            </w:r>
            <w:r>
              <w:rPr>
                <w:rFonts w:ascii="宋体" w:cs="宋体"/>
                <w:bCs/>
              </w:rPr>
              <w:t>方案</w:t>
            </w:r>
            <w:r>
              <w:rPr>
                <w:rFonts w:ascii="宋体" w:hint="eastAsia"/>
              </w:rPr>
              <w:t>针对性强，</w:t>
            </w:r>
            <w:r>
              <w:rPr>
                <w:rFonts w:ascii="宋体"/>
              </w:rPr>
              <w:t>满足</w:t>
            </w:r>
            <w:r>
              <w:rPr>
                <w:rFonts w:ascii="宋体" w:hint="eastAsia"/>
              </w:rPr>
              <w:t>采购人实际需要</w:t>
            </w:r>
            <w:r>
              <w:rPr>
                <w:rFonts w:ascii="宋体"/>
              </w:rPr>
              <w:t>，可行性强</w:t>
            </w:r>
            <w:r>
              <w:rPr>
                <w:rFonts w:ascii="宋体" w:hint="eastAsia"/>
              </w:rPr>
              <w:t>的</w:t>
            </w:r>
            <w:r>
              <w:rPr>
                <w:rFonts w:ascii="宋体"/>
              </w:rPr>
              <w:t>，得</w:t>
            </w:r>
            <w:r>
              <w:rPr>
                <w:rFonts w:ascii="宋体" w:hint="eastAsia"/>
              </w:rPr>
              <w:t>6分；</w:t>
            </w:r>
          </w:p>
          <w:p>
            <w:pPr>
              <w:spacing w:line="400" w:lineRule="exact"/>
              <w:rPr>
                <w:rFonts w:ascii="宋体"/>
              </w:rPr>
            </w:pPr>
            <w:r>
              <w:rPr>
                <w:rFonts w:ascii="宋体" w:cs="宋体" w:hint="eastAsia"/>
              </w:rPr>
              <w:t>③</w:t>
            </w:r>
            <w:r>
              <w:rPr>
                <w:rFonts w:ascii="宋体" w:cs="宋体"/>
              </w:rPr>
              <w:t>方案</w:t>
            </w:r>
            <w:r>
              <w:rPr>
                <w:rFonts w:ascii="宋体" w:hint="eastAsia"/>
              </w:rPr>
              <w:t>针对性</w:t>
            </w:r>
            <w:r>
              <w:rPr>
                <w:rFonts w:ascii="宋体"/>
              </w:rPr>
              <w:t>一般</w:t>
            </w:r>
            <w:r>
              <w:rPr>
                <w:rFonts w:ascii="宋体" w:hint="eastAsia"/>
              </w:rPr>
              <w:t>，</w:t>
            </w:r>
            <w:r>
              <w:rPr>
                <w:rFonts w:ascii="宋体"/>
              </w:rPr>
              <w:t>基本</w:t>
            </w:r>
            <w:r>
              <w:rPr>
                <w:rFonts w:ascii="宋体" w:hint="eastAsia"/>
              </w:rPr>
              <w:t>符合采购人实际需要</w:t>
            </w:r>
            <w:r>
              <w:rPr>
                <w:rFonts w:ascii="宋体"/>
              </w:rPr>
              <w:t>，可行性一般</w:t>
            </w:r>
            <w:r>
              <w:rPr>
                <w:rFonts w:ascii="宋体" w:hint="eastAsia"/>
              </w:rPr>
              <w:t>的</w:t>
            </w:r>
            <w:r>
              <w:rPr>
                <w:rFonts w:ascii="宋体"/>
              </w:rPr>
              <w:t>，得</w:t>
            </w:r>
            <w:r>
              <w:rPr>
                <w:rFonts w:ascii="宋体" w:hint="eastAsia"/>
              </w:rPr>
              <w:t>3分；</w:t>
            </w:r>
          </w:p>
          <w:p>
            <w:pPr>
              <w:spacing w:line="400" w:lineRule="exact"/>
              <w:rPr>
                <w:rFonts w:ascii="宋体"/>
              </w:rPr>
            </w:pPr>
            <w:r>
              <w:rPr>
                <w:rFonts w:ascii="宋体" w:cs="宋体" w:hint="eastAsia"/>
              </w:rPr>
              <w:t>④</w:t>
            </w:r>
            <w:r>
              <w:rPr>
                <w:rFonts w:ascii="宋体" w:cs="宋体"/>
              </w:rPr>
              <w:t>方案</w:t>
            </w:r>
            <w:r>
              <w:rPr>
                <w:rFonts w:ascii="宋体" w:hint="eastAsia"/>
              </w:rPr>
              <w:t>针对性</w:t>
            </w:r>
            <w:r>
              <w:rPr>
                <w:rFonts w:ascii="宋体"/>
              </w:rPr>
              <w:t>不强</w:t>
            </w:r>
            <w:r>
              <w:rPr>
                <w:rFonts w:ascii="宋体" w:hint="eastAsia"/>
              </w:rPr>
              <w:t>，</w:t>
            </w:r>
            <w:r>
              <w:rPr>
                <w:rFonts w:ascii="宋体"/>
              </w:rPr>
              <w:t>部分</w:t>
            </w:r>
            <w:r>
              <w:rPr>
                <w:rFonts w:ascii="宋体" w:hint="eastAsia"/>
              </w:rPr>
              <w:t>符合采购人实际需要</w:t>
            </w:r>
            <w:r>
              <w:rPr>
                <w:rFonts w:ascii="宋体"/>
              </w:rPr>
              <w:t>，可行性较差</w:t>
            </w:r>
            <w:r>
              <w:rPr>
                <w:rFonts w:ascii="宋体" w:hint="eastAsia"/>
              </w:rPr>
              <w:t>的</w:t>
            </w:r>
            <w:r>
              <w:rPr>
                <w:rFonts w:ascii="宋体"/>
              </w:rPr>
              <w:t>，得1</w:t>
            </w:r>
            <w:r>
              <w:rPr>
                <w:rFonts w:ascii="宋体" w:hint="eastAsia"/>
              </w:rPr>
              <w:t>分；</w:t>
            </w:r>
          </w:p>
          <w:p>
            <w:pPr>
              <w:spacing w:line="400" w:lineRule="exact"/>
              <w:rPr>
                <w:rFonts w:ascii="宋体"/>
              </w:rPr>
            </w:pPr>
            <w:r>
              <w:rPr>
                <w:rFonts w:ascii="宋体" w:cs="宋体" w:hint="eastAsia"/>
              </w:rPr>
              <w:t>⑤</w:t>
            </w:r>
            <w:r>
              <w:rPr>
                <w:rFonts w:ascii="宋体" w:cs="宋体" w:hint="eastAsia"/>
                <w:bCs/>
              </w:rPr>
              <w:t>未提供对应方案不得分</w:t>
            </w:r>
            <w:r>
              <w:rPr>
                <w:rFonts w:ascii="宋体" w:hint="eastAsia"/>
              </w:rPr>
              <w:t>。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</w:rPr>
            </w:pPr>
            <w:r>
              <w:rPr>
                <w:rFonts w:ascii="宋体" w:cs="宋体" w:hint="eastAsia"/>
              </w:rPr>
              <w:t>10</w:t>
            </w:r>
            <w:r>
              <w:rPr>
                <w:rFonts w:ascii="宋体" w:cs="宋体"/>
              </w:rPr>
              <w:t>分</w:t>
            </w:r>
          </w:p>
        </w:tc>
        <w:tc>
          <w:tcPr>
            <w:tcW w:w="12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</w:rPr>
            </w:pPr>
            <w:r>
              <w:rPr>
                <w:rFonts w:ascii="宋体" w:cs="宋体" w:hint="eastAsia"/>
              </w:rPr>
              <w:t>　</w:t>
            </w:r>
          </w:p>
        </w:tc>
      </w:tr>
      <w:tr>
        <w:trPr>
          <w:trHeight w:val="765"/>
        </w:trPr>
        <w:tc>
          <w:tcPr>
            <w:tcW w:w="11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/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</w:rPr>
            </w:pPr>
            <w:r>
              <w:rPr>
                <w:rFonts w:ascii="宋体" w:cs="宋体"/>
              </w:rPr>
              <w:t>平台操作便捷性</w:t>
            </w:r>
          </w:p>
        </w:tc>
        <w:tc>
          <w:tcPr>
            <w:tcW w:w="38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32"/>
              <w:rPr>
                <w:rFonts w:ascii="宋体" w:cs="宋体"/>
                <w:sz w:val="24"/>
              </w:rPr>
            </w:pPr>
            <w:r>
              <w:rPr>
                <w:rFonts w:ascii="宋体" w:cs="宋体" w:hint="eastAsia"/>
                <w:sz w:val="24"/>
              </w:rPr>
              <w:t>供应商根据项目需求提供电子商务平台应用程序、功能简介、使用流程及相应操作界面截图进行评审：</w:t>
            </w:r>
          </w:p>
          <w:p>
            <w:pPr>
              <w:pStyle w:val="32"/>
              <w:numPr>
                <w:ilvl w:val="0"/>
                <w:numId w:val="2"/>
              </w:numPr>
              <w:ind w:left="0"/>
              <w:rPr>
                <w:rFonts w:ascii="宋体" w:cs="宋体"/>
                <w:sz w:val="24"/>
              </w:rPr>
            </w:pPr>
            <w:r>
              <w:rPr>
                <w:rFonts w:ascii="宋体" w:cs="宋体" w:hint="eastAsia"/>
              </w:rPr>
              <w:t>①</w:t>
            </w:r>
            <w:r>
              <w:rPr>
                <w:rFonts w:ascii="宋体" w:cs="宋体" w:hint="eastAsia"/>
                <w:sz w:val="24"/>
              </w:rPr>
              <w:t>界面简洁鲜明，易于操作，功能齐全，得</w:t>
            </w:r>
            <w:r>
              <w:rPr>
                <w:rFonts w:ascii="宋体" w:cs="宋体"/>
                <w:sz w:val="24"/>
              </w:rPr>
              <w:t>5</w:t>
            </w:r>
            <w:r>
              <w:rPr>
                <w:rFonts w:ascii="宋体" w:cs="宋体" w:hint="eastAsia"/>
                <w:sz w:val="24"/>
              </w:rPr>
              <w:t>分；</w:t>
            </w:r>
          </w:p>
          <w:p>
            <w:pPr>
              <w:pStyle w:val="32"/>
              <w:numPr>
                <w:ilvl w:val="0"/>
                <w:numId w:val="2"/>
              </w:numPr>
              <w:ind w:left="0"/>
              <w:rPr>
                <w:rFonts w:ascii="宋体" w:cs="宋体"/>
                <w:sz w:val="24"/>
              </w:rPr>
            </w:pPr>
            <w:r>
              <w:rPr>
                <w:rFonts w:ascii="宋体" w:cs="宋体" w:hint="eastAsia"/>
              </w:rPr>
              <w:t>②</w:t>
            </w:r>
            <w:r>
              <w:rPr>
                <w:rFonts w:ascii="宋体" w:cs="宋体" w:hint="eastAsia"/>
                <w:sz w:val="24"/>
              </w:rPr>
              <w:t>界面较易于操作，功能基本符合项目需求，得</w:t>
            </w:r>
            <w:r>
              <w:rPr>
                <w:rFonts w:ascii="宋体" w:cs="宋体"/>
                <w:sz w:val="24"/>
              </w:rPr>
              <w:t>3</w:t>
            </w:r>
            <w:r>
              <w:rPr>
                <w:rFonts w:ascii="宋体" w:cs="宋体" w:hint="eastAsia"/>
                <w:sz w:val="24"/>
              </w:rPr>
              <w:t>分；</w:t>
            </w:r>
          </w:p>
          <w:p>
            <w:pPr>
              <w:pStyle w:val="32"/>
              <w:numPr>
                <w:ilvl w:val="0"/>
                <w:numId w:val="2"/>
              </w:numPr>
              <w:ind w:left="0"/>
              <w:rPr>
                <w:rFonts w:ascii="宋体" w:cs="宋体"/>
                <w:sz w:val="24"/>
              </w:rPr>
            </w:pPr>
            <w:r>
              <w:rPr>
                <w:rFonts w:ascii="宋体" w:cs="宋体" w:hint="eastAsia"/>
              </w:rPr>
              <w:t>③</w:t>
            </w:r>
            <w:r>
              <w:rPr>
                <w:rFonts w:ascii="宋体" w:cs="宋体" w:hint="eastAsia"/>
                <w:sz w:val="24"/>
              </w:rPr>
              <w:t>界面设计及功能实现复杂，不易操作，得1分。</w:t>
            </w:r>
          </w:p>
          <w:p>
            <w:pPr>
              <w:spacing w:line="400" w:lineRule="exact"/>
              <w:rPr>
                <w:rFonts w:ascii="宋体"/>
              </w:rPr>
            </w:pPr>
            <w:r>
              <w:rPr>
                <w:rFonts w:ascii="宋体" w:cs="宋体" w:hint="eastAsia"/>
              </w:rPr>
              <w:t>④</w:t>
            </w:r>
            <w:r>
              <w:rPr>
                <w:rFonts w:ascii="宋体" w:cs="宋体"/>
                <w:sz w:val="24"/>
              </w:rPr>
              <w:t>无提供不得分。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</w:rPr>
            </w:pPr>
            <w:r>
              <w:rPr>
                <w:rFonts w:ascii="宋体" w:cs="宋体" w:hint="eastAsia"/>
              </w:rPr>
              <w:t>5</w:t>
            </w:r>
            <w:r>
              <w:rPr>
                <w:rFonts w:ascii="宋体" w:cs="宋体"/>
              </w:rPr>
              <w:t>分</w:t>
            </w:r>
          </w:p>
        </w:tc>
        <w:tc>
          <w:tcPr>
            <w:tcW w:w="12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</w:rPr>
            </w:pPr>
            <w:r>
              <w:rPr>
                <w:rFonts w:ascii="宋体" w:cs="宋体" w:hint="eastAsia"/>
              </w:rPr>
              <w:t>　</w:t>
            </w:r>
          </w:p>
        </w:tc>
      </w:tr>
    </w:tbl>
    <w:p>
      <w:pPr>
        <w:spacing w:line="400" w:lineRule="exact"/>
        <w:ind w:leftChars="202" w:left="424"/>
        <w:rPr>
          <w:rFonts w:ascii="宋体" w:cs="宋体"/>
          <w:sz w:val="24"/>
          <w:szCs w:val="24"/>
        </w:rPr>
      </w:pPr>
      <w:r>
        <w:rPr>
          <w:rFonts w:ascii="宋体" w:cs="宋体" w:hint="eastAsia"/>
          <w:sz w:val="24"/>
          <w:szCs w:val="24"/>
        </w:rPr>
        <w:t>注：按分项的规定分数范围内给各供应商进行打分，并统计总分。</w:t>
      </w:r>
    </w:p>
    <w:sectPr>
      <w:pgSz w:w="11906" w:h="16838"/>
      <w:pgMar w:top="1440" w:right="1800" w:bottom="1440" w:left="1800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方正小标宋_GBK">
    <w:panose1 w:val="03000509000000000000"/>
    <w:charset w:val="86"/>
    <w:family w:val="script"/>
    <w:pitch w:val="variable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variable"/>
    <w:sig w:usb0="00000001" w:usb1="080E0000" w:usb2="0000000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黑体_GBK">
    <w:panose1 w:val="03000509000000000000"/>
    <w:charset w:val="86"/>
    <w:family w:val="script"/>
    <w:pitch w:val="variable"/>
    <w:sig w:usb0="00000001" w:usb1="080E0000" w:usb2="00000000" w:usb3="00000000" w:csb0="0004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altName w:val="宋体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">
    <w:altName w:val="Times New Roman"/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mc="http://schemas.openxmlformats.org/markup-compatibility/2006" xmlns:w14="http://schemas.microsoft.com/office/word/2010/wordml">
  <w:abstractNum w:abstractNumId="0">
    <w:nsid w:val="33D24C9D"/>
    <w:multiLevelType w:val="multilevel"/>
    <w:tmpl w:val="33D24C9D"/>
    <w:lvl w:ilvl="0">
      <w:start w:val="1"/>
      <w:numFmt w:val="decimal"/>
      <w:lvlRestart w:val="0"/>
      <w:lvlText w:val="%1）"/>
      <w:lvlJc w:val="left"/>
      <w:pPr>
        <w:tabs>
          <w:tab w:val="num" w:pos="0"/>
        </w:tabs>
        <w:ind w:left="1134" w:hanging="567"/>
      </w:pPr>
      <w:rPr>
        <w:rFonts w:ascii="宋体" w:hAnsi="宋体" w:eastAsia="宋体" w:hint="eastAsia"/>
        <w:b w:val="0"/>
        <w:i w:val="0"/>
        <w:iCs w:val="0"/>
        <w:sz w:val="21"/>
      </w:rPr>
    </w:lvl>
    <w:lvl w:ilvl="1">
      <w:start w:val="1"/>
      <w:numFmt w:val="lowerLetter"/>
      <w:lvlText w:val="%2)"/>
      <w:lvlJc w:val="left"/>
      <w:pPr>
        <w:tabs>
          <w:tab w:val="num" w:pos="0"/>
        </w:tabs>
        <w:ind w:left="840" w:hanging="420"/>
      </w:pPr>
    </w:lvl>
    <w:lvl w:ilvl="2">
      <w:start w:val="21"/>
      <w:numFmt w:val="decimal"/>
      <w:lvlText w:val="%3"/>
      <w:lvlJc w:val="left"/>
      <w:pPr>
        <w:tabs>
          <w:tab w:val="num" w:pos="0"/>
        </w:tabs>
        <w:ind w:left="1920" w:hanging="1080"/>
      </w:pPr>
    </w:lvl>
    <w:lvl w:ilvl="3">
      <w:start w:val="1"/>
      <w:numFmt w:val="decimal"/>
      <w:lvlText w:val="%4、"/>
      <w:lvlJc w:val="left"/>
      <w:pPr>
        <w:tabs>
          <w:tab w:val="num" w:pos="0"/>
        </w:tabs>
        <w:ind w:left="1620" w:hanging="360"/>
      </w:pPr>
      <w:rPr>
        <w:b/>
      </w:rPr>
    </w:lvl>
    <w:lvl w:ilvl="4">
      <w:start w:val="1"/>
      <w:numFmt w:val="lowerLetter"/>
      <w:lvlText w:val="%5)"/>
      <w:lvlJc w:val="left"/>
      <w:pPr>
        <w:tabs>
          <w:tab w:val="num" w:pos="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3780" w:hanging="420"/>
      </w:pPr>
    </w:lvl>
  </w:abstractNum>
  <w:abstractNum w:abstractNumId="1">
    <w:nsid w:val="49A5B159"/>
    <w:multiLevelType w:val="singleLevel"/>
    <w:tmpl w:val="49A5B159"/>
    <w:lvl w:ilvl="0">
      <w:start w:val="1"/>
      <w:numFmt w:val="decimal"/>
      <w:lvlRestart w:val="0"/>
      <w:lvlText w:val="(%1)"/>
      <w:lvlJc w:val="left"/>
      <w:pPr>
        <w:tabs>
          <w:tab w:val="num" w:pos="0"/>
        </w:tabs>
        <w:ind w:left="425" w:hanging="425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fullPage" w:percent="100"/>
  <w:doNotDisplayPageBoundaries/>
  <w:bordersDoNotSurroundHeader/>
  <w:bordersDoNotSurroundFooter/>
  <w:trackRevision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growAutofit/>
    <w:useAltKinsokuLineBreakRules/>
    <w:splitPgBreakAndParaMark/>
    <w:compatSetting w:name="compatibilityMode" w:uri="http://schemas.microsoft.com/office/word" w:val="14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rPr>
      <w:rFonts w:ascii="Times New Roman" w:eastAsia="宋体" w:cs="Times New Roman" w:hAnsi="Times New Roman"/>
      <w:kern w:val="0"/>
      <w:sz w:val="21"/>
      <w:szCs w:val="21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spacing w:before="340" w:after="330" w:line="578" w:lineRule="auto"/>
      <w:outlineLvl w:val="0"/>
    </w:pPr>
    <w:rPr>
      <w:b/>
      <w:kern w:val="44"/>
      <w:sz w:val="44"/>
      <w:szCs w:val="20"/>
    </w:rPr>
  </w:style>
  <w:style w:type="character" w:default="1" w:styleId="10">
    <w:name w:val="Default Paragraph Font"/>
  </w:style>
  <w:style w:type="paragraph" w:styleId="15">
    <w:name w:val="header"/>
    <w:basedOn w:val="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6">
    <w:name w:val="footer"/>
    <w:basedOn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customStyle="1" w:styleId="17">
    <w:name w:val="样式 11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styleId="18">
    <w:name w:val="annotation text"/>
    <w:basedOn w:val="0"/>
  </w:style>
  <w:style w:type="paragraph" w:customStyle="1" w:styleId="19">
    <w:name w:val="样式 12 10 磅"/>
    <w:pPr>
      <w:widowControl w:val="0"/>
      <w:jc w:val="both"/>
    </w:pPr>
    <w:rPr>
      <w:rFonts w:ascii="Calibri" w:eastAsia="宋体" w:cs="Times New Roman" w:hAnsi="Calibri"/>
      <w:kern w:val="2"/>
      <w:sz w:val="21"/>
      <w:szCs w:val="22"/>
      <w:lang w:val="en-US" w:eastAsia="zh-CN" w:bidi="ar-SA"/>
    </w:rPr>
  </w:style>
  <w:style w:type="paragraph" w:customStyle="1" w:styleId="20">
    <w:name w:val="样式 10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21">
    <w:name w:val="样式 22 10 磅"/>
    <w:pPr>
      <w:widowControl w:val="0"/>
      <w:jc w:val="both"/>
    </w:pPr>
    <w:rPr>
      <w:rFonts w:ascii="Calibri" w:eastAsia="宋体" w:cs="Times New Roman" w:hAnsi="Calibri"/>
      <w:kern w:val="2"/>
      <w:sz w:val="21"/>
      <w:szCs w:val="22"/>
      <w:lang w:val="en-US" w:eastAsia="zh-CN" w:bidi="ar-SA"/>
    </w:rPr>
  </w:style>
  <w:style w:type="paragraph" w:customStyle="1" w:styleId="22">
    <w:name w:val="保留正文"/>
    <w:next w:val="18"/>
    <w:pPr>
      <w:keepNext/>
      <w:widowControl w:val="0"/>
      <w:spacing w:after="16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23">
    <w:name w:val="样式 224 10 磅"/>
    <w:pPr>
      <w:widowControl w:val="0"/>
      <w:jc w:val="both"/>
    </w:pPr>
    <w:rPr>
      <w:rFonts w:ascii="Calibri" w:eastAsia="宋体" w:cs="Times New Roman" w:hAnsi="Calibri"/>
      <w:kern w:val="2"/>
      <w:sz w:val="21"/>
      <w:szCs w:val="22"/>
      <w:lang w:val="en-US" w:eastAsia="zh-CN" w:bidi="ar-SA"/>
    </w:rPr>
  </w:style>
  <w:style w:type="paragraph" w:customStyle="1" w:styleId="24">
    <w:name w:val="样式 225 10 磅"/>
    <w:pPr>
      <w:widowControl w:val="0"/>
      <w:jc w:val="both"/>
    </w:pPr>
    <w:rPr>
      <w:rFonts w:ascii="Calibri" w:eastAsia="宋体" w:cs="Times New Roman" w:hAnsi="Calibri"/>
      <w:kern w:val="2"/>
      <w:sz w:val="21"/>
      <w:szCs w:val="22"/>
      <w:lang w:val="en-US" w:eastAsia="zh-CN" w:bidi="ar-SA"/>
    </w:rPr>
  </w:style>
  <w:style w:type="paragraph" w:customStyle="1" w:styleId="25">
    <w:name w:val="样式 10 磅"/>
    <w:pPr>
      <w:widowControl w:val="0"/>
      <w:jc w:val="both"/>
    </w:pPr>
    <w:rPr>
      <w:rFonts w:ascii="Calibri" w:eastAsia="宋体" w:cs="Times New Roman" w:hAnsi="Calibri"/>
      <w:kern w:val="2"/>
      <w:sz w:val="21"/>
      <w:szCs w:val="24"/>
      <w:lang w:val="en-US" w:eastAsia="zh-CN" w:bidi="ar-SA"/>
    </w:rPr>
  </w:style>
  <w:style w:type="paragraph" w:customStyle="1" w:styleId="26">
    <w:name w:val="样式 1 10 磅"/>
    <w:pPr>
      <w:widowControl w:val="0"/>
      <w:jc w:val="both"/>
    </w:pPr>
    <w:rPr>
      <w:rFonts w:ascii="Calibri" w:eastAsia="宋体" w:cs="Times New Roman" w:hAnsi="Calibri"/>
      <w:kern w:val="2"/>
      <w:sz w:val="21"/>
      <w:szCs w:val="22"/>
      <w:lang w:val="en-US" w:eastAsia="zh-CN" w:bidi="ar-SA"/>
    </w:rPr>
  </w:style>
  <w:style w:type="paragraph" w:customStyle="1" w:styleId="27">
    <w:name w:val="样式 2 10 磅"/>
    <w:pPr>
      <w:widowControl w:val="0"/>
      <w:jc w:val="both"/>
    </w:pPr>
    <w:rPr>
      <w:rFonts w:ascii="Calibri" w:eastAsia="宋体" w:cs="Times New Roman" w:hAnsi="Calibri"/>
      <w:kern w:val="2"/>
      <w:sz w:val="21"/>
      <w:szCs w:val="22"/>
      <w:lang w:val="en-US" w:eastAsia="zh-CN" w:bidi="ar-SA"/>
    </w:rPr>
  </w:style>
  <w:style w:type="paragraph" w:customStyle="1" w:styleId="28">
    <w:name w:val="样式 3 10 磅"/>
    <w:pPr>
      <w:widowControl w:val="0"/>
      <w:jc w:val="both"/>
    </w:pPr>
    <w:rPr>
      <w:rFonts w:ascii="Calibri" w:eastAsia="宋体" w:cs="Times New Roman" w:hAnsi="Calibri"/>
      <w:kern w:val="2"/>
      <w:sz w:val="21"/>
      <w:szCs w:val="24"/>
      <w:lang w:val="en-US" w:eastAsia="zh-CN" w:bidi="ar-SA"/>
    </w:rPr>
  </w:style>
  <w:style w:type="paragraph" w:customStyle="1" w:styleId="29">
    <w:name w:val="样式 4 10 磅"/>
    <w:pPr>
      <w:widowControl w:val="0"/>
      <w:jc w:val="both"/>
    </w:pPr>
    <w:rPr>
      <w:rFonts w:ascii="Calibri" w:eastAsia="宋体" w:cs="Times New Roman" w:hAnsi="Calibri"/>
      <w:kern w:val="2"/>
      <w:sz w:val="21"/>
      <w:szCs w:val="24"/>
      <w:lang w:val="en-US" w:eastAsia="zh-CN" w:bidi="ar-SA"/>
    </w:rPr>
  </w:style>
  <w:style w:type="paragraph" w:customStyle="1" w:styleId="30">
    <w:name w:val="样式 5 10 磅"/>
    <w:pPr>
      <w:widowControl w:val="0"/>
      <w:jc w:val="both"/>
    </w:pPr>
    <w:rPr>
      <w:rFonts w:ascii="Calibri" w:eastAsia="宋体" w:cs="Times New Roman" w:hAnsi="Calibri"/>
      <w:kern w:val="2"/>
      <w:sz w:val="21"/>
      <w:szCs w:val="22"/>
      <w:lang w:val="en-US" w:eastAsia="zh-CN" w:bidi="ar-SA"/>
    </w:rPr>
  </w:style>
  <w:style w:type="paragraph" w:customStyle="1" w:styleId="31">
    <w:name w:val="样式 6 10 磅"/>
    <w:pPr>
      <w:widowControl w:val="0"/>
      <w:jc w:val="both"/>
    </w:pPr>
    <w:rPr>
      <w:rFonts w:ascii="Calibri" w:eastAsia="宋体" w:cs="Times New Roman" w:hAnsi="Calibri"/>
      <w:kern w:val="2"/>
      <w:sz w:val="21"/>
      <w:szCs w:val="22"/>
      <w:lang w:val="en-US" w:eastAsia="zh-CN" w:bidi="ar-SA"/>
    </w:rPr>
  </w:style>
  <w:style w:type="paragraph" w:customStyle="1" w:styleId="32">
    <w:name w:val="样式 7 10 磅"/>
    <w:pPr>
      <w:widowControl w:val="0"/>
      <w:jc w:val="both"/>
    </w:pPr>
    <w:rPr>
      <w:rFonts w:ascii="Calibri" w:eastAsia="宋体" w:cs="Times New Roman" w:hAnsi="Calibri"/>
      <w:kern w:val="2"/>
      <w:sz w:val="21"/>
      <w:szCs w:val="24"/>
      <w:lang w:val="en-US" w:eastAsia="zh-CN" w:bidi="ar-SA"/>
    </w:rPr>
  </w:style>
  <w:style w:type="paragraph" w:customStyle="1" w:styleId="33">
    <w:name w:val="样式 8 10 磅"/>
    <w:pPr>
      <w:widowControl w:val="0"/>
      <w:jc w:val="both"/>
    </w:pPr>
    <w:rPr>
      <w:rFonts w:ascii="Calibri" w:eastAsia="宋体" w:cs="Times New Roman" w:hAnsi="Calibri"/>
      <w:kern w:val="2"/>
      <w:sz w:val="21"/>
      <w:szCs w:val="22"/>
      <w:lang w:val="en-US" w:eastAsia="zh-CN" w:bidi="ar-SA"/>
    </w:rPr>
  </w:style>
  <w:style w:type="paragraph" w:customStyle="1" w:styleId="34">
    <w:name w:val="样式 9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35">
    <w:name w:val="样式 13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numbering" Target="numbering.xml"/><Relationship Id="rId4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123</TotalTime>
  <Application>Yozo_Office</Application>
  <Pages>3</Pages>
  <Words>1388</Words>
  <Characters>1448</Characters>
  <Lines>138</Lines>
  <Paragraphs>74</Paragraphs>
  <CharactersWithSpaces>1457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臧华添</dc:creator>
  <cp:lastModifiedBy>魏毓玮</cp:lastModifiedBy>
  <cp:revision>2</cp:revision>
  <cp:lastPrinted>2024-09-03T02:17:06Z</cp:lastPrinted>
  <dcterms:created xsi:type="dcterms:W3CDTF">2024-01-09T01:22:00Z</dcterms:created>
  <dcterms:modified xsi:type="dcterms:W3CDTF">2025-09-08T07:58:23Z</dcterms:modified>
</cp:coreProperties>
</file>