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keepNext/>
        <w:keepLines/>
        <w:pageBreakBefore w:val="0"/>
        <w:widowControl w:val="0"/>
        <w:tabs>
          <w:tab w:val="left" w:pos="0"/>
          <w:tab w:val="left" w:pos="630"/>
        </w:tabs>
        <w:kinsoku/>
        <w:wordWrap/>
        <w:overflowPunct/>
        <w:topLinePunct w:val="0"/>
        <w:autoSpaceDE w:val="0"/>
        <w:autoSpaceDN w:val="0"/>
        <w:bidi w:val="0"/>
        <w:adjustRightInd w:val="0"/>
        <w:snapToGrid/>
        <w:spacing w:beforeLines="50" w:before="156" w:after="0" w:line="240" w:lineRule="auto"/>
        <w:jc w:val="center"/>
        <w:textAlignment w:val="auto"/>
        <w:rPr>
          <w:rFonts w:ascii="华文中宋" w:eastAsia="华文中宋" w:hint="eastAsia"/>
          <w:color w:val="auto"/>
          <w:sz w:val="40"/>
          <w:highlight w:val="auto"/>
        </w:rPr>
      </w:pPr>
      <w:bookmarkStart w:id="0" w:name="_Toc28359022"/>
      <w:bookmarkStart w:id="1" w:name="_Toc35393809"/>
      <w:bookmarkStart w:id="2" w:name="_GoBack"/>
      <w:bookmarkEnd w:id="2"/>
      <w:r>
        <w:rPr>
          <w:rFonts w:ascii="华文中宋" w:eastAsia="华文中宋" w:hint="eastAsia"/>
          <w:color w:val="auto"/>
          <w:sz w:val="40"/>
          <w:lang w:val="en-US" w:eastAsia="zh-CN"/>
          <w:highlight w:val="auto"/>
        </w:rPr>
        <w:t>广澳海关物业管理服务项目</w:t>
      </w:r>
      <w:r>
        <w:rPr>
          <w:rFonts w:ascii="华文中宋" w:eastAsia="华文中宋" w:hint="eastAsia"/>
          <w:color w:val="auto"/>
          <w:sz w:val="40"/>
          <w:highlight w:val="auto"/>
        </w:rPr>
        <w:t>中标（成交）结果公告</w:t>
      </w:r>
      <w:bookmarkEnd w:id="0"/>
      <w:bookmarkEnd w:id="1"/>
    </w:p>
    <w:p>
      <w:pPr>
        <w:pageBreakBefore w:val="0"/>
        <w:widowControl w:val="0"/>
        <w:kinsoku/>
        <w:wordWrap/>
        <w:overflowPunct/>
        <w:topLinePunct w:val="0"/>
        <w:bidi w:val="0"/>
        <w:spacing w:line="240" w:lineRule="auto"/>
        <w:rPr>
          <w:rFonts w:ascii="黑体" w:eastAsia="黑体" w:hint="eastAsia"/>
          <w:color w:val="auto"/>
          <w:w w:val="95"/>
          <w:sz w:val="28"/>
          <w:szCs w:val="28"/>
          <w:lang w:eastAsia="zh-CN"/>
          <w:highlight w:val="auto"/>
        </w:rPr>
      </w:pPr>
      <w:r>
        <w:rPr>
          <w:rFonts w:ascii="黑体" w:eastAsia="黑体" w:cs="Times New Roman" w:hint="eastAsia"/>
          <w:color w:val="auto"/>
          <w:w w:val="95"/>
          <w:kern w:val="2"/>
          <w:sz w:val="28"/>
          <w:szCs w:val="28"/>
          <w:lang w:val="en-US" w:eastAsia="zh-CN" w:bidi="ar-SA"/>
        </w:rPr>
        <w:t>1、</w:t>
      </w:r>
      <w:r>
        <w:rPr>
          <w:rFonts w:ascii="黑体" w:eastAsia="黑体" w:hint="eastAsia"/>
          <w:color w:val="auto"/>
          <w:sz w:val="28"/>
          <w:szCs w:val="28"/>
          <w:highlight w:val="auto"/>
        </w:rPr>
        <w:t>项目编号</w:t>
      </w:r>
      <w:r>
        <w:rPr>
          <w:rFonts w:ascii="黑体" w:eastAsia="黑体" w:hint="eastAsia"/>
          <w:i w:val="0"/>
          <w:iCs w:val="0"/>
          <w:color w:val="auto"/>
          <w:sz w:val="28"/>
          <w:szCs w:val="28"/>
          <w:highlight w:val="auto"/>
        </w:rPr>
        <w:t>：</w:t>
      </w:r>
      <w:r>
        <w:rPr>
          <w:rFonts w:ascii="黑体" w:eastAsia="黑体" w:hint="eastAsia"/>
          <w:i w:val="0"/>
          <w:iCs w:val="0"/>
          <w:color w:val="auto"/>
          <w:sz w:val="28"/>
          <w:szCs w:val="28"/>
          <w:lang w:eastAsia="zh-CN"/>
          <w:highlight w:val="auto"/>
        </w:rPr>
        <w:t>GDZC-ZZCG-2025071101</w:t>
      </w:r>
    </w:p>
    <w:p>
      <w:pPr>
        <w:pageBreakBefore w:val="0"/>
        <w:widowControl w:val="0"/>
        <w:kinsoku/>
        <w:wordWrap/>
        <w:overflowPunct/>
        <w:topLinePunct w:val="0"/>
        <w:bidi w:val="0"/>
        <w:spacing w:line="240" w:lineRule="auto"/>
        <w:rPr>
          <w:rFonts w:ascii="黑体" w:eastAsia="黑体" w:hint="eastAsia"/>
          <w:color w:val="auto"/>
          <w:w w:val="95"/>
          <w:sz w:val="28"/>
          <w:szCs w:val="28"/>
          <w:lang w:eastAsia="zh-CN"/>
          <w:highlight w:val="auto"/>
        </w:rPr>
      </w:pPr>
      <w:r>
        <w:rPr>
          <w:rFonts w:ascii="黑体" w:eastAsia="黑体" w:cs="Times New Roman" w:hint="eastAsia"/>
          <w:color w:val="auto"/>
          <w:w w:val="95"/>
          <w:kern w:val="2"/>
          <w:sz w:val="28"/>
          <w:szCs w:val="28"/>
          <w:lang w:val="en-US" w:eastAsia="zh-CN" w:bidi="ar-SA"/>
        </w:rPr>
        <w:t>2、</w:t>
      </w:r>
      <w:r>
        <w:rPr>
          <w:rFonts w:ascii="黑体" w:eastAsia="黑体" w:hint="eastAsia"/>
          <w:color w:val="auto"/>
          <w:w w:val="95"/>
          <w:sz w:val="28"/>
          <w:szCs w:val="28"/>
          <w:highlight w:val="auto"/>
        </w:rPr>
        <w:t>项目名称：</w:t>
      </w:r>
      <w:r>
        <w:rPr>
          <w:rFonts w:ascii="黑体" w:eastAsia="黑体" w:hint="eastAsia"/>
          <w:color w:val="auto"/>
          <w:w w:val="95"/>
          <w:sz w:val="28"/>
          <w:szCs w:val="28"/>
          <w:lang w:eastAsia="zh-CN"/>
          <w:highlight w:val="auto"/>
        </w:rPr>
        <w:t>广澳海关物业管理服务项目</w:t>
      </w:r>
    </w:p>
    <w:p>
      <w:pPr>
        <w:pageBreakBefore w:val="0"/>
        <w:widowControl w:val="0"/>
        <w:kinsoku/>
        <w:wordWrap/>
        <w:overflowPunct/>
        <w:topLinePunct w:val="0"/>
        <w:bidi w:val="0"/>
        <w:spacing w:line="240" w:lineRule="auto"/>
        <w:rPr>
          <w:rFonts w:ascii="黑体" w:eastAsia="黑体"/>
          <w:color w:val="auto"/>
          <w:sz w:val="28"/>
          <w:szCs w:val="28"/>
          <w:highlight w:val="auto"/>
        </w:rPr>
      </w:pPr>
      <w:r>
        <w:rPr>
          <w:rFonts w:ascii="黑体" w:eastAsia="黑体" w:hint="eastAsia"/>
          <w:color w:val="auto"/>
          <w:sz w:val="28"/>
          <w:szCs w:val="28"/>
          <w:lang w:val="en-US" w:eastAsia="zh-CN"/>
          <w:highlight w:val="auto"/>
        </w:rPr>
        <w:t>3</w:t>
      </w:r>
      <w:r>
        <w:rPr>
          <w:rFonts w:ascii="黑体" w:eastAsia="黑体" w:hint="eastAsia"/>
          <w:color w:val="auto"/>
          <w:sz w:val="28"/>
          <w:szCs w:val="28"/>
          <w:highlight w:val="auto"/>
        </w:rPr>
        <w:t>、中标（成交）信息</w:t>
      </w:r>
    </w:p>
    <w:p>
      <w:pPr>
        <w:pageBreakBefore w:val="0"/>
        <w:widowControl w:val="0"/>
        <w:kinsoku/>
        <w:wordWrap/>
        <w:overflowPunct/>
        <w:topLinePunct w:val="0"/>
        <w:bidi w:val="0"/>
        <w:spacing w:line="240" w:lineRule="auto"/>
        <w:ind w:firstLineChars="200" w:firstLine="560"/>
        <w:rPr>
          <w:rFonts w:ascii="仿宋" w:eastAsia="仿宋" w:hint="eastAsia"/>
          <w:color w:val="auto"/>
          <w:sz w:val="28"/>
          <w:szCs w:val="28"/>
          <w:lang w:val="en-US" w:eastAsia="zh-CN"/>
          <w:highlight w:val="auto"/>
        </w:rPr>
      </w:pPr>
      <w:r>
        <w:rPr>
          <w:rFonts w:ascii="仿宋" w:eastAsia="仿宋" w:hint="eastAsia"/>
          <w:color w:val="auto"/>
          <w:sz w:val="28"/>
          <w:szCs w:val="28"/>
          <w:highlight w:val="auto"/>
        </w:rPr>
        <w:t>供应商名称：深圳市广诚环境工程有限公司</w:t>
      </w:r>
    </w:p>
    <w:p>
      <w:pPr>
        <w:pageBreakBefore w:val="0"/>
        <w:widowControl w:val="0"/>
        <w:kinsoku/>
        <w:wordWrap/>
        <w:overflowPunct/>
        <w:topLinePunct w:val="0"/>
        <w:bidi w:val="0"/>
        <w:spacing w:line="240" w:lineRule="auto"/>
        <w:ind w:firstLineChars="200" w:firstLine="560"/>
        <w:rPr>
          <w:rFonts w:ascii="仿宋" w:eastAsia="仿宋" w:hint="eastAsia"/>
          <w:color w:val="auto"/>
          <w:sz w:val="28"/>
          <w:szCs w:val="28"/>
          <w:lang w:val="en-US" w:eastAsia="zh-CN"/>
          <w:highlight w:val="auto"/>
        </w:rPr>
      </w:pPr>
      <w:r>
        <w:rPr>
          <w:rFonts w:ascii="仿宋" w:eastAsia="仿宋" w:hint="eastAsia"/>
          <w:color w:val="auto"/>
          <w:sz w:val="28"/>
          <w:szCs w:val="28"/>
          <w:highlight w:val="auto"/>
        </w:rPr>
        <w:t>供应商地址：深圳市龙岗区南湾街道下李朗社区深朗南区19号201</w:t>
      </w:r>
    </w:p>
    <w:p>
      <w:pPr>
        <w:pageBreakBefore w:val="0"/>
        <w:widowControl w:val="0"/>
        <w:kinsoku/>
        <w:wordWrap/>
        <w:overflowPunct/>
        <w:topLinePunct w:val="0"/>
        <w:bidi w:val="0"/>
        <w:spacing w:line="240" w:lineRule="auto"/>
        <w:ind w:firstLineChars="200" w:firstLine="560"/>
        <w:rPr>
          <w:rFonts w:ascii="仿宋" w:eastAsia="仿宋" w:cs="仿宋" w:hint="eastAsia"/>
          <w:color w:val="auto"/>
          <w:sz w:val="28"/>
          <w:szCs w:val="28"/>
          <w:u w:val="single"/>
          <w:lang w:val="en-US" w:eastAsia="zh-CN"/>
          <w:highlight w:val="auto"/>
        </w:rPr>
      </w:pPr>
      <w:r>
        <w:rPr>
          <w:rFonts w:ascii="仿宋" w:eastAsia="仿宋" w:hint="eastAsia"/>
          <w:color w:val="auto"/>
          <w:sz w:val="28"/>
          <w:szCs w:val="28"/>
          <w:highlight w:val="auto"/>
        </w:rPr>
        <w:t>中标（成交）</w:t>
      </w:r>
      <w:r>
        <w:rPr>
          <w:rFonts w:ascii="仿宋" w:eastAsia="仿宋" w:hint="eastAsia"/>
          <w:color w:val="auto"/>
          <w:sz w:val="28"/>
          <w:szCs w:val="28"/>
          <w:lang w:val="en-US" w:eastAsia="zh-CN"/>
          <w:highlight w:val="auto"/>
        </w:rPr>
        <w:t>价：796685.40</w:t>
      </w:r>
      <w:r>
        <w:rPr>
          <w:rFonts w:ascii="仿宋" w:eastAsia="仿宋" w:cs="仿宋" w:hint="eastAsia"/>
          <w:spacing w:val="-4"/>
          <w:sz w:val="28"/>
          <w:szCs w:val="28"/>
          <w:highlight w:val="auto"/>
        </w:rPr>
        <w:t>元</w:t>
      </w:r>
    </w:p>
    <w:p>
      <w:pPr>
        <w:pageBreakBefore w:val="0"/>
        <w:widowControl w:val="0"/>
        <w:kinsoku/>
        <w:wordWrap/>
        <w:overflowPunct/>
        <w:topLinePunct w:val="0"/>
        <w:bidi w:val="0"/>
        <w:spacing w:line="240" w:lineRule="auto"/>
        <w:rPr>
          <w:rFonts w:ascii="黑体" w:eastAsia="黑体"/>
          <w:color w:val="auto"/>
          <w:sz w:val="28"/>
          <w:szCs w:val="28"/>
          <w:highlight w:val="auto"/>
        </w:rPr>
      </w:pPr>
      <w:r>
        <w:rPr>
          <w:rFonts w:ascii="黑体" w:eastAsia="黑体" w:hint="eastAsia"/>
          <w:color w:val="auto"/>
          <w:sz w:val="28"/>
          <w:szCs w:val="28"/>
          <w:lang w:val="en-US" w:eastAsia="zh-CN"/>
          <w:highlight w:val="auto"/>
        </w:rPr>
        <w:t>4</w:t>
      </w:r>
      <w:r>
        <w:rPr>
          <w:rFonts w:ascii="黑体" w:eastAsia="黑体" w:hint="eastAsia"/>
          <w:color w:val="auto"/>
          <w:sz w:val="28"/>
          <w:szCs w:val="28"/>
          <w:highlight w:val="auto"/>
        </w:rPr>
        <w:t>、主要标的信息</w:t>
      </w:r>
    </w:p>
    <w:p>
      <w:pPr>
        <w:pageBreakBefore w:val="0"/>
        <w:widowControl w:val="0"/>
        <w:kinsoku/>
        <w:wordWrap/>
        <w:overflowPunct/>
        <w:topLinePunct w:val="0"/>
        <w:bidi w:val="0"/>
        <w:spacing w:line="240" w:lineRule="auto"/>
        <w:ind w:firstLineChars="200" w:firstLine="560"/>
        <w:rPr>
          <w:rFonts w:ascii="仿宋" w:eastAsia="仿宋" w:cs="Times New Roman" w:hint="eastAsia"/>
          <w:color w:val="auto"/>
          <w:sz w:val="28"/>
          <w:szCs w:val="28"/>
          <w:lang w:val="en-US" w:eastAsia="zh-CN"/>
          <w:highlight w:val="auto"/>
        </w:rPr>
      </w:pPr>
      <w:r>
        <w:rPr>
          <w:rFonts w:ascii="仿宋" w:eastAsia="仿宋" w:cs="Times New Roman" w:hint="eastAsia"/>
          <w:color w:val="auto"/>
          <w:sz w:val="28"/>
          <w:szCs w:val="28"/>
          <w:lang w:val="en-US" w:eastAsia="zh-CN"/>
          <w:highlight w:val="auto"/>
        </w:rPr>
        <w:t>标的名称：广澳海关物业管理服务项目</w:t>
      </w:r>
    </w:p>
    <w:p>
      <w:pPr>
        <w:pageBreakBefore w:val="0"/>
        <w:widowControl w:val="0"/>
        <w:kinsoku/>
        <w:wordWrap/>
        <w:overflowPunct/>
        <w:topLinePunct w:val="0"/>
        <w:bidi w:val="0"/>
        <w:spacing w:line="240" w:lineRule="auto"/>
        <w:ind w:firstLineChars="200" w:firstLine="560"/>
        <w:rPr>
          <w:rFonts w:ascii="仿宋" w:eastAsia="仿宋" w:cs="Times New Roman"/>
          <w:color w:val="auto"/>
          <w:sz w:val="28"/>
          <w:szCs w:val="28"/>
          <w:lang w:val="en-US" w:eastAsia="zh-CN"/>
          <w:highlight w:val="auto"/>
        </w:rPr>
      </w:pPr>
      <w:r>
        <w:rPr>
          <w:rFonts w:ascii="仿宋" w:eastAsia="仿宋" w:cs="Times New Roman" w:hint="eastAsia"/>
          <w:color w:val="auto"/>
          <w:sz w:val="28"/>
          <w:szCs w:val="28"/>
          <w:lang w:val="en-US" w:eastAsia="zh-CN"/>
          <w:highlight w:val="auto"/>
        </w:rPr>
        <w:t>标的数量：1项</w:t>
      </w:r>
    </w:p>
    <w:p>
      <w:pPr>
        <w:pageBreakBefore w:val="0"/>
        <w:widowControl w:val="0"/>
        <w:kinsoku/>
        <w:wordWrap/>
        <w:overflowPunct/>
        <w:topLinePunct w:val="0"/>
        <w:bidi w:val="0"/>
        <w:spacing w:line="240" w:lineRule="auto"/>
        <w:ind w:firstLineChars="200" w:firstLine="560"/>
        <w:rPr>
          <w:rFonts w:ascii="仿宋" w:eastAsia="仿宋" w:cs="Times New Roman" w:hint="eastAsia"/>
          <w:color w:val="auto"/>
          <w:sz w:val="28"/>
          <w:szCs w:val="28"/>
          <w:highlight w:val="auto"/>
        </w:rPr>
      </w:pPr>
      <w:r>
        <w:rPr>
          <w:rFonts w:ascii="仿宋" w:eastAsia="仿宋" w:cs="Times New Roman" w:hint="eastAsia"/>
          <w:color w:val="auto"/>
          <w:sz w:val="28"/>
          <w:szCs w:val="28"/>
          <w:highlight w:val="auto"/>
        </w:rPr>
        <w:t>服务期：服务期1年，合同约定到期考核通过，双方无异议可续签合同1年。</w:t>
      </w:r>
    </w:p>
    <w:p>
      <w:pPr>
        <w:keepNext w:val="0"/>
        <w:keepLines w:val="0"/>
        <w:pageBreakBefore w:val="0"/>
        <w:widowControl w:val="0"/>
        <w:kinsoku/>
        <w:wordWrap/>
        <w:overflowPunct/>
        <w:topLinePunct w:val="0"/>
        <w:autoSpaceDE/>
        <w:autoSpaceDN/>
        <w:bidi w:val="0"/>
        <w:adjustRightInd w:val="0"/>
        <w:snapToGrid w:val="0"/>
        <w:spacing w:beforeLines="50" w:before="156" w:line="240" w:lineRule="auto"/>
        <w:textAlignment w:val="auto"/>
        <w:rPr>
          <w:rFonts w:ascii="宋体" w:eastAsia="黑体" w:hAnsi="宋体"/>
          <w:bCs/>
          <w:color w:val="auto"/>
          <w:sz w:val="28"/>
          <w:szCs w:val="28"/>
          <w:lang w:val="en-US" w:eastAsia="zh-CN"/>
          <w:highlight w:val="auto"/>
        </w:rPr>
      </w:pPr>
      <w:r>
        <w:rPr>
          <w:rFonts w:ascii="黑体" w:eastAsia="黑体" w:hint="eastAsia"/>
          <w:color w:val="auto"/>
          <w:sz w:val="28"/>
          <w:szCs w:val="28"/>
          <w:lang w:val="en-US" w:eastAsia="zh-CN"/>
          <w:highlight w:val="auto"/>
        </w:rPr>
        <w:t>5</w:t>
      </w:r>
      <w:r>
        <w:rPr>
          <w:rFonts w:ascii="黑体" w:eastAsia="黑体" w:hint="eastAsia"/>
          <w:color w:val="auto"/>
          <w:sz w:val="28"/>
          <w:szCs w:val="28"/>
          <w:highlight w:val="auto"/>
        </w:rPr>
        <w:t>、评审专家名单：</w:t>
      </w:r>
      <w:r>
        <w:rPr>
          <w:rFonts w:ascii="黑体" w:eastAsia="黑体" w:hint="eastAsia"/>
          <w:color w:val="auto"/>
          <w:sz w:val="28"/>
          <w:szCs w:val="28"/>
          <w:lang w:val="en-US" w:eastAsia="zh-CN"/>
          <w:highlight w:val="auto"/>
        </w:rPr>
        <w:t>陈美娥、陈伟庭、陈锐深</w:t>
      </w:r>
    </w:p>
    <w:p>
      <w:pPr>
        <w:pageBreakBefore w:val="0"/>
        <w:widowControl w:val="0"/>
        <w:kinsoku/>
        <w:wordWrap/>
        <w:overflowPunct/>
        <w:topLinePunct w:val="0"/>
        <w:bidi w:val="0"/>
        <w:spacing w:line="240" w:lineRule="auto"/>
        <w:rPr>
          <w:rFonts w:ascii="黑体" w:eastAsia="黑体"/>
          <w:color w:val="auto"/>
          <w:sz w:val="28"/>
          <w:szCs w:val="28"/>
          <w:highlight w:val="auto"/>
        </w:rPr>
      </w:pPr>
      <w:r>
        <w:rPr>
          <w:rFonts w:ascii="黑体" w:eastAsia="黑体" w:hint="eastAsia"/>
          <w:color w:val="auto"/>
          <w:sz w:val="28"/>
          <w:szCs w:val="28"/>
          <w:lang w:val="en-US" w:eastAsia="zh-CN"/>
          <w:highlight w:val="auto"/>
        </w:rPr>
        <w:t>6</w:t>
      </w:r>
      <w:r>
        <w:rPr>
          <w:rFonts w:ascii="黑体" w:eastAsia="黑体" w:hint="eastAsia"/>
          <w:color w:val="auto"/>
          <w:sz w:val="28"/>
          <w:szCs w:val="28"/>
          <w:highlight w:val="auto"/>
        </w:rPr>
        <w:t>、代理服务收费标准</w:t>
      </w:r>
    </w:p>
    <w:p>
      <w:pPr>
        <w:pageBreakBefore w:val="0"/>
        <w:widowControl w:val="0"/>
        <w:kinsoku/>
        <w:wordWrap/>
        <w:overflowPunct/>
        <w:topLinePunct w:val="0"/>
        <w:bidi w:val="0"/>
        <w:spacing w:line="240" w:lineRule="auto"/>
        <w:ind w:left="0" w:firstLineChars="228" w:firstLine="638"/>
        <w:rPr>
          <w:rFonts w:ascii="仿宋" w:eastAsia="仿宋" w:hint="eastAsia"/>
          <w:color w:val="auto"/>
          <w:kern w:val="0"/>
          <w:sz w:val="28"/>
          <w:szCs w:val="28"/>
          <w:lang w:val="en-US" w:eastAsia="zh-CN"/>
          <w:highlight w:val="auto"/>
        </w:rPr>
      </w:pPr>
      <w:r>
        <w:rPr>
          <w:rFonts w:ascii="仿宋" w:eastAsia="仿宋" w:hint="eastAsia"/>
          <w:color w:val="auto"/>
          <w:kern w:val="0"/>
          <w:sz w:val="28"/>
          <w:szCs w:val="28"/>
          <w:lang w:val="en-US" w:eastAsia="zh-CN"/>
          <w:highlight w:val="auto"/>
        </w:rPr>
        <w:t>经双方约定，本项目采购代理服务费由成交供应商在领取成交通知书时一次性支付，采购代理服务费以中标价为基数参照《招标代理服务收费管理暂行办法》（计价格〔2002〕1980号文件）、国家发展和改革委员会《关于降低部分建设项目收费标准规范收费行为等有关问题的通知》（发改价格〔2011〕534号）的相关规定计算收取。</w:t>
      </w:r>
    </w:p>
    <w:p>
      <w:pPr>
        <w:pageBreakBefore w:val="0"/>
        <w:widowControl w:val="0"/>
        <w:kinsoku/>
        <w:wordWrap/>
        <w:overflowPunct/>
        <w:topLinePunct w:val="0"/>
        <w:bidi w:val="0"/>
        <w:spacing w:line="240" w:lineRule="auto"/>
        <w:rPr>
          <w:rFonts w:ascii="黑体" w:eastAsia="黑体"/>
          <w:color w:val="auto"/>
          <w:sz w:val="28"/>
          <w:szCs w:val="28"/>
          <w:highlight w:val="auto"/>
        </w:rPr>
      </w:pPr>
      <w:r>
        <w:rPr>
          <w:rFonts w:ascii="黑体" w:eastAsia="黑体" w:hint="eastAsia"/>
          <w:color w:val="auto"/>
          <w:sz w:val="28"/>
          <w:szCs w:val="28"/>
          <w:lang w:val="en-US" w:eastAsia="zh-CN"/>
          <w:highlight w:val="auto"/>
        </w:rPr>
        <w:t>7</w:t>
      </w:r>
      <w:r>
        <w:rPr>
          <w:rFonts w:ascii="黑体" w:eastAsia="黑体" w:hint="eastAsia"/>
          <w:color w:val="auto"/>
          <w:sz w:val="28"/>
          <w:szCs w:val="28"/>
          <w:highlight w:val="auto"/>
        </w:rPr>
        <w:t>、公告期限</w:t>
      </w:r>
    </w:p>
    <w:p>
      <w:pPr>
        <w:pageBreakBefore w:val="0"/>
        <w:widowControl w:val="0"/>
        <w:kinsoku/>
        <w:wordWrap/>
        <w:overflowPunct/>
        <w:topLinePunct w:val="0"/>
        <w:bidi w:val="0"/>
        <w:spacing w:line="240" w:lineRule="auto"/>
        <w:ind w:firstLineChars="200" w:firstLine="560"/>
        <w:rPr>
          <w:rFonts w:ascii="仿宋" w:eastAsia="仿宋" w:cs="宋体"/>
          <w:color w:val="auto"/>
          <w:kern w:val="0"/>
          <w:sz w:val="28"/>
          <w:szCs w:val="28"/>
          <w:highlight w:val="auto"/>
        </w:rPr>
      </w:pPr>
      <w:r>
        <w:rPr>
          <w:rFonts w:ascii="仿宋" w:eastAsia="仿宋" w:cs="宋体" w:hint="eastAsia"/>
          <w:color w:val="auto"/>
          <w:kern w:val="0"/>
          <w:sz w:val="28"/>
          <w:szCs w:val="28"/>
          <w:highlight w:val="auto"/>
        </w:rPr>
        <w:t>自本公告发布之日起</w:t>
      </w:r>
      <w:r>
        <w:rPr>
          <w:rFonts w:ascii="仿宋" w:eastAsia="仿宋" w:cs="宋体"/>
          <w:color w:val="auto"/>
          <w:kern w:val="0"/>
          <w:sz w:val="28"/>
          <w:szCs w:val="28"/>
          <w:highlight w:val="auto"/>
        </w:rPr>
        <w:t>1</w:t>
      </w:r>
      <w:r>
        <w:rPr>
          <w:rFonts w:ascii="仿宋" w:eastAsia="仿宋" w:cs="宋体" w:hint="eastAsia"/>
          <w:color w:val="auto"/>
          <w:kern w:val="0"/>
          <w:sz w:val="28"/>
          <w:szCs w:val="28"/>
          <w:highlight w:val="auto"/>
        </w:rPr>
        <w:t>个工作日。</w:t>
      </w:r>
    </w:p>
    <w:p>
      <w:pPr>
        <w:pageBreakBefore w:val="0"/>
        <w:widowControl w:val="0"/>
        <w:kinsoku/>
        <w:wordWrap/>
        <w:overflowPunct/>
        <w:topLinePunct w:val="0"/>
        <w:bidi w:val="0"/>
        <w:spacing w:line="240" w:lineRule="auto"/>
        <w:rPr>
          <w:rFonts w:ascii="黑体" w:eastAsia="黑体" w:cs="仿宋"/>
          <w:color w:val="auto"/>
          <w:sz w:val="28"/>
          <w:szCs w:val="28"/>
          <w:highlight w:val="auto"/>
        </w:rPr>
      </w:pPr>
      <w:r>
        <w:rPr>
          <w:rFonts w:ascii="黑体" w:eastAsia="黑体" w:cs="仿宋" w:hint="eastAsia"/>
          <w:color w:val="auto"/>
          <w:sz w:val="28"/>
          <w:szCs w:val="28"/>
          <w:lang w:val="en-US" w:eastAsia="zh-CN"/>
          <w:highlight w:val="auto"/>
        </w:rPr>
        <w:t>8</w:t>
      </w:r>
      <w:r>
        <w:rPr>
          <w:rFonts w:ascii="黑体" w:eastAsia="黑体" w:cs="仿宋" w:hint="eastAsia"/>
          <w:color w:val="auto"/>
          <w:sz w:val="28"/>
          <w:szCs w:val="28"/>
          <w:highlight w:val="auto"/>
        </w:rPr>
        <w:t>、其他补充事宜</w:t>
      </w:r>
    </w:p>
    <w:p>
      <w:pPr>
        <w:keepNext w:val="0"/>
        <w:keepLines w:val="0"/>
        <w:pageBreakBefore w:val="0"/>
        <w:widowControl w:val="0"/>
        <w:kinsoku/>
        <w:wordWrap/>
        <w:overflowPunct/>
        <w:topLinePunct w:val="0"/>
        <w:autoSpaceDE/>
        <w:autoSpaceDN/>
        <w:bidi w:val="0"/>
        <w:adjustRightInd/>
        <w:snapToGrid/>
        <w:spacing w:line="240" w:lineRule="auto"/>
        <w:ind w:firstLineChars="200" w:firstLine="560"/>
        <w:textAlignment w:val="auto"/>
        <w:rPr>
          <w:rFonts w:ascii="黑体" w:eastAsia="黑体" w:cs="仿宋"/>
          <w:color w:val="auto"/>
          <w:sz w:val="28"/>
          <w:szCs w:val="28"/>
          <w:highlight w:val="auto"/>
        </w:rPr>
      </w:pPr>
      <w:r>
        <w:rPr>
          <w:rFonts w:ascii="黑体" w:eastAsia="黑体" w:cs="仿宋" w:hint="eastAsia"/>
          <w:color w:val="auto"/>
          <w:sz w:val="28"/>
          <w:szCs w:val="28"/>
          <w:highlight w:val="auto"/>
        </w:rPr>
        <w:t>经过评审，</w:t>
      </w:r>
      <w:r>
        <w:rPr>
          <w:rFonts w:ascii="黑体" w:eastAsia="黑体" w:cs="仿宋" w:hint="eastAsia"/>
          <w:color w:val="auto"/>
          <w:sz w:val="28"/>
          <w:szCs w:val="28"/>
          <w:lang w:val="en-US" w:eastAsia="zh-CN"/>
          <w:highlight w:val="auto"/>
        </w:rPr>
        <w:t>3</w:t>
      </w:r>
      <w:r>
        <w:rPr>
          <w:rFonts w:ascii="黑体" w:eastAsia="黑体" w:cs="仿宋" w:hint="eastAsia"/>
          <w:color w:val="auto"/>
          <w:sz w:val="28"/>
          <w:szCs w:val="28"/>
          <w:highlight w:val="auto"/>
        </w:rPr>
        <w:t>家供应商的综合得分如下：</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560"/>
        <w:textAlignment w:val="auto"/>
        <w:rPr>
          <w:rFonts w:ascii="仿宋" w:eastAsia="仿宋" w:cs="宋体"/>
          <w:color w:val="auto"/>
          <w:kern w:val="0"/>
          <w:sz w:val="28"/>
          <w:szCs w:val="28"/>
          <w:lang w:val="en-US" w:eastAsia="zh-CN"/>
          <w:highlight w:val="auto"/>
        </w:rPr>
      </w:pPr>
      <w:r>
        <w:rPr>
          <w:rFonts w:ascii="仿宋" w:eastAsia="仿宋" w:cs="宋体"/>
          <w:color w:val="auto"/>
          <w:kern w:val="0"/>
          <w:sz w:val="28"/>
          <w:szCs w:val="28"/>
          <w:lang w:val="en-US" w:eastAsia="zh-CN" w:bidi="ar-SA"/>
          <w:highlight w:val="auto"/>
        </w:rPr>
        <w:t>1、</w:t>
      </w:r>
      <w:r>
        <w:rPr>
          <w:rFonts w:ascii="仿宋" w:eastAsia="仿宋" w:cs="宋体" w:hint="eastAsia"/>
          <w:color w:val="auto"/>
          <w:kern w:val="0"/>
          <w:sz w:val="28"/>
          <w:szCs w:val="28"/>
          <w:lang w:val="en-US" w:eastAsia="zh-CN"/>
          <w:highlight w:val="auto"/>
        </w:rPr>
        <w:t>深圳市广诚环境工程有限公司，综合得分：80.33分，排序：1；</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560"/>
        <w:textAlignment w:val="auto"/>
        <w:rPr>
          <w:rFonts w:ascii="仿宋" w:eastAsia="仿宋" w:cs="宋体"/>
          <w:color w:val="auto"/>
          <w:kern w:val="0"/>
          <w:sz w:val="28"/>
          <w:szCs w:val="28"/>
          <w:lang w:val="en-US" w:eastAsia="zh-CN"/>
          <w:highlight w:val="auto"/>
        </w:rPr>
      </w:pPr>
      <w:r>
        <w:rPr>
          <w:rFonts w:ascii="仿宋" w:eastAsia="仿宋" w:cs="宋体" w:hint="eastAsia"/>
          <w:color w:val="auto"/>
          <w:kern w:val="0"/>
          <w:sz w:val="28"/>
          <w:szCs w:val="28"/>
          <w:lang w:val="en-US" w:eastAsia="zh-CN" w:bidi="ar-SA"/>
          <w:highlight w:val="auto"/>
        </w:rPr>
        <w:t>2、</w:t>
      </w:r>
      <w:r>
        <w:rPr>
          <w:rFonts w:ascii="仿宋" w:eastAsia="仿宋" w:cs="宋体" w:hint="eastAsia"/>
          <w:color w:val="auto"/>
          <w:kern w:val="0"/>
          <w:sz w:val="28"/>
          <w:szCs w:val="28"/>
          <w:lang w:val="en-US" w:eastAsia="zh-CN"/>
          <w:highlight w:val="auto"/>
        </w:rPr>
        <w:t>汕头市洁荣环境工程有限公司，综合得分：59.99分，排序：3；</w:t>
      </w:r>
    </w:p>
    <w:p>
      <w:pPr>
        <w:keepNext w:val="0"/>
        <w:keepLines w:val="0"/>
        <w:pageBreakBefore w:val="0"/>
        <w:widowControl w:val="0"/>
        <w:kinsoku/>
        <w:wordWrap/>
        <w:overflowPunct/>
        <w:topLinePunct w:val="0"/>
        <w:autoSpaceDE/>
        <w:autoSpaceDN/>
        <w:bidi w:val="0"/>
        <w:adjustRightInd/>
        <w:snapToGrid/>
        <w:spacing w:line="240" w:lineRule="auto"/>
        <w:ind w:left="0" w:firstLineChars="200" w:firstLine="560"/>
        <w:textAlignment w:val="auto"/>
        <w:rPr>
          <w:rFonts w:ascii="仿宋" w:eastAsia="仿宋" w:cs="宋体"/>
          <w:color w:val="auto"/>
          <w:kern w:val="0"/>
          <w:sz w:val="28"/>
          <w:szCs w:val="28"/>
          <w:lang w:val="en-US" w:eastAsia="zh-CN"/>
          <w:highlight w:val="auto"/>
        </w:rPr>
      </w:pPr>
      <w:r>
        <w:rPr>
          <w:rFonts w:ascii="仿宋" w:eastAsia="仿宋" w:cs="宋体" w:hint="eastAsia"/>
          <w:color w:val="auto"/>
          <w:kern w:val="0"/>
          <w:sz w:val="28"/>
          <w:szCs w:val="28"/>
          <w:lang w:val="en-US" w:eastAsia="zh-CN" w:bidi="ar-SA"/>
          <w:highlight w:val="auto"/>
        </w:rPr>
        <w:t>3、</w:t>
      </w:r>
      <w:r>
        <w:rPr>
          <w:rFonts w:ascii="仿宋" w:eastAsia="仿宋" w:cs="宋体" w:hint="eastAsia"/>
          <w:color w:val="auto"/>
          <w:kern w:val="0"/>
          <w:sz w:val="28"/>
          <w:szCs w:val="28"/>
          <w:lang w:val="en-US" w:eastAsia="zh-CN"/>
          <w:highlight w:val="auto"/>
        </w:rPr>
        <w:t>广东洁好物业管理有限公司，综合得分：60.97分，排序：2。</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黑体" w:eastAsia="黑体" w:cs="宋体"/>
          <w:color w:val="auto"/>
          <w:kern w:val="0"/>
          <w:sz w:val="28"/>
          <w:szCs w:val="28"/>
          <w:highlight w:val="auto"/>
        </w:rPr>
      </w:pPr>
      <w:r>
        <w:rPr>
          <w:rFonts w:ascii="黑体" w:eastAsia="黑体" w:cs="宋体" w:hint="eastAsia"/>
          <w:color w:val="auto"/>
          <w:kern w:val="0"/>
          <w:sz w:val="28"/>
          <w:szCs w:val="28"/>
          <w:lang w:val="en-US" w:eastAsia="zh-CN"/>
          <w:highlight w:val="auto"/>
        </w:rPr>
        <w:t>9</w:t>
      </w:r>
      <w:r>
        <w:rPr>
          <w:rFonts w:ascii="黑体" w:eastAsia="黑体" w:cs="宋体" w:hint="eastAsia"/>
          <w:color w:val="auto"/>
          <w:kern w:val="0"/>
          <w:sz w:val="28"/>
          <w:szCs w:val="28"/>
          <w:highlight w:val="auto"/>
        </w:rPr>
        <w:t>、凡对本次公告内容提出询问，请按以下方式联系。</w:t>
      </w:r>
    </w:p>
    <w:p>
      <w:pPr>
        <w:pStyle w:val="2"/>
        <w:keepNext/>
        <w:keepLines/>
        <w:pageBreakBefore w:val="0"/>
        <w:widowControl w:val="0"/>
        <w:kinsoku/>
        <w:wordWrap/>
        <w:overflowPunct/>
        <w:topLinePunct w:val="0"/>
        <w:autoSpaceDE/>
        <w:autoSpaceDN/>
        <w:bidi w:val="0"/>
        <w:adjustRightInd/>
        <w:snapToGrid/>
        <w:spacing w:before="0" w:after="0" w:line="240" w:lineRule="auto"/>
        <w:ind w:firstLineChars="200" w:firstLine="560"/>
        <w:textAlignment w:val="auto"/>
        <w:rPr>
          <w:rFonts w:ascii="仿宋" w:eastAsia="仿宋" w:cs="宋体"/>
          <w:b w:val="0"/>
          <w:color w:val="auto"/>
          <w:sz w:val="28"/>
          <w:szCs w:val="28"/>
          <w:highlight w:val="auto"/>
        </w:rPr>
      </w:pPr>
      <w:bookmarkStart w:id="3" w:name="_Toc28359023"/>
      <w:bookmarkStart w:id="4" w:name="_Toc35393810"/>
      <w:bookmarkStart w:id="5" w:name="_Toc35393641"/>
      <w:bookmarkStart w:id="6" w:name="_Toc28359100"/>
      <w:r>
        <w:rPr>
          <w:rFonts w:ascii="仿宋" w:eastAsia="仿宋" w:cs="宋体" w:hint="eastAsia"/>
          <w:b w:val="0"/>
          <w:color w:val="auto"/>
          <w:sz w:val="28"/>
          <w:szCs w:val="28"/>
          <w:highlight w:val="auto"/>
        </w:rPr>
        <w:t>1.采购人信息</w:t>
      </w:r>
      <w:bookmarkEnd w:id="3"/>
      <w:bookmarkEnd w:id="4"/>
      <w:bookmarkEnd w:id="5"/>
      <w:bookmarkEnd w:id="6"/>
    </w:p>
    <w:p>
      <w:pPr>
        <w:pageBreakBefore w:val="0"/>
        <w:widowControl w:val="0"/>
        <w:kinsoku/>
        <w:wordWrap/>
        <w:overflowPunct/>
        <w:topLinePunct w:val="0"/>
        <w:autoSpaceDE/>
        <w:autoSpaceDN/>
        <w:bidi w:val="0"/>
        <w:adjustRightInd/>
        <w:snapToGrid/>
        <w:spacing w:line="240" w:lineRule="auto"/>
        <w:ind w:leftChars="371" w:left="1129" w:hangingChars="125" w:hanging="350"/>
        <w:jc w:val="left"/>
        <w:textAlignment w:val="auto"/>
        <w:rPr>
          <w:rFonts w:ascii="仿宋" w:eastAsia="仿宋" w:hint="eastAsia"/>
          <w:color w:val="auto"/>
          <w:sz w:val="28"/>
          <w:szCs w:val="28"/>
          <w:lang w:eastAsia="zh-CN"/>
          <w:highlight w:val="auto"/>
        </w:rPr>
      </w:pPr>
      <w:r>
        <w:rPr>
          <w:rFonts w:ascii="仿宋" w:eastAsia="仿宋" w:hint="eastAsia"/>
          <w:color w:val="auto"/>
          <w:sz w:val="28"/>
          <w:szCs w:val="28"/>
          <w:highlight w:val="auto"/>
        </w:rPr>
        <w:t>名    称：</w:t>
      </w:r>
      <w:r>
        <w:rPr>
          <w:rFonts w:ascii="仿宋" w:eastAsia="仿宋" w:hint="eastAsia"/>
          <w:color w:val="auto"/>
          <w:sz w:val="28"/>
          <w:szCs w:val="28"/>
          <w:u w:val="single"/>
          <w:lang w:eastAsia="zh-CN"/>
          <w:highlight w:val="auto"/>
        </w:rPr>
        <w:t>中华人民共和国广澳海关</w:t>
      </w:r>
    </w:p>
    <w:p>
      <w:pPr>
        <w:pageBreakBefore w:val="0"/>
        <w:widowControl w:val="0"/>
        <w:kinsoku/>
        <w:wordWrap/>
        <w:overflowPunct/>
        <w:topLinePunct w:val="0"/>
        <w:autoSpaceDE/>
        <w:autoSpaceDN/>
        <w:bidi w:val="0"/>
        <w:adjustRightInd/>
        <w:snapToGrid/>
        <w:spacing w:line="240" w:lineRule="auto"/>
        <w:ind w:leftChars="371" w:left="1129" w:hangingChars="125" w:hanging="350"/>
        <w:jc w:val="left"/>
        <w:textAlignment w:val="auto"/>
        <w:rPr>
          <w:rFonts w:ascii="仿宋" w:eastAsia="仿宋" w:hint="eastAsia"/>
          <w:color w:val="auto"/>
          <w:sz w:val="28"/>
          <w:szCs w:val="28"/>
          <w:u w:val="single"/>
          <w:lang w:val="en-US" w:eastAsia="zh-CN"/>
          <w:highlight w:val="auto"/>
        </w:rPr>
      </w:pPr>
      <w:r>
        <w:rPr>
          <w:rFonts w:ascii="仿宋" w:eastAsia="仿宋" w:hint="eastAsia"/>
          <w:color w:val="auto"/>
          <w:sz w:val="28"/>
          <w:szCs w:val="28"/>
          <w:highlight w:val="auto"/>
        </w:rPr>
        <w:t>地    址：</w:t>
      </w:r>
      <w:r>
        <w:rPr>
          <w:rFonts w:ascii="仿宋" w:eastAsia="仿宋" w:cs="Times New Roman" w:hint="eastAsia"/>
          <w:color w:val="auto"/>
          <w:sz w:val="28"/>
          <w:szCs w:val="28"/>
          <w:u w:val="single"/>
          <w:lang w:eastAsia="zh-CN"/>
          <w:highlight w:val="auto"/>
        </w:rPr>
        <w:t>广东省汕头市濠江区巨峰风景区路中段</w:t>
      </w:r>
      <w:r>
        <w:rPr>
          <w:rFonts w:ascii="仿宋" w:eastAsia="仿宋" w:hint="eastAsia"/>
          <w:color w:val="auto"/>
          <w:sz w:val="28"/>
          <w:szCs w:val="28"/>
          <w:highlight w:val="auto"/>
        </w:rPr>
        <w:t xml:space="preserve"> </w:t>
      </w:r>
    </w:p>
    <w:p>
      <w:pPr>
        <w:pStyle w:val="2"/>
        <w:keepNext/>
        <w:keepLines/>
        <w:pageBreakBefore w:val="0"/>
        <w:widowControl w:val="0"/>
        <w:kinsoku/>
        <w:wordWrap/>
        <w:overflowPunct/>
        <w:topLinePunct w:val="0"/>
        <w:autoSpaceDE/>
        <w:autoSpaceDN/>
        <w:bidi w:val="0"/>
        <w:adjustRightInd/>
        <w:snapToGrid/>
        <w:spacing w:before="0" w:after="0" w:line="240" w:lineRule="auto"/>
        <w:ind w:firstLineChars="300" w:firstLine="840"/>
        <w:textAlignment w:val="auto"/>
        <w:rPr>
          <w:rFonts w:ascii="仿宋" w:eastAsia="仿宋" w:cs="Times New Roman" w:hint="eastAsia"/>
          <w:b w:val="0"/>
          <w:bCs w:val="0"/>
          <w:color w:val="auto"/>
          <w:kern w:val="2"/>
          <w:sz w:val="28"/>
          <w:szCs w:val="28"/>
          <w:u w:val="single"/>
          <w:lang w:val="en-US" w:eastAsia="zh-CN" w:bidi="ar-SA"/>
          <w:highlight w:val="auto"/>
        </w:rPr>
      </w:pPr>
      <w:r>
        <w:rPr>
          <w:rFonts w:ascii="仿宋" w:eastAsia="仿宋" w:cs="Times New Roman" w:hint="eastAsia"/>
          <w:b w:val="0"/>
          <w:bCs w:val="0"/>
          <w:color w:val="auto"/>
          <w:kern w:val="2"/>
          <w:sz w:val="28"/>
          <w:szCs w:val="28"/>
          <w:lang w:val="en-US" w:eastAsia="zh-CN" w:bidi="ar-SA"/>
          <w:highlight w:val="auto"/>
        </w:rPr>
        <w:t>联系方式：</w:t>
      </w:r>
      <w:bookmarkStart w:id="7" w:name="_Toc28359024"/>
      <w:bookmarkStart w:id="8" w:name="_Toc35393811"/>
      <w:bookmarkStart w:id="9" w:name="_Toc35393642"/>
      <w:bookmarkStart w:id="10" w:name="_Toc28359101"/>
      <w:r>
        <w:rPr>
          <w:rFonts w:ascii="仿宋" w:eastAsia="仿宋" w:cs="Times New Roman" w:hint="eastAsia"/>
          <w:b w:val="0"/>
          <w:bCs w:val="0"/>
          <w:color w:val="auto"/>
          <w:kern w:val="2"/>
          <w:sz w:val="28"/>
          <w:szCs w:val="28"/>
          <w:u w:val="single"/>
          <w:lang w:val="en-US" w:eastAsia="zh-CN" w:bidi="ar-SA"/>
          <w:highlight w:val="auto"/>
        </w:rPr>
        <w:t>魏先生0754-88072921</w:t>
      </w:r>
    </w:p>
    <w:p>
      <w:pPr>
        <w:pStyle w:val="2"/>
        <w:keepNext/>
        <w:keepLines/>
        <w:pageBreakBefore w:val="0"/>
        <w:widowControl w:val="0"/>
        <w:kinsoku/>
        <w:wordWrap/>
        <w:overflowPunct/>
        <w:topLinePunct w:val="0"/>
        <w:autoSpaceDE/>
        <w:autoSpaceDN/>
        <w:bidi w:val="0"/>
        <w:adjustRightInd/>
        <w:snapToGrid/>
        <w:spacing w:before="0" w:after="0" w:line="240" w:lineRule="auto"/>
        <w:ind w:firstLineChars="200" w:firstLine="560"/>
        <w:textAlignment w:val="auto"/>
        <w:rPr>
          <w:rFonts w:ascii="仿宋" w:eastAsia="仿宋" w:cs="宋体" w:hint="eastAsia"/>
          <w:b w:val="0"/>
          <w:color w:val="auto"/>
          <w:sz w:val="28"/>
          <w:szCs w:val="28"/>
          <w:highlight w:val="auto"/>
        </w:rPr>
      </w:pPr>
      <w:r>
        <w:rPr>
          <w:rFonts w:ascii="仿宋" w:eastAsia="仿宋" w:cs="宋体" w:hint="eastAsia"/>
          <w:b w:val="0"/>
          <w:color w:val="auto"/>
          <w:sz w:val="28"/>
          <w:szCs w:val="28"/>
          <w:highlight w:val="auto"/>
        </w:rPr>
        <w:t>2.采购代理机构信息</w:t>
      </w:r>
      <w:bookmarkEnd w:id="7"/>
      <w:bookmarkEnd w:id="8"/>
      <w:bookmarkEnd w:id="9"/>
      <w:bookmarkEnd w:id="10"/>
    </w:p>
    <w:p>
      <w:pPr>
        <w:pageBreakBefore w:val="0"/>
        <w:widowControl w:val="0"/>
        <w:kinsoku/>
        <w:wordWrap/>
        <w:overflowPunct/>
        <w:topLinePunct w:val="0"/>
        <w:autoSpaceDE/>
        <w:autoSpaceDN/>
        <w:bidi w:val="0"/>
        <w:adjustRightInd/>
        <w:snapToGrid/>
        <w:spacing w:line="240" w:lineRule="auto"/>
        <w:ind w:firstLineChars="300" w:firstLine="840"/>
        <w:textAlignment w:val="auto"/>
        <w:rPr>
          <w:rFonts w:ascii="仿宋" w:eastAsia="仿宋" w:hint="eastAsia"/>
          <w:color w:val="auto"/>
          <w:sz w:val="28"/>
          <w:szCs w:val="28"/>
          <w:lang w:eastAsia="zh-CN"/>
          <w:highlight w:val="auto"/>
        </w:rPr>
      </w:pPr>
      <w:r>
        <w:rPr>
          <w:rFonts w:ascii="仿宋" w:eastAsia="仿宋" w:hint="eastAsia"/>
          <w:color w:val="auto"/>
          <w:sz w:val="28"/>
          <w:szCs w:val="28"/>
          <w:highlight w:val="auto"/>
        </w:rPr>
        <w:t>名    称：</w:t>
      </w:r>
      <w:r>
        <w:rPr>
          <w:rFonts w:ascii="仿宋" w:eastAsia="仿宋" w:hint="eastAsia"/>
          <w:color w:val="auto"/>
          <w:sz w:val="28"/>
          <w:szCs w:val="28"/>
          <w:u w:val="single"/>
          <w:lang w:eastAsia="zh-CN"/>
          <w:highlight w:val="auto"/>
        </w:rPr>
        <w:t>广东众诚招标有限公司</w:t>
      </w:r>
    </w:p>
    <w:p>
      <w:pPr>
        <w:pageBreakBefore w:val="0"/>
        <w:widowControl w:val="0"/>
        <w:kinsoku/>
        <w:wordWrap/>
        <w:overflowPunct/>
        <w:topLinePunct w:val="0"/>
        <w:autoSpaceDE/>
        <w:autoSpaceDN/>
        <w:bidi w:val="0"/>
        <w:adjustRightInd/>
        <w:snapToGrid/>
        <w:spacing w:line="240" w:lineRule="auto"/>
        <w:ind w:firstLineChars="300" w:firstLine="840"/>
        <w:textAlignment w:val="auto"/>
        <w:rPr>
          <w:rFonts w:ascii="仿宋" w:eastAsia="仿宋" w:hint="eastAsia"/>
          <w:color w:val="auto"/>
          <w:sz w:val="28"/>
          <w:szCs w:val="28"/>
          <w:lang w:eastAsia="zh-CN"/>
          <w:highlight w:val="auto"/>
        </w:rPr>
      </w:pPr>
      <w:r>
        <w:rPr>
          <w:rFonts w:ascii="仿宋" w:eastAsia="仿宋" w:hint="eastAsia"/>
          <w:color w:val="auto"/>
          <w:sz w:val="28"/>
          <w:szCs w:val="28"/>
          <w:highlight w:val="auto"/>
        </w:rPr>
        <w:t>地　　址：</w:t>
      </w:r>
      <w:r>
        <w:rPr>
          <w:rFonts w:ascii="仿宋" w:eastAsia="仿宋" w:hint="eastAsia"/>
          <w:color w:val="auto"/>
          <w:sz w:val="28"/>
          <w:szCs w:val="28"/>
          <w:u w:val="single"/>
          <w:highlight w:val="auto"/>
        </w:rPr>
        <w:t>汕头市海湾一城时代花园16幢2梯1203号房之一</w:t>
      </w:r>
    </w:p>
    <w:p>
      <w:pPr>
        <w:pageBreakBefore w:val="0"/>
        <w:widowControl w:val="0"/>
        <w:kinsoku/>
        <w:wordWrap/>
        <w:overflowPunct/>
        <w:topLinePunct w:val="0"/>
        <w:autoSpaceDE/>
        <w:autoSpaceDN/>
        <w:bidi w:val="0"/>
        <w:adjustRightInd/>
        <w:snapToGrid/>
        <w:spacing w:line="240" w:lineRule="auto"/>
        <w:ind w:firstLineChars="300" w:firstLine="840"/>
        <w:textAlignment w:val="auto"/>
        <w:rPr>
          <w:rFonts w:ascii="仿宋" w:eastAsia="仿宋" w:hint="eastAsia"/>
          <w:color w:val="auto"/>
          <w:sz w:val="28"/>
          <w:szCs w:val="28"/>
          <w:u w:val="single"/>
          <w:lang w:eastAsia="zh-CN"/>
          <w:highlight w:val="auto"/>
        </w:rPr>
      </w:pPr>
      <w:r>
        <w:rPr>
          <w:rFonts w:ascii="仿宋" w:eastAsia="仿宋" w:hint="eastAsia"/>
          <w:color w:val="auto"/>
          <w:sz w:val="28"/>
          <w:szCs w:val="28"/>
          <w:highlight w:val="auto"/>
        </w:rPr>
        <w:t>联系方式：</w:t>
      </w:r>
      <w:r>
        <w:rPr>
          <w:rFonts w:ascii="仿宋" w:eastAsia="仿宋" w:hint="eastAsia"/>
          <w:color w:val="auto"/>
          <w:sz w:val="28"/>
          <w:szCs w:val="28"/>
          <w:u w:val="single"/>
          <w:highlight w:val="auto"/>
        </w:rPr>
        <w:t>18025542221</w:t>
      </w:r>
    </w:p>
    <w:p>
      <w:pPr>
        <w:pStyle w:val="2"/>
        <w:keepNext/>
        <w:keepLines/>
        <w:pageBreakBefore w:val="0"/>
        <w:widowControl w:val="0"/>
        <w:kinsoku/>
        <w:wordWrap/>
        <w:overflowPunct/>
        <w:topLinePunct w:val="0"/>
        <w:autoSpaceDE/>
        <w:autoSpaceDN/>
        <w:bidi w:val="0"/>
        <w:adjustRightInd/>
        <w:snapToGrid/>
        <w:spacing w:before="0" w:after="0" w:line="240" w:lineRule="auto"/>
        <w:ind w:firstLineChars="200" w:firstLine="560"/>
        <w:textAlignment w:val="auto"/>
        <w:rPr>
          <w:rFonts w:ascii="仿宋" w:eastAsia="仿宋" w:cs="宋体" w:hint="eastAsia"/>
          <w:b w:val="0"/>
          <w:color w:val="auto"/>
          <w:sz w:val="28"/>
          <w:szCs w:val="28"/>
          <w:highlight w:val="auto"/>
        </w:rPr>
      </w:pPr>
      <w:bookmarkStart w:id="11" w:name="_Toc35393643"/>
      <w:bookmarkStart w:id="12" w:name="_Toc28359102"/>
      <w:bookmarkStart w:id="13" w:name="_Toc35393812"/>
      <w:bookmarkStart w:id="14" w:name="_Toc28359025"/>
      <w:r>
        <w:rPr>
          <w:rFonts w:ascii="仿宋" w:eastAsia="仿宋" w:cs="宋体" w:hint="eastAsia"/>
          <w:b w:val="0"/>
          <w:color w:val="auto"/>
          <w:sz w:val="28"/>
          <w:szCs w:val="28"/>
          <w:highlight w:val="auto"/>
        </w:rPr>
        <w:t>3.项目联系方式</w:t>
      </w:r>
      <w:bookmarkEnd w:id="11"/>
      <w:bookmarkEnd w:id="12"/>
      <w:bookmarkEnd w:id="13"/>
      <w:bookmarkEnd w:id="14"/>
    </w:p>
    <w:p>
      <w:pPr>
        <w:pageBreakBefore w:val="0"/>
        <w:widowControl w:val="0"/>
        <w:kinsoku/>
        <w:wordWrap/>
        <w:overflowPunct/>
        <w:topLinePunct w:val="0"/>
        <w:autoSpaceDE/>
        <w:autoSpaceDN/>
        <w:bidi w:val="0"/>
        <w:adjustRightInd/>
        <w:snapToGrid/>
        <w:spacing w:line="240" w:lineRule="auto"/>
        <w:ind w:firstLineChars="300" w:firstLine="840"/>
        <w:textAlignment w:val="auto"/>
        <w:rPr>
          <w:rFonts w:ascii="仿宋" w:eastAsia="仿宋" w:hint="eastAsia"/>
          <w:color w:val="auto"/>
          <w:sz w:val="28"/>
          <w:szCs w:val="28"/>
          <w:u w:val="single"/>
          <w:lang w:eastAsia="zh-CN"/>
          <w:highlight w:val="auto"/>
        </w:rPr>
      </w:pPr>
      <w:r>
        <w:rPr>
          <w:rFonts w:ascii="仿宋" w:eastAsia="仿宋" w:hint="eastAsia"/>
          <w:color w:val="auto"/>
          <w:sz w:val="28"/>
          <w:szCs w:val="28"/>
          <w:highlight w:val="auto"/>
        </w:rPr>
        <w:t>项目联系人：</w:t>
      </w:r>
      <w:r>
        <w:rPr>
          <w:rFonts w:ascii="仿宋" w:eastAsia="仿宋" w:hint="eastAsia"/>
          <w:color w:val="auto"/>
          <w:sz w:val="28"/>
          <w:szCs w:val="28"/>
          <w:u w:val="single"/>
          <w:lang w:val="en-US" w:eastAsia="zh-CN"/>
          <w:highlight w:val="auto"/>
        </w:rPr>
        <w:t>余</w:t>
      </w:r>
      <w:r>
        <w:rPr>
          <w:rFonts w:ascii="仿宋" w:eastAsia="仿宋" w:hint="eastAsia"/>
          <w:color w:val="auto"/>
          <w:sz w:val="28"/>
          <w:szCs w:val="28"/>
          <w:u w:val="single"/>
          <w:highlight w:val="auto"/>
        </w:rPr>
        <w:t>工</w:t>
      </w:r>
    </w:p>
    <w:p>
      <w:pPr>
        <w:pageBreakBefore w:val="0"/>
        <w:widowControl w:val="0"/>
        <w:kinsoku/>
        <w:wordWrap/>
        <w:overflowPunct/>
        <w:topLinePunct w:val="0"/>
        <w:bidi w:val="0"/>
        <w:spacing w:line="240" w:lineRule="auto"/>
        <w:ind w:firstLineChars="300" w:firstLine="840"/>
        <w:rPr>
          <w:rFonts w:ascii="仿宋" w:eastAsia="仿宋" w:hint="eastAsia"/>
          <w:color w:val="auto"/>
          <w:sz w:val="28"/>
          <w:szCs w:val="28"/>
          <w:highlight w:val="auto"/>
        </w:rPr>
      </w:pPr>
      <w:r>
        <w:rPr>
          <w:rFonts w:ascii="仿宋" w:eastAsia="仿宋" w:hint="eastAsia"/>
          <w:color w:val="auto"/>
          <w:sz w:val="28"/>
          <w:szCs w:val="28"/>
          <w:highlight w:val="auto"/>
        </w:rPr>
        <w:t>电　  话：</w:t>
      </w:r>
      <w:r>
        <w:rPr>
          <w:rFonts w:ascii="仿宋" w:eastAsia="仿宋" w:hint="eastAsia"/>
          <w:color w:val="auto"/>
          <w:sz w:val="28"/>
          <w:szCs w:val="28"/>
          <w:u w:val="single"/>
          <w:highlight w:val="auto"/>
        </w:rPr>
        <w:t>18025542221</w:t>
      </w:r>
    </w:p>
    <w:p>
      <w:pPr>
        <w:keepNext w:val="0"/>
        <w:keepLines w:val="0"/>
        <w:pageBreakBefore w:val="0"/>
        <w:widowControl w:val="0"/>
        <w:kinsoku/>
        <w:wordWrap/>
        <w:overflowPunct/>
        <w:topLinePunct w:val="0"/>
        <w:autoSpaceDE/>
        <w:autoSpaceDN/>
        <w:bidi w:val="0"/>
        <w:adjustRightInd/>
        <w:snapToGrid/>
        <w:spacing w:line="480" w:lineRule="exact"/>
        <w:ind w:firstLineChars="200" w:firstLine="560"/>
        <w:jc w:val="right"/>
        <w:textAlignment w:val="auto"/>
        <w:rPr>
          <w:rFonts w:ascii="仿宋" w:eastAsia="仿宋" w:hint="eastAsia"/>
          <w:color w:val="auto"/>
          <w:sz w:val="28"/>
          <w:szCs w:val="28"/>
          <w:u w:val="none"/>
          <w:lang w:eastAsia="zh-CN"/>
          <w:highlight w:val="auto"/>
        </w:rPr>
      </w:pPr>
    </w:p>
    <w:p>
      <w:pPr>
        <w:keepNext w:val="0"/>
        <w:keepLines w:val="0"/>
        <w:pageBreakBefore w:val="0"/>
        <w:widowControl w:val="0"/>
        <w:kinsoku/>
        <w:wordWrap/>
        <w:overflowPunct/>
        <w:topLinePunct w:val="0"/>
        <w:autoSpaceDE/>
        <w:autoSpaceDN/>
        <w:bidi w:val="0"/>
        <w:adjustRightInd/>
        <w:snapToGrid/>
        <w:spacing w:line="480" w:lineRule="exact"/>
        <w:ind w:firstLineChars="200" w:firstLine="560"/>
        <w:jc w:val="right"/>
        <w:textAlignment w:val="auto"/>
        <w:rPr>
          <w:rFonts w:ascii="仿宋" w:eastAsia="仿宋" w:hint="eastAsia"/>
          <w:color w:val="auto"/>
          <w:sz w:val="28"/>
          <w:szCs w:val="28"/>
          <w:u w:val="none"/>
          <w:lang w:eastAsia="zh-CN"/>
          <w:highlight w:val="auto"/>
        </w:rPr>
      </w:pPr>
      <w:r>
        <w:rPr>
          <w:rFonts w:ascii="仿宋" w:eastAsia="仿宋" w:hint="eastAsia"/>
          <w:color w:val="auto"/>
          <w:sz w:val="28"/>
          <w:szCs w:val="28"/>
          <w:u w:val="none"/>
          <w:lang w:eastAsia="zh-CN"/>
          <w:highlight w:val="auto"/>
        </w:rPr>
        <w:t>中华人民共和国广澳海关</w:t>
      </w:r>
    </w:p>
    <w:p>
      <w:pPr>
        <w:keepNext w:val="0"/>
        <w:keepLines w:val="0"/>
        <w:pageBreakBefore w:val="0"/>
        <w:widowControl w:val="0"/>
        <w:kinsoku/>
        <w:wordWrap/>
        <w:overflowPunct/>
        <w:topLinePunct w:val="0"/>
        <w:autoSpaceDE/>
        <w:autoSpaceDN/>
        <w:bidi w:val="0"/>
        <w:adjustRightInd/>
        <w:snapToGrid/>
        <w:spacing w:line="480" w:lineRule="exact"/>
        <w:ind w:firstLineChars="200" w:firstLine="560"/>
        <w:jc w:val="right"/>
        <w:textAlignment w:val="auto"/>
        <w:rPr>
          <w:rFonts w:ascii="仿宋" w:eastAsia="仿宋" w:hint="eastAsia"/>
          <w:color w:val="auto"/>
          <w:sz w:val="28"/>
          <w:szCs w:val="28"/>
          <w:u w:val="none"/>
          <w:lang w:eastAsia="zh-CN"/>
          <w:highlight w:val="auto"/>
        </w:rPr>
      </w:pPr>
      <w:r>
        <w:rPr>
          <w:rFonts w:ascii="仿宋" w:eastAsia="仿宋" w:hint="eastAsia"/>
          <w:color w:val="auto"/>
          <w:sz w:val="28"/>
          <w:szCs w:val="28"/>
          <w:u w:val="none"/>
          <w:lang w:eastAsia="zh-CN"/>
          <w:highlight w:val="auto"/>
        </w:rPr>
        <w:t>广东众诚招标有限公司</w:t>
      </w:r>
    </w:p>
    <w:p>
      <w:pPr>
        <w:keepNext w:val="0"/>
        <w:keepLines w:val="0"/>
        <w:pageBreakBefore w:val="0"/>
        <w:widowControl w:val="0"/>
        <w:kinsoku/>
        <w:wordWrap/>
        <w:overflowPunct/>
        <w:topLinePunct w:val="0"/>
        <w:autoSpaceDE/>
        <w:autoSpaceDN/>
        <w:bidi w:val="0"/>
        <w:adjustRightInd/>
        <w:snapToGrid/>
        <w:spacing w:line="480" w:lineRule="exact"/>
        <w:ind w:firstLineChars="200" w:firstLine="560"/>
        <w:jc w:val="right"/>
        <w:textAlignment w:val="auto"/>
        <w:rPr>
          <w:rFonts w:ascii="仿宋" w:eastAsia="仿宋"/>
          <w:color w:val="auto"/>
          <w:sz w:val="28"/>
          <w:szCs w:val="28"/>
          <w:u w:val="none"/>
          <w:lang w:val="en-US" w:eastAsia="zh-CN"/>
          <w:highlight w:val="auto"/>
        </w:rPr>
      </w:pPr>
      <w:r>
        <w:rPr>
          <w:rFonts w:ascii="仿宋" w:eastAsia="仿宋" w:hint="eastAsia"/>
          <w:color w:val="auto"/>
          <w:sz w:val="28"/>
          <w:szCs w:val="28"/>
          <w:u w:val="none"/>
          <w:lang w:val="en-US" w:eastAsia="zh-CN"/>
          <w:highlight w:val="auto"/>
        </w:rPr>
        <w:t>2025年7月25日</w:t>
      </w:r>
    </w:p>
    <w:sectPr>
      <w:pgSz w:w="11906" w:h="16838"/>
      <w:pgMar w:top="1020" w:right="1080" w:bottom="1440" w:left="108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华文中宋">
    <w:altName w:val="宋体"/>
    <w:panose1 w:val="02010600040101010101"/>
    <w:charset w:val="86"/>
    <w:family w:val="auto"/>
    <w:pitch w:val="variable"/>
    <w:sig w:usb0="00000000" w:usb1="00000000" w:usb2="00000000" w:usb3="00000000" w:csb0="0004009F" w:csb1="DFD70000"/>
  </w:font>
  <w:font w:name="黑体">
    <w:panose1 w:val="02010609060101010101"/>
    <w:charset w:val="86"/>
    <w:family w:val="auto"/>
    <w:pitch w:val="variable"/>
    <w:sig w:usb0="800002BF" w:usb1="38CF7CFA" w:usb2="00000016" w:usb3="00000000" w:csb0="00040001" w:csb1="00000000"/>
  </w:font>
  <w:font w:name="Times New Roman">
    <w:panose1 w:val="02020603050405020304"/>
    <w:charset w:val="01"/>
    <w:family w:val="swiss"/>
    <w:pitch w:val="variable"/>
    <w:sig w:usb0="E0002EFF" w:usb1="C000785B" w:usb2="00000009" w:usb3="00000000" w:csb0="400001FF" w:csb1="FFFF0000"/>
  </w:font>
  <w:font w:name="仿宋">
    <w:panose1 w:val="02010609060101010101"/>
    <w:charset w:val="86"/>
    <w:family w:val="modern"/>
    <w:pitch w:val="variable"/>
    <w:sig w:usb0="800002BF" w:usb1="38CF7CFA" w:usb2="00000016" w:usb3="00000000" w:csb0="00040001" w:csb1="00000000"/>
  </w:font>
  <w:font w:name="宋体">
    <w:panose1 w:val="02010600030101010101"/>
    <w:charset w:val="88"/>
    <w:family w:val="auto"/>
    <w:pitch w:val="variable"/>
    <w:sig w:usb0="000000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bordersDoNotSurroundHeader w:val="0"/>
  <w:bordersDoNotSurroundFooter w:val="0"/>
  <w:trackRevision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ulTrailSpace/>
    <w:doNotExpandShiftReturn/>
    <w:adjustLineHeightInTable/>
    <w:doNotUseIndentAsNumberingTabStop/>
    <w:useAltKinsokuLineBreakRules/>
    <w:compatSetting w:name="compatibilityMode" w:uri="http://schemas.microsoft.com/office/word" w:val="14"/>
  </w:compat>
  <w:docVars>
    <w:docVar w:name="commondata" w:val="eyJoZGlkIjoiMzgzYWNkNTVhNjNjZDFjMGRjOWQwY2FmM2EwYTcwYWQifQ=="/>
    <w:docVar w:name="KSO_WPS_MARK_KEY" w:val="2e8045f5-93e8-424d-b216-35eb214bf5a7"/>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1"/>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Arial" w:eastAsia="黑体" w:cs="Arial" w:hAnsi="Arial"/>
      <w:b/>
      <w:bCs/>
      <w:sz w:val="32"/>
      <w:szCs w:val="32"/>
    </w:rPr>
  </w:style>
  <w:style w:type="character" w:default="1" w:styleId="10">
    <w:name w:val="Default Paragraph Font"/>
  </w:style>
  <w:style w:type="paragraph" w:styleId="15">
    <w:name w:val="Body Text Indent"/>
    <w:basedOn w:val="0"/>
    <w:pPr>
      <w:widowControl/>
      <w:overflowPunct w:val="0"/>
      <w:autoSpaceDE w:val="0"/>
      <w:autoSpaceDN w:val="0"/>
      <w:adjustRightInd w:val="0"/>
      <w:spacing w:line="360" w:lineRule="auto"/>
      <w:ind w:firstLine="540"/>
      <w:textAlignment w:val="baseline"/>
    </w:pPr>
    <w:rPr>
      <w:rFonts w:ascii="宋体"/>
      <w:spacing w:val="12"/>
      <w:kern w:val="0"/>
      <w:sz w:val="24"/>
      <w:szCs w:val="20"/>
    </w:rPr>
  </w:style>
  <w:style w:type="paragraph" w:styleId="16">
    <w:name w:val="Plain Text"/>
    <w:basedOn w:val="0"/>
    <w:rPr>
      <w:rFonts w:ascii="宋体" w:eastAsia="宋体" w:cs="Arial"/>
      <w:szCs w:val="22"/>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Body Text First Indent 2"/>
    <w:basedOn w:val="15"/>
    <w:pPr>
      <w:ind w:left="0" w:firstLineChars="200" w:firstLine="200"/>
    </w:pPr>
    <w:rPr>
      <w:kern w:val="0"/>
      <w:sz w:val="24"/>
      <w:szCs w:val="20"/>
    </w:rPr>
  </w:style>
  <w:style w:type="paragraph" w:customStyle="1" w:styleId="20">
    <w:name w:val="首行缩进"/>
    <w:basedOn w:val="0"/>
    <w:pPr>
      <w:ind w:firstLineChars="200" w:firstLine="200"/>
    </w:pPr>
    <w:rPr>
      <w:lang w:val="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0</TotalTime>
  <Application>Yozo_Office</Application>
  <Pages>2</Pages>
  <Words>658</Words>
  <Characters>754</Characters>
  <Lines>41</Lines>
  <Paragraphs>36</Paragraphs>
  <CharactersWithSpaces>772</CharactersWithSpaces>
  <Company>微软中国</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蔡锦萍</cp:lastModifiedBy>
  <cp:revision>10</cp:revision>
  <dcterms:created xsi:type="dcterms:W3CDTF">2020-08-24T03:38:00Z</dcterms:created>
  <dcterms:modified xsi:type="dcterms:W3CDTF">2025-09-18T08:38:23Z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2052-12.1.0.21915</vt:lpwstr>
  </property>
  <property fmtid="{D5CDD505-2E9C-101B-9397-08002B2CF9AE}" pid="3" name="ICV">
    <vt:lpwstr>4FDC831DF06543A59C473F8A288DEDB1</vt:lpwstr>
  </property>
  <property fmtid="{D5CDD505-2E9C-101B-9397-08002B2CF9AE}" pid="4" name="KSOTemplateDocerSaveRecord">
    <vt:lpwstr>eyJoZGlkIjoiMzgzYWNkNTVhNjNjZDFjMGRjOWQwY2FmM2EwYTcwYWQiLCJ1c2VySWQiOiIxMzQxMDE2MzQwIn0=</vt:lpwstr>
  </property>
</Properties>
</file>