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keepNext w:val="0"/>
        <w:keepLines w:val="0"/>
        <w:pageBreakBefore w:val="0"/>
        <w:widowControl w:val="0"/>
        <w:suppressAutoHyphens/>
        <w:kinsoku/>
        <w:wordWrap/>
        <w:overflowPunct/>
        <w:topLinePunct w:val="0"/>
        <w:autoSpaceDE/>
        <w:autoSpaceDN/>
        <w:adjustRightInd/>
        <w:snapToGrid w:val="0"/>
        <w:spacing w:line="560" w:lineRule="exact"/>
        <w:ind w:left="0" w:firstLine="0"/>
        <w:jc w:val="left"/>
        <w:rPr>
          <w:rFonts w:eastAsia="方正小标宋_GBK"/>
          <w:b w:val="0"/>
          <w:sz w:val="44"/>
          <w:szCs w:val="44"/>
          <w:lang w:eastAsia="zh-CN"/>
        </w:rPr>
      </w:pPr>
      <w:r>
        <w:rPr>
          <w:rFonts w:ascii="方正仿宋_GBK" w:eastAsia="方正仿宋_GBK" w:cs="黑体" w:hint="eastAsia"/>
          <w:sz w:val="32"/>
          <w:szCs w:val="32"/>
          <w:lang w:val="en-US" w:eastAsia="zh-CN"/>
        </w:rPr>
        <w:t>附件</w:t>
      </w:r>
      <w:r>
        <w:rPr>
          <w:rFonts w:ascii="方正仿宋_GBK" w:eastAsia="方正仿宋_GBK" w:hint="eastAsia"/>
          <w:sz w:val="32"/>
          <w:szCs w:val="32"/>
          <w:lang w:val="en-US" w:eastAsia="zh-CN"/>
        </w:rPr>
        <w:t>1</w:t>
      </w:r>
      <w:bookmarkStart w:id="0" w:name="_Toc238284355"/>
    </w:p>
    <w:p>
      <w:pPr>
        <w:spacing w:line="560" w:lineRule="exact"/>
        <w:jc w:val="center"/>
        <w:rPr>
          <w:rFonts w:eastAsia="方正小标宋_GBK"/>
          <w:b w:val="0"/>
          <w:sz w:val="44"/>
          <w:szCs w:val="44"/>
          <w:lang w:eastAsia="zh-CN"/>
        </w:rPr>
      </w:pPr>
      <w:bookmarkEnd w:id="0"/>
      <w:r>
        <w:rPr>
          <w:rFonts w:eastAsia="方正小标宋_GBK"/>
          <w:b w:val="0"/>
          <w:sz w:val="44"/>
          <w:szCs w:val="44"/>
          <w:lang w:eastAsia="zh-CN"/>
        </w:rPr>
        <w:t>2025-2026年度关区网络设备维护服务项目</w:t>
      </w:r>
    </w:p>
    <w:p>
      <w:pPr>
        <w:spacing w:line="560" w:lineRule="exact"/>
        <w:jc w:val="center"/>
        <w:rPr>
          <w:rFonts w:eastAsia="方正仿宋_GBK"/>
          <w:bCs/>
          <w:color w:val="000000"/>
          <w:kern w:val="0"/>
          <w:sz w:val="32"/>
          <w:szCs w:val="32"/>
          <w:lang w:eastAsia="zh-CN"/>
        </w:rPr>
      </w:pPr>
      <w:r>
        <w:rPr>
          <w:rFonts w:eastAsia="方正小标宋_GBK"/>
          <w:b w:val="0"/>
          <w:sz w:val="44"/>
          <w:szCs w:val="44"/>
          <w:lang w:eastAsia="zh-CN"/>
        </w:rPr>
        <w:t>采购需求</w:t>
      </w:r>
    </w:p>
    <w:p>
      <w:pPr>
        <w:pStyle w:val="19"/>
        <w:numPr>
          <w:ilvl w:val="0"/>
          <w:numId w:val="0"/>
        </w:numPr>
        <w:spacing w:before="0" w:after="0" w:line="560" w:lineRule="exact"/>
        <w:ind w:left="0" w:right="240" w:firstLineChars="200" w:firstLine="632"/>
        <w:rPr>
          <w:rFonts w:eastAsia="方正黑体_GBK"/>
          <w:b w:val="0"/>
          <w:sz w:val="32"/>
          <w:szCs w:val="32"/>
          <w:lang w:eastAsia="zh-CN"/>
        </w:rPr>
      </w:pPr>
      <w:r>
        <w:rPr>
          <w:rFonts w:eastAsia="方正黑体_GBK"/>
          <w:b w:val="0"/>
          <w:sz w:val="32"/>
          <w:szCs w:val="32"/>
          <w:lang w:eastAsia="zh-CN"/>
        </w:rPr>
        <w:t>一、项目名称</w:t>
      </w:r>
    </w:p>
    <w:p>
      <w:pPr>
        <w:pStyle w:val="19"/>
        <w:numPr>
          <w:ilvl w:val="0"/>
          <w:numId w:val="0"/>
        </w:numPr>
        <w:spacing w:before="0" w:after="0" w:line="560" w:lineRule="exact"/>
        <w:ind w:left="0" w:right="240" w:firstLineChars="200" w:firstLine="632"/>
        <w:rPr>
          <w:rFonts w:eastAsia="方正仿宋_GBK"/>
          <w:b w:val="0"/>
          <w:sz w:val="32"/>
          <w:szCs w:val="32"/>
          <w:bdr w:val="none" w:sz="0" w:space="0" w:color="auto"/>
        </w:rPr>
      </w:pPr>
      <w:r>
        <w:rPr>
          <w:rFonts w:eastAsia="方正仿宋_GBK"/>
          <w:b w:val="0"/>
          <w:sz w:val="32"/>
          <w:szCs w:val="32"/>
          <w:bdr w:val="none" w:sz="0" w:space="0" w:color="auto"/>
        </w:rPr>
        <w:t>2025-2026年度关区网络设备维护服务项目</w:t>
      </w:r>
      <w:r>
        <w:rPr>
          <w:rFonts w:eastAsia="方正仿宋_GBK"/>
          <w:b w:val="0"/>
          <w:sz w:val="32"/>
          <w:szCs w:val="32"/>
          <w:bdr w:val="none" w:sz="0" w:space="0" w:color="auto"/>
        </w:rPr>
        <w:t>。</w:t>
      </w:r>
    </w:p>
    <w:p>
      <w:pPr>
        <w:pStyle w:val="19"/>
        <w:numPr>
          <w:ilvl w:val="0"/>
          <w:numId w:val="0"/>
        </w:numPr>
        <w:spacing w:before="0" w:after="0" w:line="560" w:lineRule="exact"/>
        <w:ind w:left="0" w:right="240" w:firstLineChars="200" w:firstLine="632"/>
        <w:rPr>
          <w:rFonts w:eastAsia="方正黑体_GBK"/>
          <w:b w:val="0"/>
          <w:sz w:val="32"/>
          <w:szCs w:val="32"/>
          <w:bdr w:val="none" w:sz="0" w:space="0" w:color="auto"/>
        </w:rPr>
      </w:pPr>
      <w:r>
        <w:rPr>
          <w:rFonts w:eastAsia="方正黑体_GBK"/>
          <w:b w:val="0"/>
          <w:sz w:val="32"/>
          <w:szCs w:val="32"/>
          <w:bdr w:val="none" w:sz="0" w:space="0" w:color="auto"/>
        </w:rPr>
        <w:t>二、单位地址</w:t>
      </w:r>
    </w:p>
    <w:p>
      <w:pPr>
        <w:pStyle w:val="19"/>
        <w:numPr>
          <w:ilvl w:val="0"/>
          <w:numId w:val="0"/>
        </w:numPr>
        <w:spacing w:before="0" w:after="0" w:line="560" w:lineRule="exact"/>
        <w:ind w:left="0" w:right="240" w:firstLineChars="200" w:firstLine="632"/>
        <w:rPr>
          <w:rFonts w:eastAsia="方正黑体_GBK"/>
          <w:b w:val="0"/>
          <w:sz w:val="32"/>
          <w:szCs w:val="32"/>
          <w:lang w:eastAsia="zh-CN"/>
        </w:rPr>
      </w:pPr>
      <w:r>
        <w:rPr>
          <w:rFonts w:eastAsia="方正仿宋_GBK"/>
          <w:b w:val="0"/>
          <w:sz w:val="32"/>
          <w:szCs w:val="32"/>
          <w:bdr w:val="none" w:sz="0" w:space="0" w:color="auto"/>
          <w:lang w:eastAsia="zh-CN"/>
        </w:rPr>
        <w:t>汕头市珠江路34号。</w:t>
      </w:r>
    </w:p>
    <w:p>
      <w:pPr>
        <w:pStyle w:val="19"/>
        <w:numPr>
          <w:ilvl w:val="0"/>
          <w:numId w:val="0"/>
        </w:numPr>
        <w:spacing w:before="0" w:after="0" w:line="560" w:lineRule="exact"/>
        <w:ind w:left="0" w:right="240" w:firstLineChars="200" w:firstLine="632"/>
        <w:rPr>
          <w:rFonts w:eastAsia="方正黑体_GBK"/>
          <w:b w:val="0"/>
          <w:sz w:val="32"/>
          <w:szCs w:val="32"/>
        </w:rPr>
      </w:pPr>
      <w:r>
        <w:rPr>
          <w:rFonts w:eastAsia="方正黑体_GBK"/>
          <w:b w:val="0"/>
          <w:sz w:val="32"/>
          <w:szCs w:val="32"/>
          <w:lang w:eastAsia="zh-CN"/>
        </w:rPr>
        <w:t>三、</w:t>
      </w:r>
      <w:r>
        <w:rPr>
          <w:rFonts w:eastAsia="方正黑体_GBK"/>
          <w:b w:val="0"/>
          <w:sz w:val="32"/>
          <w:szCs w:val="32"/>
        </w:rPr>
        <w:t>项目概述</w:t>
      </w:r>
    </w:p>
    <w:p>
      <w:pPr>
        <w:pStyle w:val="20"/>
        <w:spacing w:line="560" w:lineRule="exact"/>
        <w:rPr>
          <w:rFonts w:eastAsia="方正仿宋_GBK"/>
          <w:color w:val="000000"/>
          <w:sz w:val="32"/>
          <w:szCs w:val="32"/>
        </w:rPr>
      </w:pPr>
      <w:r>
        <w:rPr>
          <w:rFonts w:ascii="方正仿宋_GBK" w:eastAsia="方正仿宋_GBK" w:hint="eastAsia"/>
          <w:vanish w:val="0"/>
          <w:sz w:val="32"/>
          <w:szCs w:val="32"/>
        </w:rPr>
        <w:t>供应商</w:t>
      </w:r>
      <w:r>
        <w:rPr>
          <w:rFonts w:ascii="方正仿宋_GBK" w:eastAsia="方正仿宋_GBK"/>
          <w:vanish w:val="0"/>
          <w:sz w:val="32"/>
          <w:szCs w:val="32"/>
        </w:rPr>
        <w:t>按照</w:t>
      </w:r>
      <w:r>
        <w:rPr>
          <w:rFonts w:ascii="方正仿宋_GBK" w:eastAsia="方正仿宋_GBK" w:hint="eastAsia"/>
          <w:vanish w:val="0"/>
          <w:sz w:val="32"/>
          <w:szCs w:val="32"/>
        </w:rPr>
        <w:t>汕头海关的要求，</w:t>
      </w:r>
      <w:r>
        <w:rPr>
          <w:rFonts w:eastAsia="方正仿宋_GBK"/>
          <w:sz w:val="32"/>
          <w:szCs w:val="32"/>
        </w:rPr>
        <w:t>为</w:t>
      </w:r>
      <w:r>
        <w:rPr>
          <w:rFonts w:eastAsia="方正仿宋_GBK"/>
          <w:sz w:val="32"/>
          <w:szCs w:val="32"/>
          <w:bdr w:val="none" w:sz="0" w:space="0" w:color="auto"/>
          <w:lang w:val="en-US" w:eastAsia="zh-CN"/>
        </w:rPr>
        <w:t>关区在用的435台网络设备和视频监控关键设备购买</w:t>
      </w:r>
      <w:r>
        <w:rPr>
          <w:rFonts w:eastAsia="方正仿宋_GBK"/>
          <w:sz w:val="32"/>
          <w:szCs w:val="32"/>
        </w:rPr>
        <w:t>应急维护</w:t>
      </w:r>
      <w:r>
        <w:rPr>
          <w:rFonts w:eastAsia="方正仿宋_GBK"/>
          <w:bCs/>
          <w:color w:val="000000"/>
          <w:kern w:val="0"/>
          <w:sz w:val="32"/>
          <w:szCs w:val="32"/>
        </w:rPr>
        <w:t>服务。</w:t>
      </w:r>
    </w:p>
    <w:p>
      <w:pPr>
        <w:pStyle w:val="19"/>
        <w:numPr>
          <w:ilvl w:val="0"/>
          <w:numId w:val="0"/>
        </w:numPr>
        <w:spacing w:before="0" w:after="0" w:line="560" w:lineRule="exact"/>
        <w:ind w:left="0" w:right="240" w:firstLineChars="200" w:firstLine="632"/>
        <w:rPr>
          <w:rFonts w:eastAsia="方正黑体_GBK"/>
          <w:b w:val="0"/>
          <w:sz w:val="32"/>
          <w:szCs w:val="32"/>
          <w:bdr w:val="none" w:sz="0" w:space="0" w:color="auto"/>
          <w:lang w:val="en-US" w:eastAsia="zh-CN"/>
        </w:rPr>
      </w:pPr>
      <w:r>
        <w:rPr>
          <w:rFonts w:eastAsia="方正黑体_GBK"/>
          <w:b w:val="0"/>
          <w:sz w:val="32"/>
          <w:szCs w:val="32"/>
          <w:bdr w:val="none" w:sz="0" w:space="0" w:color="auto"/>
          <w:lang w:val="en-US" w:eastAsia="zh-CN"/>
        </w:rPr>
        <w:t>四、服务内容</w:t>
      </w:r>
    </w:p>
    <w:p>
      <w:pPr>
        <w:pStyle w:val="51"/>
        <w:numPr>
          <w:ilvl w:val="0"/>
          <w:numId w:val="0"/>
        </w:numPr>
        <w:spacing w:before="0" w:after="0" w:line="560" w:lineRule="exact"/>
        <w:ind w:left="720" w:right="240"/>
        <w:rPr>
          <w:rFonts w:ascii="方正楷体_GBK" w:eastAsia="方正楷体_GBK" w:hint="eastAsia"/>
          <w:b w:val="0"/>
          <w:bCs w:val="0"/>
          <w:bdr w:val="none" w:sz="0" w:space="0" w:color="auto"/>
          <w:lang w:eastAsia="zh-CN"/>
        </w:rPr>
      </w:pPr>
      <w:bookmarkStart w:id="1" w:name="_Toc238284360"/>
      <w:r>
        <w:rPr>
          <w:rFonts w:ascii="方正楷体_GBK" w:eastAsia="方正楷体_GBK" w:hint="eastAsia"/>
          <w:b w:val="0"/>
          <w:bCs w:val="0"/>
          <w:bdr w:val="none" w:sz="0" w:space="0" w:color="auto"/>
          <w:lang w:eastAsia="zh-CN"/>
        </w:rPr>
        <w:t>（一）设备应急维护</w:t>
      </w:r>
    </w:p>
    <w:p>
      <w:pPr>
        <w:pStyle w:val="52"/>
        <w:spacing w:line="560" w:lineRule="exact"/>
        <w:ind w:left="0" w:firstLineChars="200" w:firstLine="632"/>
        <w:rPr>
          <w:rFonts w:eastAsia="方正仿宋_GBK"/>
          <w:color w:val="000000"/>
          <w:sz w:val="32"/>
          <w:szCs w:val="32"/>
        </w:rPr>
      </w:pPr>
      <w:r>
        <w:rPr>
          <w:rFonts w:eastAsia="方正仿宋_GBK"/>
          <w:color w:val="000000"/>
          <w:sz w:val="32"/>
          <w:szCs w:val="32"/>
        </w:rPr>
        <w:t>1</w:t>
      </w:r>
      <w:r>
        <w:rPr>
          <w:rFonts w:eastAsia="方正仿宋_GBK"/>
          <w:kern w:val="2"/>
          <w:sz w:val="32"/>
          <w:szCs w:val="32"/>
          <w:lang w:eastAsia="zh-CN"/>
        </w:rPr>
        <w:t>.</w:t>
      </w:r>
      <w:r>
        <w:rPr>
          <w:rFonts w:eastAsia="方正仿宋_GBK" w:hint="eastAsia"/>
          <w:color w:val="000000"/>
          <w:sz w:val="32"/>
          <w:szCs w:val="32"/>
        </w:rPr>
        <w:t>为关区网络设备提供全年</w:t>
      </w:r>
      <w:r>
        <w:rPr>
          <w:rFonts w:eastAsia="方正仿宋_GBK"/>
          <w:color w:val="000000"/>
          <w:sz w:val="32"/>
          <w:szCs w:val="32"/>
        </w:rPr>
        <w:t>7×24×0.5</w:t>
      </w:r>
      <w:r>
        <w:rPr>
          <w:rFonts w:eastAsia="方正仿宋_GBK" w:hint="eastAsia"/>
          <w:color w:val="000000"/>
          <w:sz w:val="32"/>
          <w:szCs w:val="32"/>
        </w:rPr>
        <w:t>快速响应应急维护服务；</w:t>
      </w:r>
      <w:r>
        <w:rPr>
          <w:rFonts w:eastAsia="方正仿宋_GBK"/>
          <w:color w:val="000000"/>
          <w:sz w:val="32"/>
          <w:szCs w:val="32"/>
        </w:rPr>
        <w:t>为关区所有网络设备提供备件保障和每季度预防性检查服务。</w:t>
      </w:r>
    </w:p>
    <w:p>
      <w:pPr>
        <w:pStyle w:val="52"/>
        <w:spacing w:line="560" w:lineRule="exact"/>
        <w:ind w:left="0" w:firstLineChars="200" w:firstLine="632"/>
        <w:rPr>
          <w:rFonts w:eastAsia="方正仿宋_GBK"/>
          <w:color w:val="000000"/>
          <w:sz w:val="32"/>
          <w:szCs w:val="32"/>
        </w:rPr>
      </w:pPr>
      <w:r>
        <w:rPr>
          <w:rFonts w:eastAsia="方正仿宋_GBK"/>
          <w:color w:val="000000"/>
          <w:sz w:val="32"/>
          <w:szCs w:val="32"/>
        </w:rPr>
        <w:t>2</w:t>
      </w:r>
      <w:r>
        <w:rPr>
          <w:rFonts w:eastAsia="方正仿宋_GBK"/>
          <w:kern w:val="2"/>
          <w:sz w:val="32"/>
          <w:szCs w:val="32"/>
          <w:lang w:eastAsia="zh-CN"/>
        </w:rPr>
        <w:t>.</w:t>
      </w:r>
      <w:r>
        <w:rPr>
          <w:rFonts w:eastAsia="方正仿宋_GBK" w:hint="eastAsia"/>
          <w:color w:val="000000"/>
          <w:sz w:val="32"/>
          <w:szCs w:val="32"/>
        </w:rPr>
        <w:t>为关区视频监控</w:t>
      </w:r>
      <w:r>
        <w:rPr>
          <w:rFonts w:eastAsia="方正仿宋_GBK"/>
          <w:color w:val="000000"/>
          <w:sz w:val="32"/>
          <w:szCs w:val="32"/>
        </w:rPr>
        <w:t>关键设备</w:t>
      </w:r>
      <w:r>
        <w:rPr>
          <w:rFonts w:eastAsia="方正仿宋_GBK" w:hint="eastAsia"/>
          <w:color w:val="000000"/>
          <w:sz w:val="32"/>
          <w:szCs w:val="32"/>
        </w:rPr>
        <w:t>提供</w:t>
      </w:r>
      <w:r>
        <w:rPr>
          <w:rFonts w:eastAsia="方正仿宋_GBK"/>
          <w:color w:val="000000"/>
          <w:sz w:val="32"/>
          <w:szCs w:val="32"/>
        </w:rPr>
        <w:t>7×24×0.5</w:t>
      </w:r>
      <w:r>
        <w:rPr>
          <w:rFonts w:eastAsia="方正仿宋_GBK" w:hint="eastAsia"/>
          <w:color w:val="000000"/>
          <w:sz w:val="32"/>
          <w:szCs w:val="32"/>
        </w:rPr>
        <w:t>快速响应应急维护服务</w:t>
      </w:r>
      <w:r>
        <w:rPr>
          <w:rFonts w:eastAsia="方正仿宋_GBK"/>
          <w:color w:val="000000"/>
          <w:sz w:val="32"/>
          <w:szCs w:val="32"/>
        </w:rPr>
        <w:t>。</w:t>
      </w:r>
    </w:p>
    <w:p>
      <w:pPr>
        <w:pStyle w:val="51"/>
        <w:numPr>
          <w:ilvl w:val="0"/>
          <w:numId w:val="0"/>
        </w:numPr>
        <w:spacing w:before="0" w:after="0" w:line="560" w:lineRule="exact"/>
        <w:ind w:left="720" w:right="240"/>
        <w:rPr>
          <w:rFonts w:ascii="方正楷体_GBK" w:eastAsia="方正楷体_GBK" w:hint="eastAsia"/>
          <w:b w:val="0"/>
          <w:bCs w:val="0"/>
          <w:bdr w:val="none" w:sz="0" w:space="0" w:color="auto"/>
          <w:lang w:eastAsia="zh-CN"/>
        </w:rPr>
      </w:pPr>
      <w:r>
        <w:rPr>
          <w:rFonts w:ascii="方正楷体_GBK" w:eastAsia="方正楷体_GBK" w:hint="eastAsia"/>
          <w:b w:val="0"/>
          <w:bCs w:val="0"/>
          <w:bdr w:val="none" w:sz="0" w:space="0" w:color="auto"/>
          <w:lang w:eastAsia="zh-CN"/>
        </w:rPr>
        <w:t>（二）后台技术支持及培训</w:t>
      </w:r>
    </w:p>
    <w:p>
      <w:pPr>
        <w:pStyle w:val="52"/>
        <w:spacing w:line="560" w:lineRule="exact"/>
        <w:ind w:left="0" w:firstLineChars="200" w:firstLine="632"/>
        <w:rPr>
          <w:rFonts w:eastAsia="方正仿宋_GBK"/>
          <w:color w:val="000000"/>
          <w:sz w:val="32"/>
          <w:szCs w:val="32"/>
        </w:rPr>
      </w:pPr>
      <w:r>
        <w:rPr>
          <w:rFonts w:eastAsia="方正仿宋_GBK"/>
          <w:color w:val="000000"/>
          <w:sz w:val="32"/>
          <w:szCs w:val="32"/>
        </w:rPr>
        <w:t>1</w:t>
      </w:r>
      <w:r>
        <w:rPr>
          <w:rFonts w:eastAsia="方正仿宋_GBK"/>
          <w:kern w:val="2"/>
          <w:sz w:val="32"/>
          <w:szCs w:val="32"/>
          <w:lang w:eastAsia="zh-CN"/>
        </w:rPr>
        <w:t>.</w:t>
      </w:r>
      <w:r>
        <w:rPr>
          <w:rFonts w:eastAsia="方正仿宋_GBK"/>
          <w:color w:val="000000"/>
          <w:sz w:val="32"/>
          <w:szCs w:val="32"/>
        </w:rPr>
        <w:t>为关区信息化项目网络建设提供技术咨询和后台团队支撑保障服务。</w:t>
      </w:r>
    </w:p>
    <w:p>
      <w:pPr>
        <w:pStyle w:val="52"/>
        <w:spacing w:line="560" w:lineRule="exact"/>
        <w:ind w:left="0" w:firstLineChars="200" w:firstLine="632"/>
        <w:rPr>
          <w:rFonts w:eastAsia="方正仿宋_GBK"/>
          <w:color w:val="000000"/>
          <w:sz w:val="32"/>
          <w:szCs w:val="32"/>
        </w:rPr>
      </w:pPr>
      <w:r>
        <w:rPr>
          <w:rFonts w:eastAsia="方正仿宋_GBK"/>
          <w:color w:val="000000"/>
          <w:sz w:val="32"/>
          <w:szCs w:val="32"/>
        </w:rPr>
        <w:t>2.为关区信息系统维护人员提供至少一次技术培训服务。</w:t>
      </w:r>
    </w:p>
    <w:p>
      <w:pPr>
        <w:pStyle w:val="53"/>
        <w:numPr>
          <w:ilvl w:val="0"/>
          <w:numId w:val="0"/>
        </w:numPr>
        <w:spacing w:before="0" w:after="0" w:line="560" w:lineRule="exact"/>
        <w:ind w:left="0" w:right="240" w:firstLineChars="200" w:firstLine="632"/>
        <w:rPr>
          <w:rFonts w:eastAsia="方正黑体_GBK"/>
          <w:b w:val="0"/>
          <w:sz w:val="32"/>
          <w:szCs w:val="32"/>
          <w:lang w:eastAsia="zh-CN"/>
        </w:rPr>
      </w:pPr>
      <w:bookmarkStart w:id="2" w:name="_Toc238284358"/>
      <w:bookmarkEnd w:id="1"/>
      <w:r>
        <w:rPr>
          <w:rFonts w:eastAsia="方正黑体_GBK"/>
          <w:b w:val="0"/>
          <w:sz w:val="32"/>
          <w:szCs w:val="32"/>
          <w:lang w:val="en-US" w:eastAsia="zh-CN"/>
        </w:rPr>
        <w:t>五、</w:t>
      </w:r>
      <w:bookmarkEnd w:id="2"/>
      <w:r>
        <w:rPr>
          <w:rFonts w:eastAsia="方正黑体_GBK"/>
          <w:b w:val="0"/>
          <w:sz w:val="32"/>
          <w:szCs w:val="32"/>
          <w:lang w:eastAsia="zh-CN"/>
        </w:rPr>
        <w:t>具体要求</w:t>
      </w:r>
    </w:p>
    <w:p>
      <w:pPr>
        <w:pStyle w:val="55"/>
        <w:spacing w:line="560" w:lineRule="exact"/>
        <w:ind w:firstLineChars="200" w:firstLine="632"/>
        <w:rPr>
          <w:rFonts w:eastAsia="方正仿宋_GBK"/>
          <w:sz w:val="32"/>
          <w:szCs w:val="32"/>
        </w:rPr>
      </w:pPr>
      <w:r>
        <w:rPr>
          <w:rFonts w:eastAsia="方正仿宋_GBK" w:hint="eastAsia"/>
          <w:sz w:val="32"/>
          <w:szCs w:val="32"/>
          <w:lang w:val="en-US" w:eastAsia="zh-CN"/>
        </w:rPr>
        <w:t>服务</w:t>
      </w:r>
      <w:r>
        <w:rPr>
          <w:rFonts w:eastAsia="方正仿宋_GBK"/>
          <w:sz w:val="32"/>
          <w:szCs w:val="32"/>
          <w:lang w:val="en-US" w:eastAsia="zh-CN"/>
        </w:rPr>
        <w:t>供应商</w:t>
      </w:r>
      <w:r>
        <w:rPr>
          <w:rFonts w:eastAsia="方正仿宋_GBK"/>
          <w:sz w:val="32"/>
          <w:szCs w:val="32"/>
        </w:rPr>
        <w:t>根据关区网络的情况，为我方提供的维保服务应满足以下要求，全力保证我方</w:t>
      </w:r>
      <w:bookmarkStart w:id="3" w:name="_GoBack"/>
      <w:bookmarkEnd w:id="3"/>
      <w:r>
        <w:rPr>
          <w:rFonts w:eastAsia="方正仿宋_GBK"/>
          <w:sz w:val="32"/>
          <w:szCs w:val="32"/>
        </w:rPr>
        <w:t>网络的稳定运行。</w:t>
      </w:r>
    </w:p>
    <w:p>
      <w:pPr>
        <w:pStyle w:val="54"/>
        <w:numPr>
          <w:ilvl w:val="0"/>
          <w:numId w:val="0"/>
        </w:numPr>
        <w:spacing w:before="0" w:after="0" w:line="560" w:lineRule="exact"/>
        <w:ind w:left="720" w:right="240"/>
        <w:rPr>
          <w:rFonts w:ascii="方正楷体_GBK" w:eastAsia="方正楷体_GBK" w:hint="eastAsia"/>
          <w:b w:val="0"/>
          <w:bCs w:val="0"/>
          <w:bdr w:val="none" w:sz="0" w:space="0" w:color="auto"/>
          <w:lang w:eastAsia="zh-CN"/>
        </w:rPr>
      </w:pPr>
      <w:r>
        <w:rPr>
          <w:rFonts w:ascii="方正楷体_GBK" w:eastAsia="方正楷体_GBK" w:hint="eastAsia"/>
          <w:b w:val="0"/>
          <w:bCs w:val="0"/>
          <w:bdr w:val="none" w:sz="0" w:space="0" w:color="auto"/>
          <w:lang w:val="en-US" w:eastAsia="zh-CN"/>
        </w:rPr>
        <w:t>（一）</w:t>
      </w:r>
      <w:r>
        <w:rPr>
          <w:rFonts w:ascii="方正楷体_GBK" w:eastAsia="方正楷体_GBK" w:hint="eastAsia"/>
          <w:b w:val="0"/>
          <w:bCs w:val="0"/>
          <w:bdr w:val="none" w:sz="0" w:space="0" w:color="auto"/>
          <w:lang w:eastAsia="zh-CN"/>
        </w:rPr>
        <w:t>快速应急响应</w:t>
      </w:r>
    </w:p>
    <w:p>
      <w:pPr>
        <w:pStyle w:val="55"/>
        <w:spacing w:line="560" w:lineRule="exact"/>
        <w:rPr>
          <w:rFonts w:eastAsia="方正仿宋_GBK"/>
          <w:sz w:val="32"/>
          <w:szCs w:val="32"/>
          <w:lang w:val="en-US" w:eastAsia="zh-CN"/>
        </w:rPr>
      </w:pPr>
      <w:r>
        <w:rPr>
          <w:rFonts w:eastAsia="方正仿宋_GBK" w:hint="eastAsia"/>
          <w:sz w:val="32"/>
          <w:szCs w:val="32"/>
          <w:lang w:val="en-US" w:eastAsia="zh-CN"/>
        </w:rPr>
        <w:t>服务</w:t>
      </w:r>
      <w:r>
        <w:rPr>
          <w:rFonts w:eastAsia="方正仿宋_GBK"/>
          <w:sz w:val="32"/>
          <w:szCs w:val="32"/>
          <w:lang w:val="en-US" w:eastAsia="zh-CN"/>
        </w:rPr>
        <w:t>供应商应派工程师到汕头海关驻点，为关区网络提供7</w:t>
      </w:r>
      <w:r>
        <w:rPr>
          <w:rFonts w:eastAsia="方正仿宋_GBK"/>
          <w:color w:val="000000"/>
          <w:sz w:val="32"/>
          <w:szCs w:val="32"/>
        </w:rPr>
        <w:t>×</w:t>
      </w:r>
      <w:r>
        <w:rPr>
          <w:rFonts w:eastAsia="方正仿宋_GBK"/>
          <w:sz w:val="32"/>
          <w:szCs w:val="32"/>
          <w:lang w:val="en-US" w:eastAsia="zh-CN"/>
        </w:rPr>
        <w:t>24</w:t>
      </w:r>
      <w:r>
        <w:rPr>
          <w:rFonts w:eastAsia="方正仿宋_GBK"/>
          <w:color w:val="000000"/>
          <w:sz w:val="32"/>
          <w:szCs w:val="32"/>
        </w:rPr>
        <w:t>×</w:t>
      </w:r>
      <w:r>
        <w:rPr>
          <w:rFonts w:eastAsia="方正仿宋_GBK"/>
          <w:sz w:val="32"/>
          <w:szCs w:val="32"/>
          <w:lang w:val="en-US" w:eastAsia="zh-CN"/>
        </w:rPr>
        <w:t>0.5快速响应服务。</w:t>
      </w:r>
      <w:r>
        <w:rPr>
          <w:rFonts w:eastAsia="方正仿宋_GBK" w:hint="eastAsia"/>
          <w:sz w:val="32"/>
          <w:szCs w:val="32"/>
          <w:lang w:bidi="en-US"/>
        </w:rPr>
        <w:t>同时</w:t>
      </w:r>
      <w:r>
        <w:rPr>
          <w:rFonts w:eastAsia="方正仿宋_GBK"/>
          <w:sz w:val="32"/>
          <w:szCs w:val="32"/>
        </w:rPr>
        <w:t>提供不间断的产品技术咨询、故障申报受理、硬件维修受理、培训需求受理以及服务政策咨询等服务内容。</w:t>
      </w:r>
    </w:p>
    <w:p>
      <w:pPr>
        <w:pStyle w:val="54"/>
        <w:numPr>
          <w:ilvl w:val="0"/>
          <w:numId w:val="0"/>
        </w:numPr>
        <w:spacing w:before="0" w:after="0" w:line="560" w:lineRule="exact"/>
        <w:ind w:left="720" w:right="240"/>
        <w:rPr>
          <w:rFonts w:ascii="方正楷体_GBK" w:eastAsia="方正楷体_GBK" w:hint="eastAsia"/>
          <w:b w:val="0"/>
          <w:bCs w:val="0"/>
          <w:bdr w:val="none" w:sz="0" w:space="0" w:color="auto"/>
          <w:lang w:eastAsia="zh-CN"/>
        </w:rPr>
      </w:pPr>
      <w:r>
        <w:rPr>
          <w:rFonts w:ascii="方正楷体_GBK" w:eastAsia="方正楷体_GBK" w:hint="eastAsia"/>
          <w:b w:val="0"/>
          <w:bCs w:val="0"/>
          <w:bdr w:val="none" w:sz="0" w:space="0" w:color="auto"/>
          <w:lang w:eastAsia="zh-CN"/>
        </w:rPr>
        <w:t>（二）技术咨询服务</w:t>
      </w:r>
    </w:p>
    <w:p>
      <w:pPr>
        <w:pStyle w:val="55"/>
        <w:spacing w:line="560" w:lineRule="exact"/>
        <w:rPr>
          <w:rFonts w:eastAsia="方正仿宋_GBK"/>
          <w:sz w:val="32"/>
          <w:szCs w:val="32"/>
        </w:rPr>
      </w:pPr>
      <w:r>
        <w:rPr>
          <w:rFonts w:eastAsia="方正仿宋_GBK"/>
          <w:sz w:val="32"/>
          <w:szCs w:val="32"/>
        </w:rPr>
        <w:t>后台技术团队对关区信息化项目网络建设的拓扑规划、升级改造、疑难故障等提供技术咨询服务。</w:t>
      </w:r>
    </w:p>
    <w:p>
      <w:pPr>
        <w:pStyle w:val="54"/>
        <w:numPr>
          <w:ilvl w:val="0"/>
          <w:numId w:val="0"/>
        </w:numPr>
        <w:spacing w:before="0" w:after="0" w:line="560" w:lineRule="exact"/>
        <w:ind w:left="720" w:right="240"/>
        <w:rPr>
          <w:rFonts w:ascii="方正楷体_GBK" w:eastAsia="方正楷体_GBK" w:hint="eastAsia"/>
          <w:b w:val="0"/>
          <w:bCs w:val="0"/>
          <w:bdr w:val="none" w:sz="0" w:space="0" w:color="auto"/>
          <w:lang w:eastAsia="zh-CN"/>
        </w:rPr>
      </w:pPr>
      <w:r>
        <w:rPr>
          <w:rFonts w:ascii="方正楷体_GBK" w:eastAsia="方正楷体_GBK" w:hint="eastAsia"/>
          <w:b w:val="0"/>
          <w:bCs w:val="0"/>
          <w:bdr w:val="none" w:sz="0" w:space="0" w:color="auto"/>
          <w:lang w:eastAsia="zh-CN"/>
        </w:rPr>
        <w:t>（三）后台技术支持服务</w:t>
      </w:r>
    </w:p>
    <w:p>
      <w:pPr>
        <w:pStyle w:val="55"/>
        <w:spacing w:line="560" w:lineRule="exact"/>
        <w:rPr>
          <w:rFonts w:eastAsia="方正仿宋_GBK"/>
          <w:sz w:val="32"/>
          <w:szCs w:val="32"/>
        </w:rPr>
      </w:pPr>
      <w:r>
        <w:rPr>
          <w:rFonts w:eastAsia="方正仿宋_GBK"/>
          <w:sz w:val="32"/>
          <w:szCs w:val="32"/>
        </w:rPr>
        <w:t>对驻点工程师无法解决的故障或系统改造项目，由负责该项目的资深技术工程师团队在任何时候提供远程技术支持服务，必要时派员到现场进行处理。</w:t>
      </w:r>
    </w:p>
    <w:p>
      <w:pPr>
        <w:pStyle w:val="54"/>
        <w:numPr>
          <w:ilvl w:val="0"/>
          <w:numId w:val="0"/>
        </w:numPr>
        <w:spacing w:before="0" w:after="0" w:line="560" w:lineRule="exact"/>
        <w:ind w:left="720" w:right="240"/>
        <w:rPr>
          <w:rFonts w:ascii="方正楷体_GBK" w:eastAsia="方正楷体_GBK" w:hint="eastAsia"/>
          <w:b w:val="0"/>
          <w:bCs w:val="0"/>
          <w:bdr w:val="none" w:sz="0" w:space="0" w:color="auto"/>
          <w:lang w:eastAsia="zh-CN"/>
        </w:rPr>
      </w:pPr>
      <w:r>
        <w:rPr>
          <w:rFonts w:ascii="方正楷体_GBK" w:eastAsia="方正楷体_GBK" w:hint="eastAsia"/>
          <w:b w:val="0"/>
          <w:bCs w:val="0"/>
          <w:bdr w:val="none" w:sz="0" w:space="0" w:color="auto"/>
          <w:lang w:eastAsia="zh-CN"/>
        </w:rPr>
        <w:t>（四）备件保障服务</w:t>
      </w:r>
    </w:p>
    <w:p>
      <w:pPr>
        <w:pStyle w:val="55"/>
        <w:spacing w:line="560" w:lineRule="exact"/>
        <w:rPr>
          <w:rFonts w:ascii="方正楷体_GBK" w:eastAsia="方正楷体_GBK" w:hint="eastAsia"/>
          <w:sz w:val="32"/>
          <w:szCs w:val="32"/>
          <w:bdr w:val="none" w:sz="0" w:space="0" w:color="auto"/>
        </w:rPr>
      </w:pPr>
      <w:r>
        <w:rPr>
          <w:rFonts w:eastAsia="方正仿宋_GBK"/>
          <w:sz w:val="32"/>
          <w:szCs w:val="32"/>
        </w:rPr>
        <w:t>服务提供商应根据网络应急维护服务经费估算表中所列设备清单配备一定数量的备件，在发生设备故障需更换备件时，确保备件能在48小时内到位交付使用。</w:t>
      </w:r>
    </w:p>
    <w:p>
      <w:pPr>
        <w:pStyle w:val="54"/>
        <w:numPr>
          <w:ilvl w:val="0"/>
          <w:numId w:val="0"/>
        </w:numPr>
        <w:spacing w:before="0" w:after="0" w:line="560" w:lineRule="exact"/>
        <w:ind w:left="720" w:right="240"/>
        <w:rPr>
          <w:rFonts w:ascii="方正楷体_GBK" w:eastAsia="方正楷体_GBK" w:hint="eastAsia"/>
          <w:b w:val="0"/>
          <w:bCs w:val="0"/>
          <w:bdr w:val="none" w:sz="0" w:space="0" w:color="auto"/>
          <w:lang w:eastAsia="zh-CN"/>
        </w:rPr>
      </w:pPr>
      <w:bookmarkStart w:id="4" w:name="_Toc238284362"/>
      <w:r>
        <w:rPr>
          <w:rFonts w:ascii="方正楷体_GBK" w:eastAsia="方正楷体_GBK" w:hint="eastAsia"/>
          <w:b w:val="0"/>
          <w:bCs w:val="0"/>
          <w:bdr w:val="none" w:sz="0" w:space="0" w:color="auto"/>
          <w:lang w:eastAsia="zh-CN"/>
        </w:rPr>
        <w:t>（</w:t>
      </w:r>
      <w:r>
        <w:rPr>
          <w:rFonts w:ascii="方正楷体_GBK" w:eastAsia="方正楷体_GBK"/>
          <w:b w:val="0"/>
          <w:bCs w:val="0"/>
          <w:bdr w:val="none" w:sz="0" w:space="0" w:color="auto"/>
          <w:lang w:eastAsia="zh-CN"/>
        </w:rPr>
        <w:t>五</w:t>
      </w:r>
      <w:r>
        <w:rPr>
          <w:rFonts w:ascii="方正楷体_GBK" w:eastAsia="方正楷体_GBK" w:hint="eastAsia"/>
          <w:b w:val="0"/>
          <w:bCs w:val="0"/>
          <w:bdr w:val="none" w:sz="0" w:space="0" w:color="auto"/>
          <w:lang w:eastAsia="zh-CN"/>
        </w:rPr>
        <w:t>）故障分析报告</w:t>
      </w:r>
      <w:bookmarkEnd w:id="4"/>
    </w:p>
    <w:p>
      <w:pPr>
        <w:pStyle w:val="55"/>
        <w:spacing w:line="560" w:lineRule="exact"/>
        <w:rPr>
          <w:rFonts w:eastAsia="方正仿宋_GBK"/>
          <w:sz w:val="32"/>
          <w:szCs w:val="32"/>
        </w:rPr>
      </w:pPr>
      <w:r>
        <w:rPr>
          <w:rFonts w:eastAsia="方正仿宋_GBK"/>
          <w:sz w:val="32"/>
          <w:szCs w:val="32"/>
          <w:lang w:val="en-US" w:eastAsia="zh-CN"/>
        </w:rPr>
        <w:t>服务供应商</w:t>
      </w:r>
      <w:r>
        <w:rPr>
          <w:rFonts w:eastAsia="方正仿宋_GBK"/>
          <w:sz w:val="32"/>
          <w:szCs w:val="32"/>
        </w:rPr>
        <w:t>在</w:t>
      </w:r>
      <w:r>
        <w:rPr>
          <w:rFonts w:eastAsia="方正仿宋_GBK" w:hint="eastAsia"/>
          <w:sz w:val="32"/>
          <w:szCs w:val="32"/>
        </w:rPr>
        <w:t>协助开展</w:t>
      </w:r>
      <w:r>
        <w:rPr>
          <w:rFonts w:eastAsia="方正仿宋_GBK"/>
          <w:sz w:val="32"/>
          <w:szCs w:val="32"/>
        </w:rPr>
        <w:t>故障处理后，应提交《网络故障分析报告》，并经我方确认，内容包括网络故障情况描述、故障原因分析、故障处理过程、配置更改内容、优化改进建议等。</w:t>
      </w:r>
    </w:p>
    <w:p>
      <w:pPr>
        <w:pStyle w:val="54"/>
        <w:numPr>
          <w:ilvl w:val="0"/>
          <w:numId w:val="0"/>
        </w:numPr>
        <w:spacing w:before="0" w:after="0" w:line="560" w:lineRule="exact"/>
        <w:ind w:left="720" w:right="240"/>
        <w:rPr>
          <w:rFonts w:ascii="方正楷体_GBK" w:eastAsia="方正楷体_GBK" w:hint="eastAsia"/>
          <w:b w:val="0"/>
          <w:bCs w:val="0"/>
          <w:bdr w:val="none" w:sz="0" w:space="0" w:color="auto"/>
          <w:lang w:eastAsia="zh-CN"/>
        </w:rPr>
      </w:pPr>
      <w:r>
        <w:rPr>
          <w:rFonts w:ascii="方正楷体_GBK" w:eastAsia="方正楷体_GBK" w:hint="eastAsia"/>
          <w:b w:val="0"/>
          <w:bCs w:val="0"/>
          <w:bdr w:val="none" w:sz="0" w:space="0" w:color="auto"/>
          <w:lang w:eastAsia="zh-CN"/>
        </w:rPr>
        <w:t>（</w:t>
      </w:r>
      <w:r>
        <w:rPr>
          <w:rFonts w:ascii="方正楷体_GBK" w:eastAsia="方正楷体_GBK"/>
          <w:b w:val="0"/>
          <w:bCs w:val="0"/>
          <w:bdr w:val="none" w:sz="0" w:space="0" w:color="auto"/>
          <w:lang w:eastAsia="zh-CN"/>
        </w:rPr>
        <w:t>六</w:t>
      </w:r>
      <w:r>
        <w:rPr>
          <w:rFonts w:ascii="方正楷体_GBK" w:eastAsia="方正楷体_GBK" w:hint="eastAsia"/>
          <w:b w:val="0"/>
          <w:bCs w:val="0"/>
          <w:bdr w:val="none" w:sz="0" w:space="0" w:color="auto"/>
          <w:lang w:eastAsia="zh-CN"/>
        </w:rPr>
        <w:t>）定期预防性检查</w:t>
      </w:r>
    </w:p>
    <w:p>
      <w:pPr>
        <w:pStyle w:val="55"/>
        <w:spacing w:line="560" w:lineRule="exact"/>
        <w:rPr>
          <w:rFonts w:eastAsia="方正仿宋_GBK"/>
          <w:sz w:val="32"/>
          <w:szCs w:val="32"/>
        </w:rPr>
      </w:pPr>
      <w:r>
        <w:rPr>
          <w:rFonts w:eastAsia="方正仿宋_GBK" w:hint="eastAsia"/>
          <w:sz w:val="32"/>
          <w:szCs w:val="32"/>
          <w:lang w:val="en-US" w:eastAsia="zh-CN"/>
        </w:rPr>
        <w:t>服务</w:t>
      </w:r>
      <w:r>
        <w:rPr>
          <w:rFonts w:eastAsia="方正仿宋_GBK"/>
          <w:sz w:val="32"/>
          <w:szCs w:val="32"/>
          <w:lang w:val="en-US" w:eastAsia="zh-CN"/>
        </w:rPr>
        <w:t>供应商</w:t>
      </w:r>
      <w:r>
        <w:rPr>
          <w:rFonts w:eastAsia="方正仿宋_GBK" w:hint="eastAsia"/>
          <w:sz w:val="32"/>
          <w:szCs w:val="32"/>
          <w:lang w:val="en-US" w:eastAsia="zh-CN"/>
        </w:rPr>
        <w:t>负责</w:t>
      </w:r>
      <w:r>
        <w:rPr>
          <w:rFonts w:eastAsia="方正仿宋_GBK"/>
          <w:sz w:val="32"/>
          <w:szCs w:val="32"/>
        </w:rPr>
        <w:t>对维护设备清单列表所列网络设备进行</w:t>
      </w:r>
      <w:r>
        <w:rPr>
          <w:rFonts w:eastAsia="方正仿宋_GBK" w:hint="eastAsia"/>
          <w:sz w:val="32"/>
          <w:szCs w:val="32"/>
        </w:rPr>
        <w:t>季度</w:t>
      </w:r>
      <w:r>
        <w:rPr>
          <w:rFonts w:eastAsia="方正仿宋_GBK"/>
          <w:sz w:val="32"/>
          <w:szCs w:val="32"/>
        </w:rPr>
        <w:t>预防性检查，对维护设备清单列表所列设备的运行状况记录性能参数，提出性能优化建议，并于每季度的前15天内向我方提交上一季度《季度预防性检查报告》，报告须经我方验收。</w:t>
      </w:r>
    </w:p>
    <w:p>
      <w:pPr>
        <w:pStyle w:val="55"/>
        <w:spacing w:line="560" w:lineRule="exact"/>
        <w:rPr>
          <w:rFonts w:eastAsia="方正仿宋_GBK"/>
          <w:sz w:val="32"/>
          <w:szCs w:val="32"/>
        </w:rPr>
      </w:pPr>
      <w:r>
        <w:rPr>
          <w:rFonts w:eastAsia="方正仿宋_GBK"/>
          <w:sz w:val="32"/>
          <w:szCs w:val="32"/>
        </w:rPr>
        <w:t>网络</w:t>
      </w:r>
      <w:r>
        <w:rPr>
          <w:rFonts w:eastAsia="方正仿宋_GBK" w:hint="eastAsia"/>
          <w:sz w:val="32"/>
          <w:szCs w:val="32"/>
        </w:rPr>
        <w:t>季度性</w:t>
      </w:r>
      <w:r>
        <w:rPr>
          <w:rFonts w:eastAsia="方正仿宋_GBK"/>
          <w:sz w:val="32"/>
          <w:szCs w:val="32"/>
        </w:rPr>
        <w:t>预防性检查服务指定期指派专业人员对《运维设备清单》中的设备进行检查，检查我方系统配置信息和操作系统版本信息，适当利用一些专业软件，抓取实时网络状态信息，及时了解我方网络变化，检查我方配置信息是否正确。</w:t>
      </w:r>
    </w:p>
    <w:p>
      <w:pPr>
        <w:pStyle w:val="55"/>
        <w:spacing w:line="560" w:lineRule="exact"/>
        <w:rPr>
          <w:rFonts w:eastAsia="方正仿宋_GBK"/>
          <w:sz w:val="32"/>
          <w:szCs w:val="32"/>
        </w:rPr>
      </w:pPr>
      <w:r>
        <w:rPr>
          <w:rFonts w:eastAsia="方正仿宋_GBK"/>
          <w:sz w:val="32"/>
          <w:szCs w:val="32"/>
        </w:rPr>
        <w:t xml:space="preserve">通过预防性巡检服务有助于从网络技术角度对正在运行的网络系统的技术特征、故障隐患有一个全面的了解，以便根据业务发展需求和目前网络资源状况，制订合理、可行的网络扩容、改造、维护计划，提高网络生产的安全性。 </w:t>
      </w:r>
    </w:p>
    <w:p>
      <w:pPr>
        <w:pStyle w:val="55"/>
        <w:spacing w:line="560" w:lineRule="exact"/>
        <w:rPr>
          <w:rFonts w:eastAsia="方正仿宋_GBK"/>
          <w:sz w:val="32"/>
          <w:szCs w:val="32"/>
        </w:rPr>
      </w:pPr>
      <w:r>
        <w:rPr>
          <w:rFonts w:eastAsia="方正仿宋_GBK"/>
          <w:sz w:val="32"/>
          <w:szCs w:val="32"/>
        </w:rPr>
        <w:t xml:space="preserve">在完成网络系统的预防性巡检之后在十五个工作日内提交网络系统健康检查报告和相关的运行状态报告及优化建议。报告主要应包括但不仅限于以下几个方面的内容： </w:t>
      </w:r>
    </w:p>
    <w:p>
      <w:pPr>
        <w:pStyle w:val="55"/>
        <w:spacing w:line="560" w:lineRule="exact"/>
        <w:ind w:left="640" w:firstLineChars="0" w:firstLine="0"/>
        <w:rPr>
          <w:rFonts w:eastAsia="方正仿宋_GBK"/>
          <w:sz w:val="32"/>
          <w:szCs w:val="32"/>
        </w:rPr>
      </w:pPr>
      <w:r>
        <w:rPr>
          <w:rFonts w:eastAsia="方正仿宋_GBK"/>
          <w:sz w:val="32"/>
          <w:szCs w:val="32"/>
        </w:rPr>
        <w:t>1.网络基础检查情况；</w:t>
      </w:r>
    </w:p>
    <w:p>
      <w:pPr>
        <w:pStyle w:val="55"/>
        <w:spacing w:line="560" w:lineRule="exact"/>
        <w:ind w:left="640" w:firstLineChars="0" w:firstLine="0"/>
        <w:rPr>
          <w:rFonts w:eastAsia="方正仿宋_GBK"/>
          <w:sz w:val="32"/>
          <w:szCs w:val="32"/>
        </w:rPr>
      </w:pPr>
      <w:r>
        <w:rPr>
          <w:rFonts w:eastAsia="方正仿宋_GBK"/>
          <w:sz w:val="32"/>
          <w:szCs w:val="32"/>
        </w:rPr>
        <w:t>2.局域网方面合理性评估；</w:t>
      </w:r>
    </w:p>
    <w:p>
      <w:pPr>
        <w:pStyle w:val="55"/>
        <w:spacing w:line="560" w:lineRule="exact"/>
        <w:ind w:left="640" w:firstLineChars="0" w:firstLine="0"/>
        <w:rPr>
          <w:rFonts w:eastAsia="方正仿宋_GBK"/>
          <w:sz w:val="32"/>
          <w:szCs w:val="32"/>
        </w:rPr>
      </w:pPr>
      <w:r>
        <w:rPr>
          <w:rFonts w:eastAsia="方正仿宋_GBK"/>
          <w:sz w:val="32"/>
          <w:szCs w:val="32"/>
        </w:rPr>
        <w:t>3.网络对应用的支持能力以及网络应用流量分析；</w:t>
      </w:r>
    </w:p>
    <w:p>
      <w:pPr>
        <w:pStyle w:val="55"/>
        <w:spacing w:line="560" w:lineRule="exact"/>
        <w:ind w:left="640" w:firstLineChars="0" w:firstLine="0"/>
        <w:rPr>
          <w:rFonts w:eastAsia="方正仿宋_GBK"/>
          <w:sz w:val="32"/>
          <w:szCs w:val="32"/>
        </w:rPr>
      </w:pPr>
      <w:r>
        <w:rPr>
          <w:rFonts w:eastAsia="方正仿宋_GBK"/>
          <w:sz w:val="32"/>
          <w:szCs w:val="32"/>
        </w:rPr>
        <w:t>4.网络系统性能及故障隐患分析；</w:t>
      </w:r>
    </w:p>
    <w:p>
      <w:pPr>
        <w:pStyle w:val="55"/>
        <w:spacing w:line="560" w:lineRule="exact"/>
        <w:ind w:left="640" w:firstLineChars="0" w:firstLine="0"/>
        <w:rPr>
          <w:rFonts w:eastAsia="方正仿宋_GBK"/>
          <w:sz w:val="32"/>
          <w:szCs w:val="32"/>
        </w:rPr>
      </w:pPr>
      <w:r>
        <w:rPr>
          <w:rFonts w:eastAsia="方正仿宋_GBK"/>
          <w:sz w:val="32"/>
          <w:szCs w:val="32"/>
        </w:rPr>
        <w:t>5.网络系统安全性分析及优化建议。</w:t>
      </w:r>
    </w:p>
    <w:p>
      <w:pPr>
        <w:pStyle w:val="29"/>
        <w:pBdr>
          <w:top w:val="none" w:sz="0" w:space="0" w:color="auto"/>
          <w:left w:val="none" w:sz="0" w:space="0" w:color="auto"/>
          <w:bottom w:val="none" w:sz="0" w:space="0" w:color="auto"/>
          <w:right w:val="none" w:sz="0" w:space="0" w:color="auto"/>
        </w:pBdr>
        <w:adjustRightInd/>
        <w:snapToGrid w:val="0"/>
        <w:spacing w:line="560" w:lineRule="exact"/>
        <w:ind w:firstLineChars="200" w:firstLine="632"/>
        <w:contextualSpacing w:val="0"/>
        <w:rPr>
          <w:rFonts w:ascii="方正黑体_GBK" w:eastAsia="方正黑体_GBK" w:hint="eastAsia"/>
          <w:vanish w:val="0"/>
          <w:sz w:val="32"/>
          <w:szCs w:val="32"/>
        </w:rPr>
      </w:pPr>
      <w:r>
        <w:rPr>
          <w:rFonts w:ascii="方正黑体_GBK" w:eastAsia="方正黑体_GBK"/>
          <w:vanish w:val="0"/>
          <w:sz w:val="32"/>
          <w:szCs w:val="32"/>
        </w:rPr>
        <w:t>六</w:t>
      </w:r>
      <w:r>
        <w:rPr>
          <w:rFonts w:ascii="方正黑体_GBK" w:eastAsia="方正黑体_GBK" w:hint="eastAsia"/>
          <w:vanish w:val="0"/>
          <w:sz w:val="32"/>
          <w:szCs w:val="32"/>
        </w:rPr>
        <w:t>、服务期限</w:t>
      </w:r>
    </w:p>
    <w:p>
      <w:pPr>
        <w:pStyle w:val="29"/>
        <w:pBdr>
          <w:top w:val="none" w:sz="0" w:space="0" w:color="auto"/>
          <w:left w:val="none" w:sz="0" w:space="0" w:color="auto"/>
          <w:bottom w:val="none" w:sz="0" w:space="0" w:color="auto"/>
          <w:right w:val="none" w:sz="0" w:space="0" w:color="auto"/>
        </w:pBdr>
        <w:adjustRightInd/>
        <w:snapToGrid w:val="0"/>
        <w:spacing w:line="560" w:lineRule="exact"/>
        <w:ind w:firstLineChars="200" w:firstLine="632"/>
        <w:contextualSpacing w:val="0"/>
        <w:rPr>
          <w:rFonts w:ascii="方正仿宋_GBK" w:eastAsia="方正仿宋_GBK" w:hint="eastAsia"/>
          <w:vanish w:val="0"/>
          <w:color w:val="000000"/>
          <w:sz w:val="32"/>
          <w:szCs w:val="32"/>
        </w:rPr>
      </w:pPr>
      <w:r>
        <w:rPr>
          <w:rFonts w:eastAsia="方正仿宋_GBK"/>
          <w:vanish w:val="0"/>
          <w:color w:val="000000"/>
          <w:sz w:val="32"/>
          <w:szCs w:val="32"/>
        </w:rPr>
        <w:t>自</w:t>
      </w:r>
      <w:r>
        <w:rPr>
          <w:rFonts w:eastAsia="方正仿宋_GBK" w:cs="宋体"/>
          <w:color w:val="000000"/>
          <w:sz w:val="32"/>
          <w:szCs w:val="32"/>
          <w:lang w:bidi="ar-SA"/>
        </w:rPr>
        <w:t>2025年11月16日</w:t>
      </w:r>
      <w:r>
        <w:rPr>
          <w:rFonts w:eastAsia="方正仿宋_GBK"/>
          <w:vanish w:val="0"/>
          <w:color w:val="000000"/>
          <w:sz w:val="32"/>
          <w:szCs w:val="32"/>
        </w:rPr>
        <w:t>起1年</w:t>
      </w:r>
      <w:r>
        <w:rPr>
          <w:rFonts w:ascii="Times New Roman" w:eastAsia="方正仿宋_GBK" w:hAnsi="Times New Roman" w:hint="eastAsia"/>
          <w:vanish w:val="0"/>
          <w:color w:val="000000"/>
          <w:sz w:val="32"/>
          <w:szCs w:val="32"/>
        </w:rPr>
        <w:t>。</w:t>
      </w:r>
    </w:p>
    <w:p>
      <w:pPr>
        <w:pStyle w:val="29"/>
        <w:pBdr>
          <w:top w:val="none" w:sz="0" w:space="0" w:color="auto"/>
          <w:left w:val="none" w:sz="0" w:space="0" w:color="auto"/>
          <w:bottom w:val="none" w:sz="0" w:space="0" w:color="auto"/>
          <w:right w:val="none" w:sz="0" w:space="0" w:color="auto"/>
        </w:pBdr>
        <w:adjustRightInd/>
        <w:snapToGrid w:val="0"/>
        <w:spacing w:line="560" w:lineRule="exact"/>
        <w:ind w:firstLineChars="200" w:firstLine="632"/>
        <w:contextualSpacing w:val="0"/>
        <w:rPr>
          <w:rFonts w:eastAsia="方正黑体_GBK"/>
          <w:vanish w:val="0"/>
          <w:sz w:val="32"/>
          <w:szCs w:val="32"/>
        </w:rPr>
      </w:pPr>
      <w:r>
        <w:rPr>
          <w:rFonts w:ascii="方正黑体_GBK" w:eastAsia="方正黑体_GBK"/>
          <w:vanish w:val="0"/>
          <w:sz w:val="32"/>
          <w:szCs w:val="32"/>
        </w:rPr>
        <w:t>七</w:t>
      </w:r>
      <w:r>
        <w:rPr>
          <w:rFonts w:ascii="方正黑体_GBK" w:eastAsia="方正黑体_GBK" w:hint="eastAsia"/>
          <w:vanish w:val="0"/>
          <w:sz w:val="32"/>
          <w:szCs w:val="32"/>
        </w:rPr>
        <w:t>、</w:t>
      </w:r>
      <w:r>
        <w:rPr>
          <w:rFonts w:ascii="Times New Roman" w:eastAsia="方正黑体_GBK" w:hAnsi="Times New Roman"/>
          <w:vanish w:val="0"/>
          <w:sz w:val="32"/>
          <w:szCs w:val="32"/>
        </w:rPr>
        <w:t>资质</w:t>
      </w:r>
      <w:r>
        <w:rPr>
          <w:rFonts w:ascii="Times New Roman" w:eastAsia="方正黑体_GBK" w:hAnsi="Times New Roman" w:hint="eastAsia"/>
          <w:vanish w:val="0"/>
          <w:sz w:val="32"/>
          <w:szCs w:val="32"/>
        </w:rPr>
        <w:t>要求</w:t>
      </w:r>
    </w:p>
    <w:p>
      <w:pPr>
        <w:pStyle w:val="29"/>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snapToGrid w:val="0"/>
        <w:spacing w:line="560" w:lineRule="exact"/>
        <w:ind w:firstLineChars="200" w:firstLine="632"/>
        <w:contextualSpacing w:val="0"/>
        <w:jc w:val="left"/>
        <w:rPr>
          <w:rFonts w:eastAsia="方正黑体_GBK"/>
          <w:vanish w:val="0"/>
          <w:sz w:val="32"/>
          <w:szCs w:val="32"/>
        </w:rPr>
      </w:pPr>
      <w:r>
        <w:rPr>
          <w:rFonts w:ascii="方正楷体_GBK" w:eastAsia="方正楷体_GBK" w:hint="eastAsia"/>
          <w:vanish w:val="0"/>
          <w:sz w:val="32"/>
          <w:szCs w:val="32"/>
        </w:rPr>
        <w:t>（一）</w:t>
      </w:r>
      <w:r>
        <w:rPr>
          <w:rFonts w:ascii="方正楷体_GBK" w:eastAsia="方正楷体_GBK"/>
          <w:vanish w:val="0"/>
          <w:sz w:val="32"/>
          <w:szCs w:val="32"/>
        </w:rPr>
        <w:t>供应商</w:t>
      </w:r>
      <w:r>
        <w:rPr>
          <w:rFonts w:ascii="方正楷体_GBK" w:eastAsia="方正楷体_GBK" w:hint="eastAsia"/>
          <w:vanish w:val="0"/>
          <w:sz w:val="32"/>
          <w:szCs w:val="32"/>
        </w:rPr>
        <w:t>资质要求</w:t>
      </w:r>
    </w:p>
    <w:p>
      <w:pPr>
        <w:pStyle w:val="30"/>
        <w:widowControl/>
        <w:snapToGrid w:val="0"/>
        <w:spacing w:line="560" w:lineRule="exact"/>
        <w:ind w:firstLineChars="200" w:firstLine="632"/>
        <w:jc w:val="left"/>
        <w:rPr>
          <w:rFonts w:ascii="方正仿宋_GBK" w:eastAsia="方正仿宋_GBK" w:cs="Arial" w:hint="eastAsia"/>
          <w:color w:val="000000"/>
          <w:kern w:val="0"/>
          <w:sz w:val="32"/>
          <w:szCs w:val="32"/>
        </w:rPr>
      </w:pPr>
      <w:r>
        <w:rPr>
          <w:rFonts w:ascii="方正仿宋_GBK" w:eastAsia="方正仿宋_GBK"/>
          <w:color w:val="000000"/>
          <w:sz w:val="32"/>
          <w:szCs w:val="32"/>
        </w:rPr>
        <w:t>供应商</w:t>
      </w:r>
      <w:r>
        <w:rPr>
          <w:rFonts w:ascii="方正仿宋_GBK" w:eastAsia="方正仿宋_GBK" w:cs="Arial" w:hint="eastAsia"/>
          <w:color w:val="000000"/>
          <w:kern w:val="0"/>
          <w:sz w:val="32"/>
          <w:szCs w:val="32"/>
          <w:lang w:bidi="ar-SA"/>
        </w:rPr>
        <w:t>应具备《政府采购法》第二十二条规定的条件。</w:t>
      </w:r>
    </w:p>
    <w:p>
      <w:pPr>
        <w:pStyle w:val="29"/>
        <w:pBdr>
          <w:top w:val="none" w:sz="0" w:space="0" w:color="auto"/>
          <w:left w:val="none" w:sz="0" w:space="0" w:color="auto"/>
          <w:bottom w:val="none" w:sz="0" w:space="0" w:color="auto"/>
          <w:right w:val="none" w:sz="0" w:space="0" w:color="auto"/>
        </w:pBdr>
        <w:spacing w:line="560" w:lineRule="exact"/>
        <w:ind w:firstLineChars="200" w:firstLine="632"/>
        <w:rPr>
          <w:rFonts w:ascii="方正楷体_GBK" w:eastAsia="方正楷体_GBK"/>
          <w:sz w:val="32"/>
          <w:szCs w:val="32"/>
        </w:rPr>
      </w:pPr>
      <w:r>
        <w:rPr>
          <w:rFonts w:ascii="方正楷体_GBK" w:eastAsia="方正楷体_GBK" w:hint="eastAsia"/>
          <w:sz w:val="32"/>
          <w:szCs w:val="32"/>
        </w:rPr>
        <w:t>（二）</w:t>
      </w:r>
      <w:r>
        <w:rPr>
          <w:rFonts w:ascii="方正楷体_GBK" w:eastAsia="方正楷体_GBK"/>
          <w:sz w:val="32"/>
          <w:szCs w:val="32"/>
        </w:rPr>
        <w:t>技术</w:t>
      </w:r>
      <w:r>
        <w:rPr>
          <w:rFonts w:ascii="方正楷体_GBK" w:eastAsia="方正楷体_GBK" w:hint="eastAsia"/>
          <w:sz w:val="32"/>
          <w:szCs w:val="32"/>
        </w:rPr>
        <w:t>人员要求</w:t>
      </w:r>
    </w:p>
    <w:p>
      <w:pPr>
        <w:pStyle w:val="29"/>
        <w:spacing w:line="560" w:lineRule="exact"/>
        <w:ind w:firstLineChars="200" w:firstLine="632"/>
        <w:rPr>
          <w:rFonts w:ascii="Times New Roman" w:eastAsia="方正仿宋_GBK" w:hAnsi="Times New Roman"/>
          <w:vanish w:val="0"/>
          <w:color w:val="000000"/>
          <w:kern w:val="0"/>
          <w:sz w:val="32"/>
          <w:szCs w:val="32"/>
        </w:rPr>
      </w:pPr>
      <w:r>
        <w:rPr>
          <w:rFonts w:ascii="Times New Roman" w:eastAsia="方正仿宋_GBK" w:hAnsi="Times New Roman"/>
          <w:vanish w:val="0"/>
          <w:color w:val="000000"/>
          <w:sz w:val="32"/>
          <w:szCs w:val="32"/>
        </w:rPr>
        <w:t xml:space="preserve">1. </w:t>
      </w:r>
      <w:r>
        <w:rPr>
          <w:rFonts w:ascii="Times New Roman" w:eastAsia="方正仿宋_GBK" w:hAnsi="Times New Roman"/>
          <w:vanish w:val="0"/>
          <w:color w:val="000000"/>
          <w:kern w:val="0"/>
          <w:sz w:val="32"/>
          <w:szCs w:val="32"/>
        </w:rPr>
        <w:t>供应商配备的</w:t>
      </w:r>
      <w:r>
        <w:rPr>
          <w:rFonts w:eastAsia="方正仿宋_GBK"/>
          <w:sz w:val="32"/>
          <w:szCs w:val="32"/>
          <w:lang w:val="en-US" w:eastAsia="zh-CN"/>
        </w:rPr>
        <w:t>全年半小时快速响应服务的</w:t>
      </w:r>
      <w:r>
        <w:rPr>
          <w:rFonts w:ascii="Times New Roman" w:eastAsia="方正仿宋_GBK" w:hAnsi="Times New Roman"/>
          <w:vanish w:val="0"/>
          <w:color w:val="000000"/>
          <w:sz w:val="32"/>
          <w:szCs w:val="32"/>
        </w:rPr>
        <w:t>工程师和</w:t>
      </w:r>
      <w:r>
        <w:rPr>
          <w:rFonts w:ascii="Times New Roman" w:eastAsia="方正仿宋_GBK" w:hAnsi="Times New Roman"/>
          <w:vanish w:val="0"/>
          <w:color w:val="000000"/>
          <w:kern w:val="0"/>
          <w:sz w:val="32"/>
          <w:szCs w:val="32"/>
        </w:rPr>
        <w:t>后台支撑团队人员</w:t>
      </w:r>
      <w:r>
        <w:rPr>
          <w:rFonts w:ascii="Times New Roman" w:eastAsia="方正仿宋_GBK" w:hAnsi="Times New Roman"/>
          <w:vanish w:val="0"/>
          <w:color w:val="000000"/>
          <w:sz w:val="32"/>
          <w:szCs w:val="32"/>
        </w:rPr>
        <w:t>必须是供应商单位的正式工作人员或者是与之签订1年以上劳动合同且实际工作满1年的人员</w:t>
      </w:r>
      <w:r>
        <w:rPr>
          <w:rFonts w:eastAsia="方正仿宋_GBK"/>
          <w:sz w:val="32"/>
          <w:szCs w:val="32"/>
          <w:lang w:bidi="en-US"/>
        </w:rPr>
        <w:t>，</w:t>
      </w:r>
      <w:r>
        <w:rPr>
          <w:rFonts w:ascii="Times New Roman" w:eastAsia="方正仿宋_GBK" w:hAnsi="Times New Roman" w:hint="eastAsia"/>
          <w:vanish w:val="0"/>
          <w:color w:val="000000"/>
          <w:sz w:val="32"/>
          <w:szCs w:val="32"/>
        </w:rPr>
        <w:t>掌握</w:t>
      </w:r>
      <w:r>
        <w:rPr>
          <w:rFonts w:ascii="Times New Roman" w:eastAsia="方正仿宋_GBK" w:hAnsi="Times New Roman"/>
          <w:vanish w:val="0"/>
          <w:color w:val="000000"/>
          <w:sz w:val="32"/>
          <w:szCs w:val="32"/>
        </w:rPr>
        <w:t>网络</w:t>
      </w:r>
      <w:r>
        <w:rPr>
          <w:rFonts w:ascii="Times New Roman" w:eastAsia="方正仿宋_GBK" w:hAnsi="Times New Roman" w:hint="eastAsia"/>
          <w:vanish w:val="0"/>
          <w:color w:val="000000"/>
          <w:sz w:val="32"/>
          <w:szCs w:val="32"/>
        </w:rPr>
        <w:t>设备维护的</w:t>
      </w:r>
      <w:r>
        <w:rPr>
          <w:rFonts w:ascii="Times New Roman" w:eastAsia="方正仿宋_GBK" w:hAnsi="Times New Roman"/>
          <w:vanish w:val="0"/>
          <w:color w:val="000000"/>
          <w:sz w:val="32"/>
          <w:szCs w:val="32"/>
        </w:rPr>
        <w:t>相关</w:t>
      </w:r>
      <w:r>
        <w:rPr>
          <w:rFonts w:ascii="Times New Roman" w:eastAsia="方正仿宋_GBK" w:hAnsi="Times New Roman" w:hint="eastAsia"/>
          <w:vanish w:val="0"/>
          <w:color w:val="000000"/>
          <w:sz w:val="32"/>
          <w:szCs w:val="32"/>
        </w:rPr>
        <w:t>软硬件技术及知识，</w:t>
      </w:r>
      <w:r>
        <w:rPr>
          <w:rFonts w:ascii="Times New Roman" w:eastAsia="方正仿宋_GBK" w:hAnsi="Times New Roman"/>
          <w:vanish w:val="0"/>
          <w:color w:val="000000"/>
          <w:sz w:val="32"/>
          <w:szCs w:val="32"/>
        </w:rPr>
        <w:t>具有良好问题解决能力、沟通能力和团队合作精神</w:t>
      </w:r>
      <w:r>
        <w:rPr>
          <w:rFonts w:ascii="Times New Roman" w:eastAsia="方正仿宋_GBK" w:hAnsi="Times New Roman"/>
          <w:vanish w:val="0"/>
          <w:color w:val="000000"/>
          <w:kern w:val="0"/>
          <w:sz w:val="32"/>
          <w:szCs w:val="32"/>
        </w:rPr>
        <w:t>。（中标后提供）</w:t>
      </w:r>
    </w:p>
    <w:p>
      <w:pPr>
        <w:pStyle w:val="29"/>
        <w:spacing w:line="560" w:lineRule="exact"/>
        <w:ind w:firstLineChars="200" w:firstLine="632"/>
        <w:rPr>
          <w:rFonts w:eastAsia="方正仿宋_GBK"/>
          <w:color w:val="000000"/>
          <w:kern w:val="0"/>
          <w:sz w:val="32"/>
          <w:szCs w:val="32"/>
        </w:rPr>
      </w:pPr>
      <w:r>
        <w:rPr>
          <w:rFonts w:ascii="Times New Roman" w:eastAsia="方正仿宋_GBK" w:hAnsi="Times New Roman"/>
          <w:vanish w:val="0"/>
          <w:color w:val="000000"/>
          <w:kern w:val="0"/>
          <w:sz w:val="32"/>
          <w:szCs w:val="32"/>
        </w:rPr>
        <w:t>2</w:t>
      </w:r>
      <w:r>
        <w:rPr>
          <w:rFonts w:ascii="Times New Roman" w:eastAsia="方正仿宋_GBK" w:hAnsi="Times New Roman"/>
          <w:vanish w:val="0"/>
          <w:color w:val="000000"/>
          <w:sz w:val="32"/>
          <w:szCs w:val="32"/>
        </w:rPr>
        <w:t>. 供应商必须提供</w:t>
      </w:r>
      <w:r>
        <w:rPr>
          <w:rFonts w:eastAsia="方正仿宋_GBK"/>
          <w:sz w:val="32"/>
          <w:szCs w:val="32"/>
          <w:lang w:val="en-US" w:eastAsia="zh-CN"/>
        </w:rPr>
        <w:t>全年半小时快速响应服务的</w:t>
      </w:r>
      <w:r>
        <w:rPr>
          <w:rFonts w:ascii="Times New Roman" w:eastAsia="方正仿宋_GBK" w:hAnsi="Times New Roman"/>
          <w:vanish w:val="0"/>
          <w:color w:val="000000"/>
          <w:sz w:val="32"/>
          <w:szCs w:val="32"/>
        </w:rPr>
        <w:t>工程师和后台支撑团队成员的在政治、安全、保密方面的背景调查结论证明，并经</w:t>
      </w:r>
      <w:r>
        <w:rPr>
          <w:rFonts w:ascii="Times New Roman" w:eastAsia="方正仿宋_GBK" w:hAnsi="Times New Roman" w:hint="eastAsia"/>
          <w:vanish w:val="0"/>
          <w:color w:val="000000"/>
          <w:sz w:val="32"/>
          <w:szCs w:val="32"/>
        </w:rPr>
        <w:t>海关审核备案，接受岗前培训，对于不符合要求的人员要及时更换。</w:t>
      </w:r>
      <w:r>
        <w:rPr>
          <w:rFonts w:ascii="Times New Roman" w:eastAsia="方正仿宋_GBK" w:hAnsi="Times New Roman"/>
          <w:vanish w:val="0"/>
          <w:color w:val="000000"/>
          <w:sz w:val="32"/>
          <w:szCs w:val="32"/>
        </w:rPr>
        <w:t>（中标后提供）</w:t>
      </w:r>
    </w:p>
    <w:p>
      <w:pPr>
        <w:pStyle w:val="29"/>
        <w:pBdr>
          <w:top w:val="none" w:sz="0" w:space="0" w:color="auto"/>
          <w:left w:val="none" w:sz="0" w:space="0" w:color="auto"/>
          <w:bottom w:val="none" w:sz="0" w:space="0" w:color="auto"/>
          <w:right w:val="none" w:sz="0" w:space="0" w:color="auto"/>
        </w:pBdr>
        <w:adjustRightInd w:val="0"/>
        <w:snapToGrid w:val="0"/>
        <w:spacing w:line="560" w:lineRule="exact"/>
        <w:ind w:firstLineChars="200" w:firstLine="632"/>
        <w:contextualSpacing w:val="0"/>
        <w:rPr>
          <w:rFonts w:ascii="方正楷体_GBK" w:eastAsia="方正楷体_GBK"/>
          <w:sz w:val="32"/>
          <w:szCs w:val="32"/>
        </w:rPr>
      </w:pPr>
      <w:r>
        <w:rPr>
          <w:rFonts w:ascii="方正楷体_GBK" w:eastAsia="方正楷体_GBK" w:hint="eastAsia"/>
          <w:sz w:val="32"/>
          <w:szCs w:val="32"/>
        </w:rPr>
        <w:t>（</w:t>
      </w:r>
      <w:r>
        <w:rPr>
          <w:rFonts w:ascii="方正楷体_GBK" w:eastAsia="方正楷体_GBK"/>
          <w:sz w:val="32"/>
          <w:szCs w:val="32"/>
        </w:rPr>
        <w:t>三</w:t>
      </w:r>
      <w:r>
        <w:rPr>
          <w:rFonts w:ascii="方正楷体_GBK" w:eastAsia="方正楷体_GBK" w:hint="eastAsia"/>
          <w:sz w:val="32"/>
          <w:szCs w:val="32"/>
        </w:rPr>
        <w:t>）保密要求</w:t>
      </w:r>
    </w:p>
    <w:p>
      <w:pPr>
        <w:pStyle w:val="29"/>
        <w:pBdr>
          <w:top w:val="none" w:sz="0" w:space="0" w:color="auto"/>
          <w:left w:val="none" w:sz="0" w:space="0" w:color="auto"/>
          <w:bottom w:val="none" w:sz="0" w:space="0" w:color="auto"/>
          <w:right w:val="none" w:sz="0" w:space="0" w:color="auto"/>
        </w:pBdr>
        <w:adjustRightInd w:val="0"/>
        <w:snapToGrid w:val="0"/>
        <w:spacing w:line="560" w:lineRule="exact"/>
        <w:ind w:firstLineChars="200" w:firstLine="632"/>
        <w:contextualSpacing w:val="0"/>
        <w:rPr>
          <w:rFonts w:eastAsia="方正仿宋_GBK"/>
          <w:b/>
          <w:bCs w:val="0"/>
          <w:vanish w:val="0"/>
          <w:color w:val="000000"/>
          <w:sz w:val="32"/>
          <w:szCs w:val="32"/>
        </w:rPr>
      </w:pPr>
      <w:r>
        <w:rPr>
          <w:rFonts w:ascii="Times New Roman" w:eastAsia="方正仿宋_GBK" w:hAnsi="Times New Roman"/>
          <w:vanish w:val="0"/>
          <w:color w:val="000000"/>
          <w:sz w:val="32"/>
          <w:szCs w:val="32"/>
        </w:rPr>
        <w:t>供应商</w:t>
      </w:r>
      <w:r>
        <w:rPr>
          <w:rFonts w:ascii="Times New Roman" w:eastAsia="方正仿宋_GBK" w:hAnsi="Times New Roman" w:hint="eastAsia"/>
          <w:vanish w:val="0"/>
          <w:color w:val="000000"/>
          <w:sz w:val="32"/>
          <w:szCs w:val="32"/>
        </w:rPr>
        <w:t>须与汕头海关签订保密协议，</w:t>
      </w:r>
      <w:r>
        <w:rPr>
          <w:rFonts w:ascii="Times New Roman" w:eastAsia="方正仿宋_GBK" w:hAnsi="Times New Roman"/>
          <w:vanish w:val="0"/>
          <w:color w:val="000000"/>
          <w:sz w:val="32"/>
          <w:szCs w:val="32"/>
        </w:rPr>
        <w:t>供应商参与本项目的相关</w:t>
      </w:r>
      <w:r>
        <w:rPr>
          <w:rFonts w:ascii="Times New Roman" w:eastAsia="方正仿宋_GBK" w:hAnsi="Times New Roman" w:hint="eastAsia"/>
          <w:vanish w:val="0"/>
          <w:color w:val="000000"/>
          <w:sz w:val="32"/>
          <w:szCs w:val="32"/>
        </w:rPr>
        <w:t>人员须向汕头海关提交保密承诺书，在工作中严格遵守保密相关规定，不准对外提供海关的数据、资料和内部信息，泄漏海关秘密。如违反规定，供应商和相关人员均应承担相应的法律责任。</w:t>
      </w:r>
    </w:p>
    <w:p>
      <w:pPr>
        <w:pStyle w:val="29"/>
        <w:adjustRightInd w:val="0"/>
        <w:snapToGrid w:val="0"/>
        <w:spacing w:line="560" w:lineRule="exact"/>
        <w:ind w:firstLineChars="200" w:firstLine="632"/>
        <w:contextualSpacing w:val="0"/>
        <w:rPr>
          <w:rFonts w:ascii="方正楷体_GBK" w:eastAsia="方正楷体_GBK" w:hint="eastAsia"/>
          <w:sz w:val="32"/>
          <w:szCs w:val="32"/>
        </w:rPr>
      </w:pPr>
      <w:r>
        <w:rPr>
          <w:rFonts w:ascii="方正楷体_GBK" w:eastAsia="方正楷体_GBK" w:hint="eastAsia"/>
          <w:sz w:val="32"/>
          <w:szCs w:val="32"/>
        </w:rPr>
        <w:t>（</w:t>
      </w:r>
      <w:r>
        <w:rPr>
          <w:rFonts w:ascii="方正楷体_GBK" w:eastAsia="方正楷体_GBK"/>
          <w:sz w:val="32"/>
          <w:szCs w:val="32"/>
        </w:rPr>
        <w:t>四</w:t>
      </w:r>
      <w:r>
        <w:rPr>
          <w:rFonts w:ascii="方正楷体_GBK" w:eastAsia="方正楷体_GBK" w:hint="eastAsia"/>
          <w:sz w:val="32"/>
          <w:szCs w:val="32"/>
        </w:rPr>
        <w:t>）服务质量要求</w:t>
      </w:r>
    </w:p>
    <w:p>
      <w:pPr>
        <w:pStyle w:val="29"/>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line="560" w:lineRule="exact"/>
        <w:ind w:firstLineChars="200" w:firstLine="632"/>
        <w:contextualSpacing w:val="0"/>
        <w:jc w:val="left"/>
        <w:rPr>
          <w:rFonts w:ascii="Times New Roman" w:eastAsia="方正仿宋_GBK" w:hAnsi="Times New Roman"/>
          <w:vanish w:val="0"/>
          <w:color w:val="000000"/>
          <w:sz w:val="32"/>
          <w:szCs w:val="32"/>
        </w:rPr>
      </w:pPr>
      <w:r>
        <w:rPr>
          <w:rFonts w:ascii="Times New Roman" w:eastAsia="方正仿宋_GBK" w:hAnsi="Times New Roman" w:hint="eastAsia"/>
          <w:vanish w:val="0"/>
          <w:color w:val="000000"/>
          <w:sz w:val="32"/>
          <w:szCs w:val="32"/>
        </w:rPr>
        <w:t>在服务期中，汕头海关将就供应商提供服务的情况、用户满意度等进行</w:t>
      </w:r>
      <w:r>
        <w:rPr>
          <w:rFonts w:eastAsia="方正仿宋_GBK"/>
          <w:vanish w:val="0"/>
          <w:color w:val="000000"/>
          <w:sz w:val="32"/>
          <w:szCs w:val="32"/>
        </w:rPr>
        <w:t>1</w:t>
      </w:r>
      <w:r>
        <w:rPr>
          <w:rFonts w:ascii="Times New Roman" w:eastAsia="方正仿宋_GBK" w:hAnsi="Times New Roman" w:hint="eastAsia"/>
          <w:vanish w:val="0"/>
          <w:color w:val="000000"/>
          <w:sz w:val="32"/>
          <w:szCs w:val="32"/>
        </w:rPr>
        <w:t>次综合评估，供应商评估结果综合满意度应达</w:t>
      </w:r>
      <w:r>
        <w:rPr>
          <w:rFonts w:eastAsia="方正仿宋_GBK"/>
          <w:vanish w:val="0"/>
          <w:color w:val="000000"/>
          <w:sz w:val="32"/>
          <w:szCs w:val="32"/>
        </w:rPr>
        <w:t>90%</w:t>
      </w:r>
      <w:r>
        <w:rPr>
          <w:rFonts w:ascii="Times New Roman" w:eastAsia="方正仿宋_GBK" w:hAnsi="Times New Roman" w:hint="eastAsia"/>
          <w:vanish w:val="0"/>
          <w:color w:val="000000"/>
          <w:sz w:val="32"/>
          <w:szCs w:val="32"/>
        </w:rPr>
        <w:t>以上，否则汕头海关有权单方解除合同。</w:t>
      </w:r>
    </w:p>
    <w:p>
      <w:pPr>
        <w:pStyle w:val="29"/>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line="560" w:lineRule="exact"/>
        <w:ind w:firstLineChars="200" w:firstLine="632"/>
        <w:contextualSpacing w:val="0"/>
        <w:jc w:val="left"/>
        <w:rPr>
          <w:rFonts w:eastAsia="方正黑体_GBK"/>
          <w:sz w:val="32"/>
          <w:szCs w:val="32"/>
        </w:rPr>
      </w:pPr>
      <w:r>
        <w:rPr>
          <w:rFonts w:eastAsia="方正黑体_GBK" w:hint="eastAsia"/>
          <w:sz w:val="32"/>
          <w:szCs w:val="32"/>
        </w:rPr>
        <w:t>七、</w:t>
      </w:r>
      <w:r>
        <w:rPr>
          <w:rFonts w:eastAsia="方正黑体_GBK"/>
          <w:sz w:val="32"/>
          <w:szCs w:val="32"/>
        </w:rPr>
        <w:t>设备清单</w:t>
      </w:r>
    </w:p>
    <w:p>
      <w:pPr>
        <w:pStyle w:val="29"/>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line="560" w:lineRule="exact"/>
        <w:ind w:firstLineChars="200" w:firstLine="632"/>
        <w:contextualSpacing w:val="0"/>
        <w:jc w:val="left"/>
        <w:rPr>
          <w:rFonts w:eastAsia="方正仿宋_GBK"/>
          <w:color w:val="000000"/>
          <w:sz w:val="32"/>
          <w:szCs w:val="32"/>
        </w:rPr>
      </w:pPr>
      <w:r>
        <w:rPr>
          <w:rFonts w:eastAsia="方正仿宋_GBK"/>
          <w:color w:val="000000"/>
          <w:sz w:val="32"/>
          <w:szCs w:val="32"/>
        </w:rPr>
        <w:t>以下网络安全</w:t>
      </w:r>
      <w:r>
        <w:rPr>
          <w:rFonts w:eastAsia="方正仿宋_GBK" w:hint="eastAsia"/>
          <w:color w:val="000000"/>
          <w:sz w:val="32"/>
          <w:szCs w:val="32"/>
        </w:rPr>
        <w:t>设备清单供参考：</w:t>
      </w:r>
    </w:p>
    <w:tbl>
      <w:tblPr>
        <w:jc w:val="center"/>
        <w:tblW w:w="7814"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845"/>
        <w:gridCol w:w="2969"/>
      </w:tblGrid>
      <w:tr>
        <w:trPr>
          <w:trHeight w:val="35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黑体_GBK" w:eastAsia="方正黑体_GBK" w:cs="宋体"/>
                <w:sz w:val="32"/>
              </w:rPr>
            </w:pPr>
            <w:r>
              <w:rPr>
                <w:rFonts w:ascii="方正黑体_GBK" w:eastAsia="方正黑体_GBK" w:cs="宋体"/>
                <w:sz w:val="32"/>
              </w:rPr>
              <w:t>设备型号</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黑体_GBK" w:eastAsia="方正黑体_GBK" w:cs="宋体"/>
                <w:sz w:val="32"/>
              </w:rPr>
            </w:pPr>
            <w:r>
              <w:rPr>
                <w:rFonts w:ascii="方正黑体_GBK" w:eastAsia="方正黑体_GBK" w:cs="宋体"/>
                <w:sz w:val="32"/>
              </w:rPr>
              <w:t>数量</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4"/>
              </w:rPr>
            </w:pPr>
            <w:r>
              <w:rPr>
                <w:rFonts w:ascii="方正仿宋_GBK" w:eastAsia="方正仿宋_GBK" w:cs="宋体"/>
                <w:color w:val="000000"/>
                <w:sz w:val="24"/>
              </w:rPr>
              <w:t>华为 CE 16808</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2</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4"/>
              </w:rPr>
            </w:pPr>
            <w:r>
              <w:rPr>
                <w:rFonts w:ascii="方正仿宋_GBK" w:eastAsia="方正仿宋_GBK" w:cs="宋体"/>
                <w:color w:val="000000"/>
                <w:sz w:val="24"/>
              </w:rPr>
              <w:t>华为 S7706</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2</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4"/>
              </w:rPr>
            </w:pPr>
            <w:r>
              <w:rPr>
                <w:rFonts w:ascii="方正仿宋_GBK" w:eastAsia="方正仿宋_GBK" w:cs="宋体"/>
                <w:color w:val="000000"/>
                <w:sz w:val="24"/>
              </w:rPr>
              <w:t>华为 CE6885L-48YS8CQ</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8</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4"/>
              </w:rPr>
            </w:pPr>
            <w:r>
              <w:rPr>
                <w:rFonts w:ascii="方正仿宋_GBK" w:eastAsia="方正仿宋_GBK" w:cs="宋体"/>
                <w:color w:val="000000"/>
                <w:sz w:val="24"/>
              </w:rPr>
              <w:t>深信服 AF-1000-S2100L</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1</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4"/>
              </w:rPr>
            </w:pPr>
            <w:r>
              <w:rPr>
                <w:rFonts w:ascii="方正仿宋_GBK" w:eastAsia="方正仿宋_GBK" w:cs="宋体"/>
                <w:color w:val="000000"/>
                <w:sz w:val="24"/>
              </w:rPr>
              <w:t>华为 CE6800系列</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8</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4"/>
              </w:rPr>
            </w:pPr>
            <w:r>
              <w:rPr>
                <w:rFonts w:ascii="方正仿宋_GBK" w:eastAsia="方正仿宋_GBK" w:cs="宋体"/>
                <w:color w:val="000000"/>
                <w:sz w:val="24"/>
              </w:rPr>
              <w:t>华为 NE20</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2</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4"/>
              </w:rPr>
            </w:pPr>
            <w:r>
              <w:rPr>
                <w:rFonts w:ascii="方正仿宋_GBK" w:eastAsia="方正仿宋_GBK" w:cs="宋体"/>
                <w:color w:val="000000"/>
                <w:sz w:val="24"/>
              </w:rPr>
              <w:t>H3C S5120</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86</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4"/>
              </w:rPr>
            </w:pPr>
            <w:r>
              <w:rPr>
                <w:rFonts w:ascii="方正仿宋_GBK" w:eastAsia="方正仿宋_GBK" w:cs="宋体"/>
                <w:color w:val="000000"/>
                <w:sz w:val="24"/>
              </w:rPr>
              <w:t>H3C S5500 Series</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4</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trike w:val="0"/>
                <w:dstrike w:val="0"/>
                <w:color w:val="000000"/>
                <w:sz w:val="24"/>
              </w:rPr>
            </w:pPr>
            <w:r>
              <w:rPr>
                <w:rFonts w:ascii="方正仿宋_GBK" w:eastAsia="方正仿宋_GBK"/>
                <w:color w:val="000000"/>
                <w:sz w:val="24"/>
              </w:rPr>
              <w:t>华为</w:t>
            </w:r>
            <w:r>
              <w:rPr>
                <w:rFonts w:ascii="方正仿宋_GBK" w:eastAsia="方正仿宋_GBK"/>
                <w:strike w:val="0"/>
                <w:dstrike w:val="0"/>
                <w:color w:val="000000"/>
                <w:sz w:val="24"/>
              </w:rPr>
              <w:t xml:space="preserve"> S5700-28C-EI</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108</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trike w:val="0"/>
                <w:dstrike w:val="0"/>
                <w:color w:val="000000"/>
                <w:sz w:val="24"/>
              </w:rPr>
            </w:pPr>
            <w:r>
              <w:rPr>
                <w:rFonts w:ascii="方正仿宋_GBK" w:eastAsia="方正仿宋_GBK"/>
                <w:color w:val="000000"/>
                <w:sz w:val="24"/>
              </w:rPr>
              <w:t>华为</w:t>
            </w:r>
            <w:r>
              <w:rPr>
                <w:rFonts w:ascii="方正仿宋_GBK" w:eastAsia="方正仿宋_GBK"/>
                <w:strike w:val="0"/>
                <w:dstrike w:val="0"/>
                <w:color w:val="000000"/>
                <w:sz w:val="24"/>
              </w:rPr>
              <w:t xml:space="preserve"> S5700-52C-SI-AC</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56</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trike w:val="0"/>
                <w:dstrike w:val="0"/>
                <w:color w:val="000000"/>
                <w:sz w:val="24"/>
              </w:rPr>
            </w:pPr>
            <w:r>
              <w:rPr>
                <w:rFonts w:ascii="方正仿宋_GBK" w:eastAsia="方正仿宋_GBK"/>
                <w:color w:val="000000"/>
                <w:sz w:val="24"/>
              </w:rPr>
              <w:t>华为</w:t>
            </w:r>
            <w:r>
              <w:rPr>
                <w:rFonts w:ascii="方正仿宋_GBK" w:eastAsia="方正仿宋_GBK"/>
                <w:strike w:val="0"/>
                <w:dstrike w:val="0"/>
                <w:color w:val="000000"/>
                <w:sz w:val="24"/>
              </w:rPr>
              <w:t xml:space="preserve"> S5720</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90</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strike w:val="0"/>
                <w:dstrike w:val="0"/>
                <w:color w:val="000000"/>
                <w:sz w:val="24"/>
              </w:rPr>
            </w:pPr>
            <w:r>
              <w:rPr>
                <w:rFonts w:ascii="方正仿宋_GBK" w:eastAsia="方正仿宋_GBK"/>
                <w:color w:val="000000"/>
                <w:sz w:val="24"/>
              </w:rPr>
              <w:t>华为</w:t>
            </w:r>
            <w:r>
              <w:rPr>
                <w:rFonts w:ascii="方正仿宋_GBK" w:eastAsia="方正仿宋_GBK"/>
                <w:strike w:val="0"/>
                <w:dstrike w:val="0"/>
                <w:color w:val="000000"/>
                <w:sz w:val="24"/>
              </w:rPr>
              <w:t xml:space="preserve"> AR2240</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Times New Roman" w:eastAsia="Times New Roman" w:cs="宋体" w:hAnsi="Times New Roman"/>
                <w:color w:val="000000"/>
                <w:sz w:val="24"/>
              </w:rPr>
            </w:pPr>
            <w:r>
              <w:rPr>
                <w:rFonts w:ascii="Times New Roman" w:eastAsia="Times New Roman" w:cs="宋体" w:hAnsi="Times New Roman"/>
                <w:color w:val="000000"/>
                <w:sz w:val="24"/>
              </w:rPr>
              <w:t>40</w:t>
            </w:r>
          </w:p>
        </w:tc>
      </w:tr>
      <w:tr>
        <w:trPr>
          <w:trHeight w:val="644"/>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spacing w:line="480" w:lineRule="exact"/>
              <w:jc w:val="center"/>
            </w:pPr>
            <w:r>
              <w:rPr>
                <w:rFonts w:ascii="方正仿宋_GBK" w:eastAsia="方正仿宋_GBK"/>
                <w:color w:val="000000"/>
                <w:sz w:val="24"/>
              </w:rPr>
              <w:t>视频质量诊断糸统</w:t>
            </w:r>
            <w:r>
              <w:rPr>
                <w:rFonts w:ascii="方正仿宋_GBK" w:eastAsia="方正仿宋_GBK"/>
                <w:strike w:val="0"/>
                <w:dstrike w:val="0"/>
                <w:color w:val="000000"/>
                <w:sz w:val="24"/>
              </w:rPr>
              <w:br/>
              <w:t>DS-IE6200-E/D （3000路）</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宋体" w:eastAsia="宋体" w:cs="宋体"/>
                <w:color w:val="000000"/>
                <w:sz w:val="24"/>
              </w:rPr>
            </w:pPr>
            <w:r>
              <w:rPr>
                <w:rFonts w:ascii="宋体" w:eastAsia="宋体" w:cs="宋体"/>
                <w:color w:val="000000"/>
                <w:sz w:val="24"/>
              </w:rPr>
              <w:t>1</w:t>
            </w:r>
          </w:p>
        </w:tc>
      </w:tr>
      <w:tr>
        <w:trPr>
          <w:trHeight w:val="644"/>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spacing w:line="480" w:lineRule="exact"/>
              <w:jc w:val="center"/>
              <w:rPr>
                <w:rFonts w:ascii="方正仿宋_GBK" w:eastAsia="方正仿宋_GBK"/>
                <w:strike w:val="0"/>
                <w:dstrike w:val="0"/>
                <w:color w:val="000000"/>
                <w:sz w:val="24"/>
              </w:rPr>
            </w:pPr>
            <w:r>
              <w:rPr>
                <w:rFonts w:ascii="方正仿宋_GBK"/>
                <w:color w:val="000000"/>
                <w:sz w:val="24"/>
              </w:rPr>
              <w:t>iVMS-8700-CMS</w:t>
              <w:br/>
              <w:t>iVMS-8700-DB</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宋体" w:eastAsia="宋体" w:cs="宋体"/>
                <w:color w:val="000000"/>
                <w:sz w:val="24"/>
              </w:rPr>
            </w:pPr>
            <w:r>
              <w:rPr>
                <w:rFonts w:ascii="宋体" w:eastAsia="宋体" w:cs="宋体"/>
                <w:color w:val="000000"/>
                <w:sz w:val="24"/>
              </w:rPr>
              <w:t>1</w:t>
            </w:r>
          </w:p>
        </w:tc>
      </w:tr>
      <w:tr>
        <w:trPr>
          <w:trHeight w:val="644"/>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spacing w:line="480" w:lineRule="exact"/>
              <w:jc w:val="center"/>
            </w:pPr>
            <w:r>
              <w:rPr>
                <w:rFonts w:ascii="方正仿宋_GBK" w:eastAsia="方正仿宋_GBK"/>
                <w:color w:val="000000"/>
                <w:sz w:val="24"/>
              </w:rPr>
              <w:t>海关视频联网监控平台</w:t>
            </w:r>
            <w:r>
              <w:rPr>
                <w:rFonts w:ascii="方正仿宋_GBK" w:eastAsia="方正仿宋_GBK"/>
                <w:strike w:val="0"/>
                <w:dstrike w:val="0"/>
                <w:color w:val="000000"/>
                <w:sz w:val="24"/>
              </w:rPr>
              <w:br/>
              <w:t>（Infovision iHS）</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宋体" w:eastAsia="宋体" w:cs="宋体"/>
                <w:color w:val="000000"/>
                <w:sz w:val="24"/>
              </w:rPr>
            </w:pPr>
            <w:r>
              <w:rPr>
                <w:rFonts w:ascii="宋体" w:eastAsia="宋体" w:cs="宋体"/>
                <w:color w:val="000000"/>
                <w:sz w:val="24"/>
              </w:rPr>
              <w:t>1</w:t>
            </w:r>
          </w:p>
        </w:tc>
      </w:tr>
      <w:tr>
        <w:trPr>
          <w:trHeight w:val="644"/>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spacing w:line="480" w:lineRule="exact"/>
              <w:jc w:val="center"/>
            </w:pPr>
            <w:r>
              <w:rPr>
                <w:rFonts w:ascii="方正仿宋_GBK"/>
                <w:color w:val="000000"/>
                <w:sz w:val="24"/>
              </w:rPr>
              <w:t>海关一体化运维服务考核平台</w:t>
              <w:br/>
              <w:t>（AIoT PNP VQA-IHS）</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宋体" w:eastAsia="宋体" w:cs="宋体"/>
                <w:color w:val="000000"/>
                <w:sz w:val="24"/>
              </w:rPr>
            </w:pPr>
            <w:r>
              <w:rPr>
                <w:rFonts w:ascii="宋体" w:eastAsia="宋体" w:cs="宋体"/>
                <w:color w:val="000000"/>
                <w:sz w:val="24"/>
              </w:rPr>
              <w:t>1</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4"/>
              </w:rPr>
            </w:pPr>
            <w:r>
              <w:rPr>
                <w:rFonts w:ascii="方正仿宋_GBK" w:eastAsia="方正仿宋_GBK" w:cs="宋体"/>
                <w:color w:val="000000"/>
                <w:sz w:val="24"/>
              </w:rPr>
              <w:t>esight智慧网管系统</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宋体" w:eastAsia="宋体" w:cs="宋体"/>
                <w:color w:val="000000"/>
                <w:sz w:val="24"/>
              </w:rPr>
            </w:pPr>
            <w:r>
              <w:rPr>
                <w:rFonts w:ascii="宋体" w:eastAsia="宋体" w:cs="宋体"/>
                <w:color w:val="000000"/>
                <w:sz w:val="24"/>
              </w:rPr>
              <w:t>1</w:t>
            </w:r>
          </w:p>
        </w:tc>
      </w:tr>
      <w:tr>
        <w:trPr>
          <w:trHeight w:val="32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仿宋_GBK" w:eastAsia="方正仿宋_GBK" w:cs="宋体"/>
                <w:color w:val="000000"/>
                <w:sz w:val="24"/>
              </w:rPr>
            </w:pPr>
            <w:r>
              <w:rPr>
                <w:rFonts w:ascii="方正仿宋_GBK" w:eastAsia="方正仿宋_GBK" w:cs="宋体"/>
                <w:color w:val="000000"/>
                <w:sz w:val="24"/>
              </w:rPr>
              <w:t>华为 S5735-L48T4X-AI</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宋体" w:eastAsia="宋体" w:cs="宋体"/>
                <w:color w:val="000000"/>
                <w:sz w:val="24"/>
              </w:rPr>
            </w:pPr>
            <w:r>
              <w:rPr>
                <w:rFonts w:ascii="宋体" w:eastAsia="宋体" w:cs="宋体"/>
                <w:color w:val="000000"/>
                <w:sz w:val="24"/>
              </w:rPr>
              <w:t>23</w:t>
            </w:r>
          </w:p>
        </w:tc>
      </w:tr>
      <w:tr>
        <w:trPr>
          <w:trHeight w:val="389"/>
        </w:trPr>
        <w:tc>
          <w:tcPr>
            <w:tcW w:w="4845"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黑体_GBK" w:eastAsia="方正黑体_GBK" w:cs="宋体"/>
                <w:b/>
                <w:i w:val="0"/>
                <w:sz w:val="24"/>
              </w:rPr>
            </w:pPr>
            <w:r>
              <w:rPr>
                <w:rFonts w:ascii="方正黑体_GBK" w:eastAsia="方正黑体_GBK" w:cs="宋体"/>
                <w:b/>
                <w:i w:val="0"/>
                <w:sz w:val="24"/>
              </w:rPr>
              <w:t>合计</w:t>
            </w:r>
          </w:p>
        </w:tc>
        <w:tc>
          <w:tcPr>
            <w:tcW w:w="2969" w:type="dxa"/>
            <w:tcBorders>
              <w:top w:val="single" w:sz="6" w:space="0" w:color="auto"/>
              <w:left w:val="single" w:sz="6" w:space="0" w:color="auto"/>
              <w:bottom w:val="single" w:sz="6" w:space="0" w:color="auto"/>
              <w:right w:val="single" w:sz="6" w:space="0" w:color="auto"/>
              <w:tl2br w:val="nil"/>
              <w:tr2bl w:val="nil"/>
            </w:tcBorders>
            <w:noWrap/>
            <w:vAlign w:val="center"/>
          </w:tcPr>
          <w:p>
            <w:pPr>
              <w:jc w:val="center"/>
              <w:rPr>
                <w:rFonts w:ascii="方正黑体_GBK" w:eastAsia="方正黑体_GBK" w:cs="宋体"/>
                <w:b/>
                <w:i w:val="0"/>
                <w:color w:val="000000"/>
                <w:sz w:val="24"/>
              </w:rPr>
            </w:pPr>
            <w:r>
              <w:rPr>
                <w:rFonts w:ascii="方正黑体_GBK" w:eastAsia="方正黑体_GBK" w:cs="宋体"/>
                <w:b/>
                <w:i w:val="0"/>
                <w:color w:val="000000"/>
                <w:sz w:val="24"/>
              </w:rPr>
              <w:t>435</w:t>
            </w:r>
          </w:p>
        </w:tc>
      </w:tr>
    </w:tbl>
    <w:p>
      <w:pPr>
        <w:pStyle w:val="29"/>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adjustRightInd w:val="0"/>
        <w:snapToGrid w:val="0"/>
        <w:spacing w:line="560" w:lineRule="exact"/>
        <w:ind w:firstLineChars="200" w:firstLine="632"/>
        <w:contextualSpacing w:val="0"/>
        <w:jc w:val="left"/>
        <w:rPr>
          <w:rFonts w:eastAsia="方正仿宋_GBK"/>
          <w:color w:val="000000"/>
          <w:sz w:val="32"/>
          <w:szCs w:val="32"/>
        </w:rPr>
      </w:pPr>
    </w:p>
    <w:p>
      <w:pPr>
        <w:spacing w:line="560" w:lineRule="exact"/>
        <w:ind w:firstLineChars="200" w:firstLine="632"/>
        <w:jc w:val="left"/>
      </w:pPr>
    </w:p>
    <w:sectPr>
      <w:footerReference w:type="default" r:id="rId2"/>
      <w:footerReference w:type="even" r:id="rId3"/>
      <w:pgSz w:w="11907" w:h="16840"/>
      <w:pgMar w:top="2098" w:right="1474" w:bottom="1985" w:left="1588" w:header="1814" w:footer="1474" w:gutter="0"/>
      <w:pgNumType w:fmt="numberInDash" w:start="1"/>
      <w:docGrid w:type="linesAndChars" w:linePitch="580" w:charSpace="-84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080E0000" w:usb2="00000000" w:usb3="00000000" w:csb0="00040001" w:csb1="00000000"/>
  </w:font>
  <w:font w:name="方正仿宋_GBK">
    <w:altName w:val="Arial Unicode MS"/>
    <w:panose1 w:val="03000509000000000000"/>
    <w:charset w:val="86"/>
    <w:family w:val="script"/>
    <w:pitch w:val="variable"/>
    <w:sig w:usb0="00000001" w:usb1="080E0000" w:usb2="00000000" w:usb3="00000000" w:csb0="00040000" w:csb1="00000000"/>
  </w:font>
  <w:font w:name="黑体">
    <w:panose1 w:val="02010600030101010101"/>
    <w:charset w:val="86"/>
    <w:family w:val="auto"/>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Times New Roman">
    <w:panose1 w:val="02020603050405020304"/>
    <w:charset w:val="00"/>
    <w:family w:val="auto"/>
    <w:pitch w:val="variable"/>
    <w:sig w:usb0="00000A87" w:usb1="00000000" w:usb2="00000000" w:usb3="00000000" w:csb0="400001BF" w:csb1="DFF70000"/>
  </w:font>
  <w:font w:name="Arial">
    <w:panose1 w:val="020B0604020202020204"/>
    <w:charset w:val="00"/>
    <w:family w:val="auto"/>
    <w:pitch w:val="variable"/>
    <w:sig w:usb0="00007A87" w:usb1="80000000" w:usb2="00000008"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7"/>
      <w:framePr w:w="0" w:hRule="auto" w:wrap="around" w:vAnchor="text" w:hAnchor="margin" w:xAlign="outside" w:y="1" w:anchorLock="0"/>
      <w:pBdr>
        <w:top w:val="none" w:sz="0" w:space="0" w:color="auto"/>
        <w:left w:val="none" w:sz="0" w:space="0" w:color="auto"/>
        <w:bottom w:val="none" w:sz="0" w:space="0" w:color="auto"/>
        <w:right w:val="none" w:sz="0" w:space="0" w:color="auto"/>
      </w:pBdr>
      <w:tabs>
        <w:tab w:val="center" w:pos="4153"/>
        <w:tab w:val="right" w:pos="8307"/>
      </w:tabs>
      <w:rPr>
        <w:rFonts w:ascii="宋体" w:eastAsia="宋体" w:hint="eastAsia"/>
        <w:sz w:val="28"/>
      </w:rPr>
    </w:pPr>
    <w:r>
      <w:rPr>
        <w:rStyle w:val="23"/>
        <w:rFonts w:ascii="宋体" w:eastAsia="宋体" w:hint="eastAsia"/>
        <w:sz w:val="28"/>
      </w:rPr>
      <w:fldChar w:fldCharType="begin"/>
    </w:r>
    <w:r>
      <w:rPr>
        <w:rStyle w:val="23"/>
        <w:rFonts w:ascii="宋体" w:eastAsia="宋体" w:hint="eastAsia"/>
        <w:sz w:val="28"/>
      </w:rPr>
      <w:instrText>Page</w:instrText>
    </w:r>
    <w:r>
      <w:rPr>
        <w:rStyle w:val="23"/>
        <w:rFonts w:ascii="宋体" w:eastAsia="宋体" w:hint="eastAsia"/>
        <w:sz w:val="28"/>
      </w:rPr>
      <w:fldChar w:fldCharType="separate"/>
    </w:r>
    <w:r>
      <w:rPr>
        <w:rStyle w:val="23"/>
        <w:rFonts w:ascii="宋体" w:eastAsia="宋体" w:hint="eastAsia"/>
        <w:sz w:val="28"/>
      </w:rPr>
      <w:t>- 1 -</w:t>
    </w:r>
    <w:r>
      <w:rPr>
        <w:rStyle w:val="23"/>
        <w:rFonts w:ascii="宋体" w:eastAsia="宋体" w:hint="eastAsia"/>
        <w:sz w:val="28"/>
      </w:rPr>
      <w:fldChar w:fldCharType="end"/>
    </w:r>
  </w:p>
  <w:p>
    <w:pPr>
      <w:ind w:right="360" w:firstLine="360"/>
      <w:rPr>
        <w:sz w:val="32"/>
        <w:szCs w:val="32"/>
      </w:rPr>
    </w:pPr>
    <w:r>
      <w:rPr>
        <w:sz w:val="32"/>
        <w:szCs w:val="32"/>
      </w:rPr>
      <w:tab/>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7"/>
      <w:framePr w:w="0" w:hRule="auto" w:wrap="around" w:vAnchor="text" w:hAnchor="margin" w:xAlign="outside" w:y="1" w:anchorLock="0"/>
      <w:pBdr>
        <w:top w:val="none" w:sz="0" w:space="0" w:color="auto"/>
        <w:left w:val="none" w:sz="0" w:space="0" w:color="auto"/>
        <w:bottom w:val="none" w:sz="0" w:space="0" w:color="auto"/>
        <w:right w:val="none" w:sz="0" w:space="0" w:color="auto"/>
      </w:pBdr>
      <w:tabs>
        <w:tab w:val="center" w:pos="4153"/>
        <w:tab w:val="right" w:pos="8307"/>
      </w:tabs>
    </w:pPr>
    <w:r>
      <w:rPr>
        <w:rStyle w:val="23"/>
      </w:rPr>
      <w:fldChar w:fldCharType="begin"/>
    </w:r>
    <w:r>
      <w:rPr>
        <w:rStyle w:val="23"/>
      </w:rPr>
      <w:instrText>Page</w:instrText>
    </w:r>
    <w:r>
      <w:rPr>
        <w:rStyle w:val="23"/>
      </w:rPr>
      <w:fldChar w:fldCharType="separate"/>
    </w:r>
    <w:r>
      <w:rPr>
        <w:rStyle w:val="23"/>
      </w:rPr>
      <w:t>0</w:t>
    </w:r>
    <w:r>
      <w:rPr>
        <w:rStyle w:val="23"/>
      </w:rPr>
      <w:fldChar w:fldCharType="end"/>
    </w:r>
  </w:p>
  <w:p>
    <w:pPr>
      <w:pStyle w:val="17"/>
      <w:tabs>
        <w:tab w:val="center" w:pos="4153"/>
        <w:tab w:val="right" w:pos="8307"/>
      </w:tabs>
      <w:ind w:right="360" w:firstLine="360"/>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7ED287DA"/>
    <w:multiLevelType w:val="multilevel"/>
    <w:tmpl w:val="E3FE1FCA"/>
    <w:lvl w:ilvl="0">
      <w:start w:val="1"/>
      <w:numFmt w:val="decimal"/>
      <w:lvlRestart w:val="0"/>
      <w:lvlText w:val="B%1."/>
      <w:lvlJc w:val="left"/>
      <w:pPr>
        <w:tabs>
          <w:tab w:val="num" w:pos="425"/>
        </w:tabs>
        <w:ind w:left="425" w:hanging="425"/>
      </w:pPr>
      <w:rPr>
        <w:rFonts w:hint="eastAsia"/>
      </w:rPr>
    </w:lvl>
    <w:lvl w:ilvl="1">
      <w:start w:val="1"/>
      <w:numFmt w:val="decimal"/>
      <w:pStyle w:val="2"/>
      <w:lvlText w:val="%1.%2."/>
      <w:lvlJc w:val="left"/>
      <w:pPr>
        <w:tabs>
          <w:tab w:val="num" w:pos="720"/>
        </w:tabs>
        <w:ind w:left="567" w:hanging="567"/>
      </w:pPr>
      <w:rPr>
        <w:rFonts w:hint="eastAsia"/>
      </w:rPr>
    </w:lvl>
    <w:lvl w:ilvl="2">
      <w:start w:val="1"/>
      <w:numFmt w:val="decimal"/>
      <w:lvlText w:val="%1.%2.%3."/>
      <w:lvlJc w:val="left"/>
      <w:pPr>
        <w:tabs>
          <w:tab w:val="num" w:pos="1080"/>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3"/>
  <w:doNotDisplayPageBoundaries/>
  <w:displayBackgroundShape/>
  <w:bordersDoNotSurroundHeader/>
  <w:bordersDoNotSurroundFooter/>
  <w:trackRevisions/>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styleId="1">
    <w:name w:val="heading 1"/>
    <w:next w:val="0"/>
    <w:pPr>
      <w:keepNext/>
      <w:keepLines/>
      <w:widowControl w:val="0"/>
      <w:spacing w:before="360" w:after="360" w:line="578" w:lineRule="auto"/>
      <w:ind w:firstLine="0"/>
      <w:jc w:val="both"/>
      <w:outlineLvl w:val="0"/>
    </w:pPr>
    <w:rPr>
      <w:rFonts w:ascii="Times New Roman" w:eastAsia="宋体" w:cs="Times New Roman" w:hAnsi="Times New Roman"/>
      <w:b/>
      <w:bCs/>
      <w:kern w:val="44"/>
      <w:sz w:val="44"/>
      <w:szCs w:val="44"/>
      <w:lang w:val="en-US" w:eastAsia="zh-CN" w:bidi="ar-SA"/>
    </w:rPr>
  </w:style>
  <w:style w:type="paragraph" w:styleId="2">
    <w:name w:val="heading 2"/>
    <w:next w:val="0"/>
    <w:pPr>
      <w:keepNext/>
      <w:keepLines/>
      <w:widowControl w:val="0"/>
      <w:numPr>
        <w:ilvl w:val="1"/>
        <w:numId w:val="1"/>
      </w:numPr>
      <w:spacing w:before="240" w:after="240" w:line="415" w:lineRule="auto"/>
      <w:ind w:left="0" w:firstLineChars="200" w:firstLine="200"/>
      <w:jc w:val="both"/>
      <w:outlineLvl w:val="1"/>
    </w:pPr>
    <w:rPr>
      <w:rFonts w:ascii="Times New Roman" w:eastAsia="宋体" w:cs="Times New Roman" w:hAnsi="Times New Roman"/>
      <w:b/>
      <w:kern w:val="2"/>
      <w:sz w:val="36"/>
      <w:szCs w:val="20"/>
      <w:lang w:val="en-US" w:eastAsia="zh-CN" w:bidi="ar-SA"/>
    </w:rPr>
  </w:style>
  <w:style w:type="paragraph" w:styleId="3">
    <w:name w:val="heading 3"/>
    <w:next w:val="0"/>
    <w:pPr>
      <w:keepNext/>
      <w:keepLines/>
      <w:widowControl w:val="0"/>
      <w:numPr>
        <w:ilvl w:val="2"/>
        <w:numId w:val="1"/>
      </w:numPr>
      <w:adjustRightInd w:val="0"/>
      <w:spacing w:before="120" w:after="120" w:line="480" w:lineRule="auto"/>
      <w:ind w:left="0" w:firstLineChars="200" w:firstLine="200"/>
      <w:jc w:val="both"/>
      <w:outlineLvl w:val="2"/>
    </w:pPr>
    <w:rPr>
      <w:rFonts w:ascii="Times New Roman" w:eastAsia="宋体" w:cs="Times New Roman" w:hAnsi="Times New Roman"/>
      <w:b/>
      <w:bCs/>
      <w:kern w:val="2"/>
      <w:sz w:val="32"/>
      <w:szCs w:val="32"/>
      <w:lang w:val="en-US" w:eastAsia="zh-CN" w:bidi="ar-SA"/>
    </w:rPr>
  </w:style>
  <w:style w:type="character" w:default="1" w:styleId="10">
    <w:name w:val="Default Paragraph Font"/>
  </w:style>
  <w:style w:type="paragraph" w:styleId="15">
    <w:name w:val="Normal Indent"/>
    <w:next w:val="0"/>
    <w:pPr>
      <w:widowControl w:val="0"/>
      <w:ind w:firstLine="420"/>
      <w:jc w:val="both"/>
    </w:pPr>
    <w:rPr>
      <w:rFonts w:ascii="Times New Roman" w:eastAsia="宋体" w:cs="Times New Roman" w:hAnsi="Times New Roman"/>
      <w:kern w:val="2"/>
      <w:sz w:val="21"/>
      <w:szCs w:val="24"/>
      <w:lang w:val="en-US" w:eastAsia="zh-CN" w:bidi="ar-SA"/>
    </w:rPr>
  </w:style>
  <w:style w:type="paragraph" w:styleId="16">
    <w:name w:val="header"/>
    <w:basedOn w:val="0"/>
    <w:pPr>
      <w:pBdr>
        <w:bottom w:val="single" w:sz="6" w:space="1" w:color="auto"/>
      </w:pBdr>
      <w:tabs>
        <w:tab w:val="center" w:pos="4153"/>
        <w:tab w:val="right" w:pos="8307"/>
      </w:tabs>
      <w:snapToGrid w:val="0"/>
      <w:jc w:val="center"/>
    </w:pPr>
    <w:rPr>
      <w:sz w:val="18"/>
    </w:rPr>
  </w:style>
  <w:style w:type="paragraph" w:styleId="17">
    <w:name w:val="footer"/>
    <w:basedOn w:val="0"/>
    <w:pPr>
      <w:tabs>
        <w:tab w:val="center" w:pos="4153"/>
        <w:tab w:val="right" w:pos="8307"/>
      </w:tabs>
      <w:snapToGrid w:val="0"/>
      <w:jc w:val="left"/>
    </w:pPr>
    <w:rPr>
      <w:sz w:val="18"/>
    </w:rPr>
  </w:style>
  <w:style w:type="paragraph" w:customStyle="1" w:styleId="18">
    <w:name w:val="样式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19">
    <w:name w:val="样式 小二"/>
    <w:pPr>
      <w:keepNext/>
      <w:keepLines/>
      <w:widowControl w:val="0"/>
      <w:numPr>
        <w:ilvl w:val="1"/>
        <w:numId w:val="1"/>
      </w:numPr>
      <w:spacing w:before="240" w:after="240" w:line="415" w:lineRule="auto"/>
      <w:ind w:left="0" w:firstLineChars="200" w:firstLine="200"/>
      <w:jc w:val="both"/>
      <w:outlineLvl w:val="1"/>
    </w:pPr>
    <w:rPr>
      <w:rFonts w:ascii="Times New Roman" w:eastAsia="宋体" w:cs="Times New Roman" w:hAnsi="Times New Roman"/>
      <w:b/>
      <w:kern w:val="2"/>
      <w:sz w:val="36"/>
      <w:szCs w:val="20"/>
      <w:lang w:val="en-US" w:eastAsia="zh-CN" w:bidi="ar-SA"/>
    </w:rPr>
  </w:style>
  <w:style w:type="paragraph" w:customStyle="1" w:styleId="20">
    <w:name w:val="样式 1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21">
    <w:name w:val="样式 三号"/>
    <w:next w:val="16"/>
    <w:pPr>
      <w:widowControl w:val="0"/>
      <w:spacing w:line="560" w:lineRule="exact"/>
      <w:jc w:val="both"/>
    </w:pPr>
    <w:rPr>
      <w:rFonts w:ascii="Times New Roman" w:eastAsia="方正仿宋_GBK" w:cs="Times New Roman" w:hAnsi="Times New Roman"/>
      <w:spacing w:val="-4"/>
      <w:kern w:val="2"/>
      <w:sz w:val="32"/>
      <w:szCs w:val="28"/>
      <w:lang w:val="en-US" w:eastAsia="zh-CN" w:bidi="ar-SA"/>
    </w:rPr>
  </w:style>
  <w:style w:type="paragraph" w:customStyle="1" w:styleId="22">
    <w:name w:val="样式 2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character" w:styleId="23">
    <w:name w:val="page number"/>
    <w:basedOn w:val="10"/>
  </w:style>
  <w:style w:type="paragraph" w:styleId="24">
    <w:name w:val="index 6"/>
    <w:basedOn w:val="0"/>
    <w:autoRedefine/>
    <w:next w:val="0"/>
    <w:pPr>
      <w:ind w:left="2100"/>
    </w:pPr>
  </w:style>
  <w:style w:type="paragraph" w:styleId="25">
    <w:name w:val="toc 3"/>
    <w:basedOn w:val="0"/>
    <w:autoRedefine/>
    <w:next w:val="0"/>
    <w:pPr>
      <w:ind w:left="840"/>
    </w:pPr>
  </w:style>
  <w:style w:type="paragraph" w:customStyle="1" w:styleId="26">
    <w:name w:val="样式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27">
    <w:name w:val="样式 1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28">
    <w:name w:val="样式 2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29">
    <w:name w:val="样式 3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30">
    <w:name w:val="样式 10 10 磅"/>
    <w:next w:val="25"/>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1 三号"/>
    <w:pPr>
      <w:keepNext/>
      <w:keepLines/>
      <w:widowControl w:val="0"/>
      <w:numPr>
        <w:ilvl w:val="2"/>
        <w:numId w:val="1"/>
      </w:numPr>
      <w:adjustRightInd w:val="0"/>
      <w:spacing w:before="120" w:after="120" w:line="480" w:lineRule="auto"/>
      <w:ind w:left="0" w:firstLineChars="200" w:firstLine="200"/>
      <w:jc w:val="both"/>
      <w:outlineLvl w:val="2"/>
    </w:pPr>
    <w:rPr>
      <w:rFonts w:ascii="Times New Roman" w:eastAsia="宋体" w:cs="Times New Roman" w:hAnsi="Times New Roman"/>
      <w:b/>
      <w:bCs/>
      <w:kern w:val="2"/>
      <w:sz w:val="32"/>
      <w:szCs w:val="32"/>
      <w:lang w:val="en-US" w:eastAsia="zh-CN" w:bidi="ar-SA"/>
    </w:rPr>
  </w:style>
  <w:style w:type="paragraph" w:customStyle="1" w:styleId="32">
    <w:name w:val="样式 3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33">
    <w:name w:val="样式 2 三号"/>
    <w:pPr>
      <w:keepNext/>
      <w:keepLines/>
      <w:widowControl w:val="0"/>
      <w:numPr>
        <w:ilvl w:val="2"/>
        <w:numId w:val="1"/>
      </w:numPr>
      <w:adjustRightInd w:val="0"/>
      <w:spacing w:before="120" w:after="120" w:line="480" w:lineRule="auto"/>
      <w:ind w:left="0" w:firstLineChars="200" w:firstLine="200"/>
      <w:jc w:val="both"/>
      <w:outlineLvl w:val="2"/>
    </w:pPr>
    <w:rPr>
      <w:rFonts w:ascii="Times New Roman" w:eastAsia="宋体" w:cs="Times New Roman" w:hAnsi="Times New Roman"/>
      <w:b/>
      <w:bCs/>
      <w:kern w:val="2"/>
      <w:sz w:val="32"/>
      <w:szCs w:val="32"/>
      <w:lang w:val="en-US" w:eastAsia="zh-CN" w:bidi="ar-SA"/>
    </w:rPr>
  </w:style>
  <w:style w:type="paragraph" w:customStyle="1" w:styleId="34">
    <w:name w:val="样式 4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35">
    <w:name w:val="样式 5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36">
    <w:name w:val="样式 6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37">
    <w:name w:val="样式 7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38">
    <w:name w:val="样式 4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39">
    <w:name w:val="样式 8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40">
    <w:name w:val="样式 5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41">
    <w:name w:val="样式 6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42">
    <w:name w:val="样式 3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43">
    <w:name w:val="样式 4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44">
    <w:name w:val="样式 5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45">
    <w:name w:val="样式 6 三号"/>
    <w:pPr>
      <w:widowControl w:val="0"/>
      <w:spacing w:line="240" w:lineRule="auto"/>
      <w:jc w:val="both"/>
    </w:pPr>
    <w:rPr>
      <w:rFonts w:ascii="Times New Roman" w:eastAsia="方正仿宋_GBK" w:cs="Times New Roman" w:hAnsi="Times New Roman"/>
      <w:kern w:val="2"/>
      <w:sz w:val="32"/>
      <w:szCs w:val="20"/>
      <w:lang w:val="en-US" w:eastAsia="zh-CN" w:bidi="ar-SA"/>
    </w:rPr>
  </w:style>
  <w:style w:type="paragraph" w:customStyle="1" w:styleId="46">
    <w:name w:val="样式 9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47">
    <w:name w:val="样式 7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48">
    <w:name w:val="样式 8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49">
    <w:name w:val="样式 9 10 磅"/>
    <w:pPr>
      <w:keepNext w:val="0"/>
      <w:keepLines w:val="0"/>
      <w:pageBreakBefore w:val="0"/>
      <w:widowControl w:val="0"/>
      <w:suppressLineNumbers w:val="0"/>
      <w:pBdr>
        <w:top w:val="none" w:sz="0" w:space="0" w:color="auto"/>
        <w:left w:val="none" w:sz="0" w:space="0" w:color="auto"/>
        <w:bottom w:val="none" w:sz="0" w:space="0" w:color="auto"/>
        <w:right w:val="none" w:sz="0" w:space="0" w:color="auto"/>
      </w:pBdr>
      <w:shd w:val="clear" w:color="auto" w:fill="auto"/>
      <w:suppressAutoHyphens w:val="0"/>
      <w:kinsoku/>
      <w:wordWrap/>
      <w:overflowPunct/>
      <w:topLinePunct w:val="0"/>
      <w:autoSpaceDE/>
      <w:autoSpaceDN/>
      <w:bidi w:val="0"/>
      <w:adjustRightInd/>
      <w:snapToGrid/>
      <w:spacing w:before="0" w:beforeAutospacing="0" w:after="0" w:afterAutospacing="0" w:line="240" w:lineRule="auto"/>
      <w:ind w:left="0" w:right="0" w:firstLine="0"/>
      <w:contextualSpacing w:val="0"/>
      <w:jc w:val="both"/>
      <w:textAlignment w:val="auto"/>
      <w:outlineLvl w:val="9"/>
    </w:pPr>
    <w:rPr>
      <w:rFonts w:ascii="Times New Roman" w:eastAsia="宋体" w:cs="Times New Roman" w:hAnsi="Times New Roman"/>
      <w:b w:val="0"/>
      <w:i w:val="0"/>
      <w:caps w:val="0"/>
      <w:smallCaps w:val="0"/>
      <w:strike w:val="0"/>
      <w:dstrike w:val="0"/>
      <w:snapToGrid/>
      <w:vanish w:val="0"/>
      <w:color w:val="auto"/>
      <w:spacing w:val="0"/>
      <w:w w:val="100"/>
      <w:kern w:val="2"/>
      <w:position w:val="0"/>
      <w:sz w:val="21"/>
      <w:szCs w:val="24"/>
      <w:u w:val="none" w:color="auto"/>
      <w:shd w:val="clear" w:color="auto" w:fill="auto"/>
      <w:vertAlign w:val="baseline"/>
      <w:em w:val="none"/>
      <w:lang w:val="en-US" w:eastAsia="zh-CN" w:bidi="ar-SA"/>
    </w:rPr>
  </w:style>
  <w:style w:type="paragraph" w:customStyle="1" w:styleId="50">
    <w:name w:val="样式 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51">
    <w:name w:val="样式 8 三号"/>
    <w:pPr>
      <w:keepNext/>
      <w:keepLines/>
      <w:widowControl w:val="0"/>
      <w:numPr>
        <w:ilvl w:val="2"/>
        <w:numId w:val="1"/>
      </w:numPr>
      <w:adjustRightInd w:val="0"/>
      <w:spacing w:before="120" w:after="120" w:line="480" w:lineRule="auto"/>
      <w:ind w:left="0" w:firstLineChars="200" w:firstLine="200"/>
      <w:jc w:val="both"/>
      <w:outlineLvl w:val="2"/>
    </w:pPr>
    <w:rPr>
      <w:rFonts w:ascii="Times New Roman" w:eastAsia="宋体" w:cs="Times New Roman" w:hAnsi="Times New Roman"/>
      <w:b/>
      <w:bCs/>
      <w:kern w:val="2"/>
      <w:sz w:val="32"/>
      <w:szCs w:val="32"/>
      <w:lang w:val="en-US" w:eastAsia="zh-CN" w:bidi="ar-SA"/>
    </w:rPr>
  </w:style>
  <w:style w:type="paragraph" w:customStyle="1" w:styleId="52">
    <w:name w:val="样式 10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53">
    <w:name w:val="样式 1 小二"/>
    <w:pPr>
      <w:keepNext/>
      <w:keepLines/>
      <w:widowControl w:val="0"/>
      <w:numPr>
        <w:ilvl w:val="1"/>
        <w:numId w:val="1"/>
      </w:numPr>
      <w:spacing w:before="240" w:after="240" w:line="415" w:lineRule="auto"/>
      <w:ind w:left="0" w:firstLineChars="200" w:firstLine="200"/>
      <w:jc w:val="both"/>
      <w:outlineLvl w:val="1"/>
    </w:pPr>
    <w:rPr>
      <w:rFonts w:ascii="Times New Roman" w:eastAsia="宋体" w:cs="Times New Roman" w:hAnsi="Times New Roman"/>
      <w:b/>
      <w:kern w:val="2"/>
      <w:sz w:val="36"/>
      <w:szCs w:val="20"/>
      <w:lang w:val="en-US" w:eastAsia="zh-CN" w:bidi="ar-SA"/>
    </w:rPr>
  </w:style>
  <w:style w:type="paragraph" w:customStyle="1" w:styleId="54">
    <w:name w:val="样式 9 三号"/>
    <w:pPr>
      <w:keepNext/>
      <w:keepLines/>
      <w:widowControl w:val="0"/>
      <w:numPr>
        <w:ilvl w:val="2"/>
        <w:numId w:val="1"/>
      </w:numPr>
      <w:adjustRightInd w:val="0"/>
      <w:spacing w:before="120" w:after="120" w:line="480" w:lineRule="auto"/>
      <w:ind w:left="0" w:firstLineChars="200" w:firstLine="200"/>
      <w:jc w:val="both"/>
      <w:outlineLvl w:val="2"/>
    </w:pPr>
    <w:rPr>
      <w:rFonts w:ascii="Times New Roman" w:eastAsia="宋体" w:cs="Times New Roman" w:hAnsi="Times New Roman"/>
      <w:b/>
      <w:bCs/>
      <w:kern w:val="2"/>
      <w:sz w:val="32"/>
      <w:szCs w:val="32"/>
      <w:lang w:val="en-US" w:eastAsia="zh-CN" w:bidi="ar-SA"/>
    </w:rPr>
  </w:style>
  <w:style w:type="paragraph" w:customStyle="1" w:styleId="55">
    <w:name w:val="样式 11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 w:type="paragraph" w:customStyle="1" w:styleId="56">
    <w:name w:val="样式 12 小四"/>
    <w:pPr>
      <w:widowControl w:val="0"/>
      <w:spacing w:line="360" w:lineRule="auto"/>
      <w:ind w:firstLineChars="200" w:firstLine="200"/>
      <w:jc w:val="both"/>
    </w:pPr>
    <w:rPr>
      <w:rFonts w:ascii="Times New Roman" w:eastAsia="宋体" w:cs="Times New Roman" w:hAnsi="Times New Roman"/>
      <w:kern w:val="2"/>
      <w:sz w:val="24"/>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255</TotalTime>
  <Application>Yozo_Office</Application>
  <Pages>6</Pages>
  <Words>1799</Words>
  <Characters>2042</Characters>
  <Lines>135</Lines>
  <Paragraphs>92</Paragraphs>
  <CharactersWithSpaces>2069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贺晓阳</dc:creator>
  <cp:lastModifiedBy>董晓洁</cp:lastModifiedBy>
  <cp:revision>1</cp:revision>
  <dcterms:created xsi:type="dcterms:W3CDTF">2023-10-09T01:08:51Z</dcterms:created>
  <dcterms:modified xsi:type="dcterms:W3CDTF">2025-09-19T07:11:45Z</dcterms:modified>
</cp:coreProperties>
</file>