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rFonts w:ascii="方正小标宋_GBK" w:eastAsia="方正小标宋_GBK"/>
          <w:sz w:val="40"/>
          <w:szCs w:val="40"/>
          <w:lang w:bidi="ar-SA"/>
        </w:rPr>
      </w:pPr>
      <w:r>
        <w:rPr>
          <w:rFonts w:ascii="方正小标宋_GBK" w:eastAsia="方正小标宋_GBK" w:hint="eastAsia"/>
          <w:sz w:val="40"/>
          <w:szCs w:val="40"/>
          <w:lang w:bidi="ar-SA"/>
        </w:rPr>
        <w:t>汕头海关总关大院主楼2—4层更换空调</w:t>
      </w:r>
    </w:p>
    <w:p>
      <w:pPr>
        <w:jc w:val="center"/>
        <w:rPr>
          <w:rFonts w:ascii="方正小标宋_GBK" w:eastAsia="方正小标宋_GBK"/>
          <w:sz w:val="40"/>
          <w:szCs w:val="40"/>
        </w:rPr>
      </w:pPr>
      <w:bookmarkStart w:id="0" w:name="_GoBack"/>
      <w:bookmarkEnd w:id="0"/>
      <w:r>
        <w:rPr>
          <w:rFonts w:ascii="方正小标宋_GBK" w:eastAsia="方正小标宋_GBK" w:hint="eastAsia"/>
          <w:sz w:val="40"/>
          <w:szCs w:val="40"/>
          <w:lang w:bidi="ar-SA"/>
        </w:rPr>
        <w:t>设备项目</w:t>
      </w:r>
      <w:r>
        <w:rPr>
          <w:rFonts w:ascii="方正小标宋_GBK" w:eastAsia="方正小标宋_GBK" w:hint="eastAsia"/>
          <w:sz w:val="40"/>
          <w:szCs w:val="40"/>
        </w:rPr>
        <w:t>评分标准</w:t>
      </w:r>
    </w:p>
    <w:p>
      <w:pPr>
        <w:pStyle w:val="107"/>
        <w:spacing w:line="460" w:lineRule="exact"/>
        <w:ind w:left="0" w:firstLineChars="200" w:firstLine="480"/>
        <w:rPr>
          <w:rFonts w:eastAsia="方正仿宋_GBK"/>
          <w:color w:val="000000"/>
          <w:sz w:val="24"/>
          <w14:textFill>
            <w14:solidFill>
              <w14:srgbClr w14:val="000000"/>
            </w14:solidFill>
          </w14:textFill>
          <w:lang w:val="en-GB"/>
        </w:rPr>
      </w:pPr>
      <w:r>
        <w:rPr>
          <w:rFonts w:eastAsia="方正仿宋_GBK"/>
          <w:bCs/>
          <w:color w:val="000000"/>
          <w:kern w:val="2"/>
          <w:sz w:val="24"/>
          <w:szCs w:val="24"/>
          <w14:textFill>
            <w14:solidFill>
              <w14:srgbClr w14:val="000000"/>
            </w14:solidFill>
          </w14:textFill>
        </w:rPr>
        <w:t>响应供应商需对《实质性条款响应表》</w:t>
      </w:r>
      <w:r>
        <w:rPr>
          <w:rFonts w:eastAsia="方正仿宋_GBK"/>
          <w:color w:val="000000"/>
          <w:sz w:val="24"/>
          <w14:textFill>
            <w14:solidFill>
              <w14:srgbClr w14:val="000000"/>
            </w14:solidFill>
          </w14:textFill>
          <w:lang w:val="en-GB"/>
        </w:rPr>
        <w:t>中实质性条款的内容逐条响应。即《用户需求书》中打“</w:t>
      </w:r>
      <w:r>
        <w:rPr>
          <w:rFonts w:eastAsia="方正仿宋_GBK"/>
          <w:color w:val="000000"/>
          <w:sz w:val="24"/>
          <w14:textFill>
            <w14:solidFill>
              <w14:srgbClr w14:val="000000"/>
            </w14:solidFill>
          </w14:textFill>
          <w:lang w:val="zh-CN"/>
        </w:rPr>
        <w:t>★</w:t>
      </w:r>
      <w:r>
        <w:rPr>
          <w:rFonts w:eastAsia="方正仿宋_GBK"/>
          <w:color w:val="000000"/>
          <w:sz w:val="24"/>
          <w14:textFill>
            <w14:solidFill>
              <w14:srgbClr w14:val="000000"/>
            </w14:solidFill>
          </w14:textFill>
          <w:lang w:val="en-GB"/>
        </w:rPr>
        <w:t>”项为不可负偏离(劣于)的重要项。</w:t>
      </w:r>
    </w:p>
    <w:p>
      <w:pPr>
        <w:spacing w:line="460" w:lineRule="exact"/>
        <w:ind w:firstLineChars="200" w:firstLine="480"/>
        <w:rPr>
          <w:rFonts w:ascii="方正小标宋_GBK" w:eastAsia="方正小标宋_GBK" w:hint="eastAsia"/>
          <w:sz w:val="40"/>
          <w:szCs w:val="40"/>
        </w:rPr>
      </w:pPr>
      <w:r>
        <w:rPr>
          <w:rFonts w:eastAsia="方正仿宋_GBK"/>
          <w:bCs/>
          <w:color w:val="000000"/>
          <w:sz w:val="24"/>
          <w:szCs w:val="24"/>
          <w14:textFill>
            <w14:solidFill>
              <w14:srgbClr w14:val="000000"/>
            </w14:solidFill>
          </w14:textFill>
          <w:lang w:val="en-GB"/>
        </w:rPr>
        <w:t>供应商必须对应《</w:t>
      </w:r>
      <w:r>
        <w:rPr>
          <w:rFonts w:eastAsia="方正仿宋_GBK" w:hint="eastAsia"/>
          <w:bCs/>
          <w:color w:val="000000"/>
          <w:sz w:val="24"/>
          <w:szCs w:val="24"/>
          <w14:textFill>
            <w14:solidFill>
              <w14:srgbClr w14:val="000000"/>
            </w14:solidFill>
          </w14:textFill>
        </w:rPr>
        <w:t>重要条款响应表</w:t>
      </w:r>
      <w:r>
        <w:rPr>
          <w:rFonts w:eastAsia="方正仿宋_GBK"/>
          <w:bCs/>
          <w:color w:val="000000"/>
          <w:sz w:val="24"/>
          <w:szCs w:val="24"/>
          <w14:textFill>
            <w14:solidFill>
              <w14:srgbClr w14:val="000000"/>
            </w14:solidFill>
          </w14:textFill>
          <w:lang w:val="en-GB"/>
        </w:rPr>
        <w:t>》中重要性条款的内容逐条响应，即</w:t>
      </w:r>
      <w:r>
        <w:rPr>
          <w:rFonts w:eastAsia="方正仿宋_GBK"/>
          <w:color w:val="000000"/>
          <w:sz w:val="24"/>
          <w14:textFill>
            <w14:solidFill>
              <w14:srgbClr w14:val="000000"/>
            </w14:solidFill>
          </w14:textFill>
          <w:lang w:val="en-GB"/>
        </w:rPr>
        <w:t>《用户需求书》中</w:t>
      </w:r>
      <w:r>
        <w:rPr>
          <w:rFonts w:eastAsia="方正仿宋_GBK"/>
          <w:bCs/>
          <w:color w:val="000000"/>
          <w:sz w:val="24"/>
          <w:szCs w:val="24"/>
          <w14:textFill>
            <w14:solidFill>
              <w14:srgbClr w14:val="000000"/>
            </w14:solidFill>
          </w14:textFill>
          <w:lang w:val="en-GB"/>
        </w:rPr>
        <w:t>打“</w:t>
      </w:r>
      <w:r>
        <w:rPr>
          <w:rFonts w:eastAsia="方正仿宋_GBK" w:cs="宋体" w:hint="eastAsia"/>
          <w:bCs/>
          <w:color w:val="000000"/>
          <w:sz w:val="24"/>
          <w:szCs w:val="24"/>
          <w14:textFill>
            <w14:solidFill>
              <w14:srgbClr w14:val="000000"/>
            </w14:solidFill>
          </w14:textFill>
          <w:lang w:val="zh-CN"/>
        </w:rPr>
        <w:t>▲</w:t>
      </w:r>
      <w:r>
        <w:rPr>
          <w:rFonts w:eastAsia="方正仿宋_GBK"/>
          <w:bCs/>
          <w:color w:val="000000"/>
          <w:sz w:val="24"/>
          <w:szCs w:val="24"/>
          <w14:textFill>
            <w14:solidFill>
              <w14:srgbClr w14:val="000000"/>
            </w14:solidFill>
          </w14:textFill>
          <w:lang w:val="en-GB"/>
        </w:rPr>
        <w:t>”为重要技术参数，若有部分</w:t>
      </w:r>
      <w:r>
        <w:rPr>
          <w:rFonts w:eastAsia="方正仿宋_GBK" w:hint="eastAsia"/>
          <w:bCs/>
          <w:color w:val="000000"/>
          <w:sz w:val="24"/>
          <w:szCs w:val="24"/>
          <w14:textFill>
            <w14:solidFill>
              <w14:srgbClr w14:val="000000"/>
            </w14:solidFill>
          </w14:textFill>
          <w:lang w:val="en-GB"/>
        </w:rPr>
        <w:t>“</w:t>
      </w:r>
      <w:r>
        <w:rPr>
          <w:rFonts w:eastAsia="方正仿宋_GBK" w:cs="宋体" w:hint="eastAsia"/>
          <w:bCs/>
          <w:color w:val="000000"/>
          <w:sz w:val="24"/>
          <w:szCs w:val="24"/>
          <w14:textFill>
            <w14:solidFill>
              <w14:srgbClr w14:val="000000"/>
            </w14:solidFill>
          </w14:textFill>
          <w:lang w:val="zh-CN"/>
        </w:rPr>
        <w:t>▲</w:t>
      </w:r>
      <w:r>
        <w:rPr>
          <w:rFonts w:eastAsia="方正仿宋_GBK" w:hint="eastAsia"/>
          <w:bCs/>
          <w:color w:val="000000"/>
          <w:sz w:val="24"/>
          <w:szCs w:val="24"/>
          <w14:textFill>
            <w14:solidFill>
              <w14:srgbClr w14:val="000000"/>
            </w14:solidFill>
          </w14:textFill>
          <w:lang w:val="en-GB"/>
        </w:rPr>
        <w:t>”</w:t>
      </w:r>
      <w:r>
        <w:rPr>
          <w:rFonts w:eastAsia="方正仿宋_GBK"/>
          <w:bCs/>
          <w:color w:val="000000"/>
          <w:sz w:val="24"/>
          <w:szCs w:val="24"/>
          <w14:textFill>
            <w14:solidFill>
              <w14:srgbClr w14:val="000000"/>
            </w14:solidFill>
          </w14:textFill>
          <w:lang w:val="en-GB"/>
        </w:rPr>
        <w:t>未响应或不满足，将根据评审要求影响下述评分标准第5、6、7、8项打分，但不作为无效投标条款。</w:t>
      </w:r>
    </w:p>
    <w:tbl>
      <w:tblPr>
        <w:jc w:val="center"/>
        <w:tblW w:w="918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470"/>
        <w:gridCol w:w="6005"/>
        <w:gridCol w:w="850"/>
      </w:tblGrid>
      <w:tr>
        <w:trPr>
          <w:trHeight w:val="883"/>
        </w:trPr>
        <w:tc>
          <w:tcPr>
            <w:tcW w:w="858" w:type="dxa"/>
            <w:tcBorders>
              <w:tl2br w:val="nil"/>
              <w:tr2bl w:val="nil"/>
            </w:tcBorders>
            <w:vAlign w:val="center"/>
          </w:tcPr>
          <w:p>
            <w:pPr>
              <w:pStyle w:val="29"/>
              <w:spacing w:line="400" w:lineRule="exact"/>
              <w:ind w:leftChars="-37" w:left="-78" w:rightChars="-35" w:right="-73"/>
              <w:jc w:val="center"/>
              <w:rPr>
                <w:rFonts w:ascii="方正黑体_GBK" w:eastAsia="方正黑体_GBK" w:hint="eastAsia"/>
                <w:sz w:val="24"/>
                <w:szCs w:val="24"/>
              </w:rPr>
            </w:pPr>
            <w:r>
              <w:rPr>
                <w:rFonts w:ascii="方正黑体_GBK" w:eastAsia="方正黑体_GBK" w:cs="宋体" w:hint="eastAsia"/>
                <w:sz w:val="24"/>
                <w:szCs w:val="24"/>
                <w:lang w:bidi="ar-SA"/>
              </w:rPr>
              <w:t>序号</w:t>
            </w:r>
          </w:p>
        </w:tc>
        <w:tc>
          <w:tcPr>
            <w:tcW w:w="1470" w:type="dxa"/>
            <w:tcBorders>
              <w:tl2br w:val="nil"/>
              <w:tr2bl w:val="nil"/>
            </w:tcBorders>
            <w:vAlign w:val="center"/>
          </w:tcPr>
          <w:p>
            <w:pPr>
              <w:pStyle w:val="28"/>
              <w:spacing w:line="400" w:lineRule="exact"/>
              <w:ind w:leftChars="-37" w:left="-78" w:rightChars="-35" w:right="-73"/>
              <w:jc w:val="center"/>
              <w:rPr>
                <w:rFonts w:ascii="方正黑体_GBK" w:eastAsia="方正黑体_GBK" w:hint="eastAsia"/>
                <w:sz w:val="24"/>
                <w:szCs w:val="24"/>
              </w:rPr>
            </w:pPr>
            <w:r>
              <w:rPr>
                <w:rFonts w:ascii="方正黑体_GBK" w:eastAsia="方正黑体_GBK" w:cs="宋体" w:hint="eastAsia"/>
                <w:sz w:val="24"/>
                <w:szCs w:val="24"/>
                <w:lang w:bidi="ar-SA"/>
              </w:rPr>
              <w:t>评审内容</w:t>
            </w:r>
          </w:p>
        </w:tc>
        <w:tc>
          <w:tcPr>
            <w:tcW w:w="6005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spacing w:line="400" w:lineRule="exact"/>
              <w:ind w:leftChars="-37" w:left="-78" w:rightChars="-35" w:right="-73"/>
              <w:jc w:val="center"/>
              <w:rPr>
                <w:rFonts w:ascii="方正黑体_GBK" w:eastAsia="方正黑体_GBK" w:hint="eastAsia"/>
                <w:sz w:val="24"/>
                <w:szCs w:val="24"/>
              </w:rPr>
            </w:pPr>
            <w:r>
              <w:rPr>
                <w:rFonts w:ascii="方正黑体_GBK" w:eastAsia="方正黑体_GBK" w:cs="宋体" w:hint="eastAsia"/>
                <w:sz w:val="24"/>
                <w:szCs w:val="24"/>
                <w:lang w:bidi="ar-SA"/>
              </w:rPr>
              <w:t>评分细则</w:t>
            </w:r>
          </w:p>
        </w:tc>
        <w:tc>
          <w:tcPr>
            <w:tcW w:w="850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6"/>
              <w:spacing w:line="400" w:lineRule="exact"/>
              <w:ind w:leftChars="-37" w:left="-78" w:rightChars="-35" w:right="-73"/>
              <w:jc w:val="center"/>
              <w:rPr>
                <w:rFonts w:ascii="方正黑体_GBK" w:eastAsia="方正黑体_GBK" w:hint="eastAsia"/>
                <w:sz w:val="24"/>
                <w:szCs w:val="24"/>
              </w:rPr>
            </w:pPr>
            <w:r>
              <w:rPr>
                <w:rFonts w:ascii="方正黑体_GBK" w:eastAsia="方正黑体_GBK" w:cs="宋体" w:hint="eastAsia"/>
                <w:sz w:val="24"/>
                <w:szCs w:val="24"/>
                <w:lang w:bidi="ar-SA"/>
              </w:rPr>
              <w:t>分值</w:t>
            </w:r>
          </w:p>
        </w:tc>
      </w:tr>
      <w:tr>
        <w:trPr>
          <w:trHeight w:val="882"/>
        </w:trPr>
        <w:tc>
          <w:tcPr>
            <w:tcW w:w="858" w:type="dxa"/>
            <w:tcBorders>
              <w:tl2br w:val="nil"/>
              <w:tr2bl w:val="nil"/>
            </w:tcBorders>
            <w:vAlign w:val="center"/>
          </w:tcPr>
          <w:p>
            <w:pPr>
              <w:pStyle w:val="29"/>
              <w:spacing w:line="320" w:lineRule="exact"/>
              <w:ind w:leftChars="-37" w:left="-78" w:rightChars="-35" w:right="-73"/>
              <w:jc w:val="center"/>
              <w:rPr>
                <w:rFonts w:eastAsia="方正仿宋_GBK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bidi="ar-SA"/>
              </w:rPr>
            </w:pPr>
            <w:r>
              <w:rPr>
                <w:rFonts w:eastAsia="方正仿宋_GBK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bidi="ar-SA"/>
              </w:rPr>
              <w:t>1</w:t>
            </w:r>
          </w:p>
        </w:tc>
        <w:tc>
          <w:tcPr>
            <w:tcW w:w="1470" w:type="dxa"/>
            <w:tcBorders>
              <w:tl2br w:val="nil"/>
              <w:tr2bl w:val="nil"/>
            </w:tcBorders>
            <w:vAlign w:val="center"/>
          </w:tcPr>
          <w:p>
            <w:pPr>
              <w:pStyle w:val="52"/>
              <w:spacing w:line="320" w:lineRule="exact"/>
              <w:jc w:val="center"/>
              <w:rPr>
                <w:rFonts w:eastAsia="方正仿宋_GBK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方正仿宋_GBK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企业认证证书</w:t>
            </w:r>
          </w:p>
        </w:tc>
        <w:tc>
          <w:tcPr>
            <w:tcW w:w="6005" w:type="dxa"/>
            <w:tcBorders>
              <w:tl2br w:val="nil"/>
              <w:tr2bl w:val="nil"/>
            </w:tcBorders>
            <w:vAlign w:val="center"/>
          </w:tcPr>
          <w:p>
            <w:pPr>
              <w:pStyle w:val="53"/>
              <w:adjustRightInd w:val="0"/>
              <w:snapToGrid/>
              <w:spacing w:line="320" w:lineRule="exact"/>
              <w:rPr>
                <w:rFonts w:eastAsia="方正仿宋_GBK"/>
                <w:bCs/>
                <w:color w:val="000000"/>
                <w:kern w:val="2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方正仿宋_GBK"/>
                <w:bCs/>
                <w:color w:val="000000"/>
                <w:kern w:val="2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响应供应商提供有效的质量管理体系认证证书、环境管理体系认证证书、</w:t>
            </w:r>
            <w:r>
              <w:rPr>
                <w:rFonts w:eastAsia="方正仿宋_GBK"/>
                <w:bCs/>
                <w:color w:val="000000"/>
                <w:kern w:val="2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  <w:t>服务认证证书、能源管理体系认证证书</w:t>
            </w:r>
            <w:r>
              <w:rPr>
                <w:rFonts w:eastAsia="方正仿宋_GBK"/>
                <w:bCs/>
                <w:color w:val="000000"/>
                <w:kern w:val="2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，每提供一个得1.5分。</w:t>
            </w:r>
          </w:p>
          <w:p>
            <w:pPr>
              <w:pStyle w:val="54"/>
              <w:adjustRightInd w:val="0"/>
              <w:snapToGrid/>
              <w:spacing w:line="320" w:lineRule="exact"/>
              <w:rPr>
                <w:rFonts w:eastAsia="方正仿宋_GBK"/>
                <w:bCs/>
                <w:color w:val="000000"/>
                <w:kern w:val="2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方正仿宋_GBK"/>
                <w:bCs/>
                <w:color w:val="000000"/>
                <w:kern w:val="2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注：本项最高得</w:t>
            </w:r>
            <w:r>
              <w:rPr>
                <w:rFonts w:eastAsia="方正仿宋_GBK"/>
                <w:bCs/>
                <w:color w:val="000000"/>
                <w:kern w:val="2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  <w:t>6</w:t>
            </w:r>
            <w:r>
              <w:rPr>
                <w:rFonts w:eastAsia="方正仿宋_GBK"/>
                <w:bCs/>
                <w:color w:val="000000"/>
                <w:kern w:val="2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分。须提供相应证书复印件并加盖公章，不提的不得分。</w:t>
            </w:r>
          </w:p>
        </w:tc>
        <w:tc>
          <w:tcPr>
            <w:tcW w:w="850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6"/>
              <w:spacing w:line="320" w:lineRule="exact"/>
              <w:ind w:leftChars="-37" w:left="-78" w:rightChars="-35" w:right="-73"/>
              <w:jc w:val="center"/>
              <w:rPr>
                <w:rFonts w:eastAsia="方正仿宋_GBK"/>
                <w:lang w:bidi="ar-SA"/>
              </w:rPr>
            </w:pPr>
            <w:r>
              <w:rPr>
                <w:rFonts w:eastAsia="方正仿宋_GBK"/>
                <w:lang w:bidi="ar-SA"/>
              </w:rPr>
              <w:t>6</w:t>
            </w:r>
          </w:p>
        </w:tc>
      </w:tr>
      <w:tr>
        <w:trPr>
          <w:trHeight w:val="882"/>
        </w:trPr>
        <w:tc>
          <w:tcPr>
            <w:tcW w:w="858" w:type="dxa"/>
            <w:tcBorders>
              <w:tl2br w:val="nil"/>
              <w:tr2bl w:val="nil"/>
            </w:tcBorders>
            <w:vAlign w:val="center"/>
          </w:tcPr>
          <w:p>
            <w:pPr>
              <w:pStyle w:val="29"/>
              <w:spacing w:line="320" w:lineRule="exact"/>
              <w:ind w:leftChars="-37" w:left="-78" w:rightChars="-35" w:right="-73"/>
              <w:jc w:val="center"/>
              <w:rPr>
                <w:rFonts w:eastAsia="方正仿宋_GBK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bidi="ar-SA"/>
              </w:rPr>
            </w:pPr>
            <w:r>
              <w:rPr>
                <w:rFonts w:eastAsia="方正仿宋_GBK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bidi="ar-SA"/>
              </w:rPr>
              <w:t>2</w:t>
            </w:r>
          </w:p>
        </w:tc>
        <w:tc>
          <w:tcPr>
            <w:tcW w:w="1470" w:type="dxa"/>
            <w:tcBorders>
              <w:tl2br w:val="nil"/>
              <w:tr2bl w:val="nil"/>
            </w:tcBorders>
            <w:vAlign w:val="center"/>
          </w:tcPr>
          <w:p>
            <w:pPr>
              <w:pStyle w:val="49"/>
              <w:spacing w:line="320" w:lineRule="exact"/>
              <w:jc w:val="center"/>
              <w:rPr>
                <w:rFonts w:eastAsia="方正仿宋_GBK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方正仿宋_GBK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bidi="ar-SA"/>
              </w:rPr>
              <w:t>同类业绩</w:t>
            </w:r>
          </w:p>
        </w:tc>
        <w:tc>
          <w:tcPr>
            <w:tcW w:w="6005" w:type="dxa"/>
            <w:tcBorders>
              <w:tl2br w:val="nil"/>
              <w:tr2bl w:val="nil"/>
            </w:tcBorders>
            <w:vAlign w:val="center"/>
          </w:tcPr>
          <w:p>
            <w:pPr>
              <w:pStyle w:val="53"/>
              <w:adjustRightInd w:val="0"/>
              <w:snapToGrid/>
              <w:spacing w:line="320" w:lineRule="exact"/>
              <w:rPr>
                <w:rFonts w:eastAsia="方正仿宋_GBK"/>
                <w:bCs/>
                <w:color w:val="000000"/>
                <w:kern w:val="2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bidi="ar-SA"/>
              </w:rPr>
            </w:pPr>
            <w:r>
              <w:rPr>
                <w:rFonts w:eastAsia="方正仿宋_GBK"/>
                <w:bCs/>
                <w:color w:val="000000"/>
                <w:kern w:val="2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bidi="ar-SA"/>
              </w:rPr>
              <w:t>自2022年1月1日起至提交响应文件截止之日（以合同签订时间为准）供应商承接过</w:t>
            </w:r>
            <w:r>
              <w:rPr>
                <w:rFonts w:eastAsia="方正仿宋_GBK"/>
                <w:bCs/>
                <w:color w:val="000000"/>
                <w:kern w:val="2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bidi="ar-SA"/>
              </w:rPr>
              <w:t>同类</w:t>
            </w:r>
            <w:r>
              <w:rPr>
                <w:rFonts w:eastAsia="方正仿宋_GBK"/>
                <w:bCs/>
                <w:color w:val="000000"/>
                <w:kern w:val="2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bidi="ar-SA"/>
              </w:rPr>
              <w:t>业绩的，每提供一个得</w:t>
            </w:r>
            <w:r>
              <w:rPr>
                <w:rFonts w:eastAsia="方正仿宋_GBK"/>
                <w:bCs/>
                <w:color w:val="000000"/>
                <w:kern w:val="2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bidi="ar-SA"/>
              </w:rPr>
              <w:t>2</w:t>
            </w:r>
            <w:r>
              <w:rPr>
                <w:rFonts w:eastAsia="方正仿宋_GBK"/>
                <w:bCs/>
                <w:color w:val="000000"/>
                <w:kern w:val="2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bidi="ar-SA"/>
              </w:rPr>
              <w:t>分。</w:t>
            </w:r>
          </w:p>
          <w:p>
            <w:pPr>
              <w:pStyle w:val="53"/>
              <w:adjustRightInd w:val="0"/>
              <w:snapToGrid/>
              <w:spacing w:line="320" w:lineRule="exact"/>
              <w:rPr>
                <w:rFonts w:eastAsia="方正仿宋_GBK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方正仿宋_GBK"/>
                <w:bCs/>
                <w:color w:val="000000"/>
                <w:kern w:val="2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bidi="ar-SA"/>
              </w:rPr>
              <w:t>注：本项最高得</w:t>
            </w:r>
            <w:r>
              <w:rPr>
                <w:rFonts w:eastAsia="方正仿宋_GBK"/>
                <w:bCs/>
                <w:color w:val="000000"/>
                <w:kern w:val="2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bidi="ar-SA"/>
              </w:rPr>
              <w:t>10</w:t>
            </w:r>
            <w:r>
              <w:rPr>
                <w:rFonts w:eastAsia="方正仿宋_GBK"/>
                <w:bCs/>
                <w:color w:val="000000"/>
                <w:kern w:val="2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bidi="ar-SA"/>
              </w:rPr>
              <w:t>分。须提供合同复印件并加盖公章，不提供的不得分。</w:t>
            </w:r>
          </w:p>
        </w:tc>
        <w:tc>
          <w:tcPr>
            <w:tcW w:w="850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6"/>
              <w:spacing w:line="320" w:lineRule="exact"/>
              <w:ind w:leftChars="-37" w:left="-78" w:rightChars="-35" w:right="-73"/>
              <w:jc w:val="center"/>
              <w:rPr>
                <w:rFonts w:eastAsia="方正仿宋_GBK"/>
                <w:lang w:bidi="ar-SA"/>
              </w:rPr>
            </w:pPr>
            <w:r>
              <w:rPr>
                <w:rFonts w:eastAsia="方正仿宋_GBK"/>
                <w:lang w:bidi="ar-SA"/>
              </w:rPr>
              <w:t>10</w:t>
            </w:r>
          </w:p>
        </w:tc>
      </w:tr>
      <w:tr>
        <w:trPr>
          <w:trHeight w:val="1072"/>
        </w:trPr>
        <w:tc>
          <w:tcPr>
            <w:tcW w:w="858" w:type="dxa"/>
            <w:tcBorders>
              <w:tl2br w:val="nil"/>
              <w:tr2bl w:val="nil"/>
            </w:tcBorders>
            <w:vAlign w:val="center"/>
          </w:tcPr>
          <w:p>
            <w:pPr>
              <w:pStyle w:val="30"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highlight w:val="auto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highlight w:val="auto"/>
              </w:rPr>
              <w:t>3</w:t>
            </w:r>
          </w:p>
        </w:tc>
        <w:tc>
          <w:tcPr>
            <w:tcW w:w="147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  <w:t>设备能效</w:t>
            </w:r>
          </w:p>
        </w:tc>
        <w:tc>
          <w:tcPr>
            <w:tcW w:w="6005" w:type="dxa"/>
            <w:tcBorders>
              <w:tl2br w:val="nil"/>
              <w:tr2bl w:val="nil"/>
            </w:tcBorders>
            <w:vAlign w:val="center"/>
          </w:tcPr>
          <w:p>
            <w:pPr>
              <w:pStyle w:val="32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  <w:t>针对</w:t>
            </w:r>
            <w:r>
              <w:rPr>
                <w:rFonts w:eastAsia="方正仿宋_GBK"/>
                <w:bCs/>
                <w:color w:val="000000"/>
                <w:kern w:val="2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响应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  <w:t>供应商所投的空调设备能效标准进行评审：</w:t>
            </w:r>
          </w:p>
          <w:p>
            <w:pPr>
              <w:pStyle w:val="32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  <w:t>空调设备能效标准全部为一级能效，则得5分</w:t>
            </w:r>
          </w:p>
          <w:p>
            <w:pPr>
              <w:pStyle w:val="32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en-US"/>
              </w:rPr>
              <w:t>注：以</w:t>
            </w:r>
            <w:r>
              <w:rPr>
                <w:rFonts w:eastAsia="方正仿宋_GBK"/>
                <w:bCs/>
                <w:color w:val="000000"/>
                <w:kern w:val="2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响应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en-US"/>
              </w:rPr>
              <w:t>供应商提供的《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设备说明一览表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en-US"/>
              </w:rPr>
              <w:t>》中的填写内容为准，未填写或未提供相关印证材料的不得分。</w:t>
            </w:r>
          </w:p>
        </w:tc>
        <w:tc>
          <w:tcPr>
            <w:tcW w:w="850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6"/>
              <w:spacing w:line="320" w:lineRule="exact"/>
              <w:ind w:leftChars="-37" w:left="-78" w:rightChars="-35" w:right="-73"/>
              <w:jc w:val="center"/>
              <w:rPr>
                <w:rFonts w:eastAsia="方正仿宋_GBK"/>
                <w:lang w:bidi="ar-SA"/>
              </w:rPr>
            </w:pPr>
            <w:r>
              <w:rPr>
                <w:rFonts w:eastAsia="方正仿宋_GBK"/>
                <w:lang w:bidi="ar-SA"/>
              </w:rPr>
              <w:t>5</w:t>
            </w:r>
          </w:p>
        </w:tc>
      </w:tr>
      <w:tr>
        <w:trPr>
          <w:trHeight w:val="2196"/>
        </w:trPr>
        <w:tc>
          <w:tcPr>
            <w:tcW w:w="858" w:type="dxa"/>
            <w:tcBorders>
              <w:tl2br w:val="nil"/>
              <w:tr2bl w:val="nil"/>
            </w:tcBorders>
            <w:vAlign w:val="center"/>
          </w:tcPr>
          <w:p>
            <w:pPr>
              <w:pStyle w:val="30"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highlight w:val="auto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highlight w:val="auto"/>
              </w:rPr>
              <w:t>4</w:t>
            </w:r>
          </w:p>
        </w:tc>
        <w:tc>
          <w:tcPr>
            <w:tcW w:w="147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  <w:t>质保期</w:t>
            </w:r>
          </w:p>
        </w:tc>
        <w:tc>
          <w:tcPr>
            <w:tcW w:w="6005" w:type="dxa"/>
            <w:tcBorders>
              <w:tl2br w:val="nil"/>
              <w:tr2bl w:val="nil"/>
            </w:tcBorders>
            <w:vAlign w:val="center"/>
          </w:tcPr>
          <w:p>
            <w:pPr>
              <w:pStyle w:val="32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  <w:t>针对该项目的质保期，若供应商承诺的质保期优于采购要求，则可进行得分：</w:t>
            </w:r>
          </w:p>
          <w:p>
            <w:pPr>
              <w:pStyle w:val="32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  <w:t>1.若承诺的质保期在5年（含5年）及以上，则可得10分；</w:t>
            </w:r>
          </w:p>
          <w:p>
            <w:pPr>
              <w:pStyle w:val="32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  <w:t>2.若承诺的质保期大于3年（含3年）小于5年（不含5年），则可得6分；</w:t>
            </w:r>
          </w:p>
          <w:p>
            <w:pPr>
              <w:pStyle w:val="32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  <w:t>3.若承诺的质保期大于2年（不含2年）小于3年（不含3年），则得2分；</w:t>
            </w:r>
          </w:p>
          <w:p>
            <w:pPr>
              <w:pStyle w:val="32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  <w:t>4.若承诺的质保期为2年（含2年）及以下，则不得分。</w:t>
            </w:r>
          </w:p>
          <w:p>
            <w:pPr>
              <w:pStyle w:val="32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en-US"/>
              </w:rPr>
              <w:t>注：以投标供应商提供的《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设备说明一览表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en-US"/>
              </w:rPr>
              <w:t>》中的填写内容为准，未填写或未提供承诺函的不得分。</w:t>
            </w:r>
          </w:p>
        </w:tc>
        <w:tc>
          <w:tcPr>
            <w:tcW w:w="850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6"/>
              <w:spacing w:line="320" w:lineRule="exact"/>
              <w:ind w:leftChars="-37" w:left="-78" w:rightChars="-35" w:right="-73"/>
              <w:jc w:val="center"/>
              <w:rPr>
                <w:rFonts w:eastAsia="方正仿宋_GBK"/>
                <w:lang w:bidi="ar-SA"/>
              </w:rPr>
            </w:pPr>
            <w:r>
              <w:rPr>
                <w:rFonts w:eastAsia="方正仿宋_GBK"/>
                <w:lang w:bidi="ar-SA"/>
              </w:rPr>
              <w:t>10</w:t>
            </w:r>
          </w:p>
        </w:tc>
      </w:tr>
      <w:tr>
        <w:trPr>
          <w:trHeight w:val="759"/>
        </w:trPr>
        <w:tc>
          <w:tcPr>
            <w:tcW w:w="858" w:type="dxa"/>
            <w:tcBorders>
              <w:tl2br w:val="nil"/>
              <w:tr2bl w:val="nil"/>
            </w:tcBorders>
            <w:vAlign w:val="center"/>
          </w:tcPr>
          <w:p>
            <w:pPr>
              <w:pStyle w:val="30"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highlight w:val="auto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highlight w:val="auto"/>
              </w:rPr>
              <w:t>5</w:t>
            </w:r>
          </w:p>
        </w:tc>
        <w:tc>
          <w:tcPr>
            <w:tcW w:w="147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  <w:t>设备配置方案</w:t>
            </w:r>
          </w:p>
        </w:tc>
        <w:tc>
          <w:tcPr>
            <w:tcW w:w="6005" w:type="dxa"/>
            <w:tcBorders>
              <w:tl2br w:val="nil"/>
              <w:tr2bl w:val="nil"/>
            </w:tcBorders>
            <w:vAlign w:val="center"/>
          </w:tcPr>
          <w:p>
            <w:pPr>
              <w:pStyle w:val="32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  <w:t>根据供应商提供的设备配置方案进行评审：</w:t>
            </w:r>
          </w:p>
          <w:p>
            <w:pPr>
              <w:pStyle w:val="32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zh-CN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  <w:t>方案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zh-CN"/>
              </w:rPr>
              <w:t>完全满足需求，充分考虑项目实际情况，方案具体、有针对性、科学，得10分；</w:t>
            </w:r>
          </w:p>
          <w:p>
            <w:pPr>
              <w:pStyle w:val="82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zh-CN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  <w:t>方案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zh-CN"/>
              </w:rPr>
              <w:t>基本满足需求，基本考虑项目实际情况，方案较具体、较有针对性、较科学，得6分；</w:t>
            </w:r>
          </w:p>
          <w:p>
            <w:pPr>
              <w:pStyle w:val="82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zh-CN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  <w:t>方案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zh-CN"/>
              </w:rPr>
              <w:t>部分满足需求，不太考虑项目实际情况，方案一般，得2分；</w:t>
            </w:r>
          </w:p>
          <w:p>
            <w:pPr>
              <w:pStyle w:val="32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bidi="ar-SA"/>
              </w:rPr>
              <w:t>未提供设备配置方案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bidi="ar-SA"/>
                <w:highlight w:val="auto"/>
              </w:rPr>
              <w:t>或其他情况的得0分。</w:t>
            </w:r>
          </w:p>
        </w:tc>
        <w:tc>
          <w:tcPr>
            <w:tcW w:w="850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6"/>
              <w:spacing w:line="320" w:lineRule="exact"/>
              <w:ind w:leftChars="-37" w:left="-78" w:rightChars="-35" w:right="-73"/>
              <w:jc w:val="center"/>
              <w:rPr>
                <w:rFonts w:eastAsia="方正仿宋_GBK"/>
                <w:lang w:bidi="ar-SA"/>
              </w:rPr>
            </w:pPr>
            <w:r>
              <w:rPr>
                <w:rFonts w:eastAsia="方正仿宋_GBK"/>
                <w:lang w:bidi="ar-SA"/>
              </w:rPr>
              <w:t>10</w:t>
            </w:r>
          </w:p>
        </w:tc>
      </w:tr>
      <w:tr>
        <w:trPr>
          <w:trHeight w:val="2754"/>
        </w:trPr>
        <w:tc>
          <w:tcPr>
            <w:tcW w:w="858" w:type="dxa"/>
            <w:tcBorders>
              <w:tl2br w:val="nil"/>
              <w:tr2bl w:val="nil"/>
            </w:tcBorders>
            <w:vAlign w:val="center"/>
          </w:tcPr>
          <w:p>
            <w:pPr>
              <w:pStyle w:val="30"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highlight w:val="auto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highlight w:val="auto"/>
              </w:rPr>
              <w:t>6</w:t>
            </w:r>
          </w:p>
        </w:tc>
        <w:tc>
          <w:tcPr>
            <w:tcW w:w="1470" w:type="dxa"/>
            <w:tcBorders>
              <w:tl2br w:val="nil"/>
              <w:tr2bl w:val="nil"/>
            </w:tcBorders>
            <w:vAlign w:val="center"/>
          </w:tcPr>
          <w:p>
            <w:pPr>
              <w:pStyle w:val="8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djustRightInd/>
              <w:snapToGrid/>
              <w:spacing w:line="320" w:lineRule="exact"/>
              <w:jc w:val="center"/>
              <w:rPr>
                <w:rFonts w:eastAsia="方正仿宋_GBK"/>
                <w:bCs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  <w:t>应急响应</w:t>
            </w:r>
          </w:p>
        </w:tc>
        <w:tc>
          <w:tcPr>
            <w:tcW w:w="6005" w:type="dxa"/>
            <w:tcBorders>
              <w:tl2br w:val="nil"/>
              <w:tr2bl w:val="nil"/>
            </w:tcBorders>
            <w:vAlign w:val="center"/>
          </w:tcPr>
          <w:p>
            <w:pPr>
              <w:pStyle w:val="32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  <w:t>针对该项目的应急响应情况，若</w:t>
            </w:r>
            <w:r>
              <w:rPr>
                <w:rFonts w:eastAsia="方正仿宋_GBK"/>
                <w:bCs/>
                <w:color w:val="000000"/>
                <w:kern w:val="2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响应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  <w:t>供应商承诺的应急响应满足或优于采购要求（远程支持、紧急故障、一般故障），则可进行得分：</w:t>
            </w:r>
          </w:p>
          <w:p>
            <w:pPr>
              <w:pStyle w:val="32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eastAsia="zh-CN"/>
              </w:rPr>
              <w:t>三项全部满足采购要求，则每一项得1分，共3分；</w:t>
            </w:r>
          </w:p>
          <w:p>
            <w:pPr>
              <w:pStyle w:val="32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若优于采购要求，则每一项可加2分，总共可加6分；</w:t>
            </w:r>
          </w:p>
          <w:p>
            <w:pPr>
              <w:pStyle w:val="32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此项最高得9分。</w:t>
            </w:r>
          </w:p>
          <w:p>
            <w:pPr>
              <w:pStyle w:val="32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en-US"/>
              </w:rPr>
              <w:t>注：以投标供应商提供的承诺函中的填写内容为准，未提供承诺函的不得分。</w:t>
            </w:r>
          </w:p>
        </w:tc>
        <w:tc>
          <w:tcPr>
            <w:tcW w:w="850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6"/>
              <w:spacing w:line="320" w:lineRule="exact"/>
              <w:ind w:leftChars="-37" w:left="-78" w:rightChars="-35" w:right="-73"/>
              <w:jc w:val="center"/>
              <w:rPr>
                <w:rFonts w:eastAsia="方正仿宋_GBK"/>
                <w:lang w:bidi="ar-SA"/>
              </w:rPr>
            </w:pPr>
            <w:r>
              <w:rPr>
                <w:rFonts w:eastAsia="方正仿宋_GBK"/>
                <w:lang w:bidi="ar-SA"/>
              </w:rPr>
              <w:t>9</w:t>
            </w:r>
          </w:p>
        </w:tc>
      </w:tr>
      <w:tr>
        <w:trPr>
          <w:trHeight w:val="895"/>
        </w:trPr>
        <w:tc>
          <w:tcPr>
            <w:tcW w:w="858" w:type="dxa"/>
            <w:tcBorders>
              <w:tl2br w:val="nil"/>
              <w:tr2bl w:val="nil"/>
            </w:tcBorders>
            <w:vAlign w:val="center"/>
          </w:tcPr>
          <w:p>
            <w:pPr>
              <w:pStyle w:val="34"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7</w:t>
            </w:r>
          </w:p>
        </w:tc>
        <w:tc>
          <w:tcPr>
            <w:tcW w:w="1470" w:type="dxa"/>
            <w:tcBorders>
              <w:tl2br w:val="nil"/>
              <w:tr2bl w:val="nil"/>
            </w:tcBorders>
            <w:vAlign w:val="center"/>
          </w:tcPr>
          <w:p>
            <w:pPr>
              <w:pStyle w:val="35"/>
              <w:spacing w:line="320" w:lineRule="exact"/>
              <w:jc w:val="center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施工方案</w:t>
            </w:r>
          </w:p>
        </w:tc>
        <w:tc>
          <w:tcPr>
            <w:tcW w:w="6005" w:type="dxa"/>
            <w:tcBorders>
              <w:tl2br w:val="nil"/>
              <w:tr2bl w:val="nil"/>
            </w:tcBorders>
            <w:vAlign w:val="center"/>
          </w:tcPr>
          <w:p>
            <w:pPr>
              <w:pStyle w:val="98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zh-CN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根据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en-US"/>
              </w:rPr>
              <w:t>响应标供应商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施工方案内容的响应情况进行评审：</w:t>
            </w:r>
          </w:p>
          <w:p>
            <w:pPr>
              <w:pStyle w:val="98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bidi="ar-SA"/>
              </w:rPr>
              <w:t>1.施工方案完全满足需求，目标明确、施工流程、人员配置及管理制度完善，施工内容安排明确，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zh-CN"/>
              </w:rPr>
              <w:t>施工作业时间安排、履约进度安排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bidi="ar-SA"/>
              </w:rPr>
              <w:t xml:space="preserve">等清晰、健全、有效、科学，得10分；  </w:t>
            </w:r>
          </w:p>
          <w:p>
            <w:pPr>
              <w:pStyle w:val="98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bidi="ar-SA"/>
              </w:rPr>
              <w:t>2.施工方案基本满足需求，目标基本明确、施工流程、人员配置及管理制度较完善，施工内容安排较明确，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zh-CN"/>
              </w:rPr>
              <w:t>施工作业时间安排、履约进度安排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bidi="ar-SA"/>
              </w:rPr>
              <w:t xml:space="preserve">等较清晰、较健全、较有效、较科学，得6分  ；  </w:t>
            </w:r>
          </w:p>
          <w:p>
            <w:pPr>
              <w:pStyle w:val="98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bidi="ar-SA"/>
              </w:rPr>
              <w:t>3.施工方案部分满足需求，目标不太明确、施工流程、人员配置及管理制度一般完善，施工内容安排一般，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zh-CN"/>
              </w:rPr>
              <w:t>施工作业时间安排、履约进度安排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bidi="ar-SA"/>
              </w:rPr>
              <w:t xml:space="preserve">等一般，得2分；  </w:t>
            </w:r>
          </w:p>
          <w:p>
            <w:pPr>
              <w:pStyle w:val="98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bidi="ar-SA"/>
              </w:rPr>
              <w:t>未提供施工方案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bidi="ar-SA"/>
                <w:highlight w:val="auto"/>
              </w:rPr>
              <w:t>或其他情况的得0分。</w:t>
            </w:r>
          </w:p>
        </w:tc>
        <w:tc>
          <w:tcPr>
            <w:tcW w:w="850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99"/>
              <w:spacing w:line="320" w:lineRule="exact"/>
              <w:ind w:leftChars="-37" w:left="-78" w:rightChars="-35" w:right="-73"/>
              <w:jc w:val="center"/>
              <w:rPr>
                <w:rFonts w:eastAsia="方正仿宋_GBK"/>
                <w:lang w:bidi="ar-SA"/>
              </w:rPr>
            </w:pPr>
            <w:r>
              <w:rPr>
                <w:rFonts w:eastAsia="方正仿宋_GBK"/>
                <w:lang w:bidi="ar-SA"/>
              </w:rPr>
              <w:t>10</w:t>
            </w:r>
          </w:p>
        </w:tc>
      </w:tr>
      <w:tr>
        <w:trPr>
          <w:trHeight w:val="2905"/>
        </w:trPr>
        <w:tc>
          <w:tcPr>
            <w:tcW w:w="858" w:type="dxa"/>
            <w:tcBorders>
              <w:tl2br w:val="nil"/>
              <w:tr2bl w:val="nil"/>
            </w:tcBorders>
            <w:vAlign w:val="center"/>
          </w:tcPr>
          <w:p>
            <w:pPr>
              <w:pStyle w:val="34"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8</w:t>
            </w:r>
          </w:p>
        </w:tc>
        <w:tc>
          <w:tcPr>
            <w:tcW w:w="1470" w:type="dxa"/>
            <w:tcBorders>
              <w:tl2br w:val="nil"/>
              <w:tr2bl w:val="nil"/>
            </w:tcBorders>
            <w:vAlign w:val="center"/>
          </w:tcPr>
          <w:p>
            <w:pPr>
              <w:pStyle w:val="64"/>
              <w:spacing w:line="320" w:lineRule="exact"/>
              <w:rPr>
                <w:rFonts w:eastAsia="方正仿宋_GBK"/>
                <w:b w:val="0"/>
                <w:color w:val="000000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方正仿宋_GBK"/>
                <w:b w:val="0"/>
                <w:color w:val="000000"/>
                <w:szCs w:val="24"/>
                <w14:textFill>
                  <w14:solidFill>
                    <w14:srgbClr w14:val="000000"/>
                  </w14:solidFill>
                </w14:textFill>
                <w:lang w:val="zh-CN"/>
              </w:rPr>
              <w:t>安全管理和质量控制措施方案</w:t>
            </w:r>
          </w:p>
          <w:p>
            <w:pPr>
              <w:pStyle w:val="35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</w:p>
        </w:tc>
        <w:tc>
          <w:tcPr>
            <w:tcW w:w="6005" w:type="dxa"/>
            <w:tcBorders>
              <w:tl2br w:val="nil"/>
              <w:tr2bl w:val="nil"/>
            </w:tcBorders>
            <w:vAlign w:val="center"/>
          </w:tcPr>
          <w:p>
            <w:pPr>
              <w:pStyle w:val="32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根据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en-US"/>
              </w:rPr>
              <w:t>响应供应商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施工过程中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zh-CN"/>
              </w:rPr>
              <w:t>安全管理和质量控制措施方案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内容的响应情况进行评审：</w:t>
            </w:r>
          </w:p>
          <w:p>
            <w:pPr>
              <w:pStyle w:val="32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zh-CN"/>
              </w:rPr>
              <w:t>1.方案完全满足需求，安全操作规程、安全防护措施、安全文明施工措施完善，施工质量保障监督机制具体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 xml:space="preserve">，得10分；  </w:t>
            </w:r>
          </w:p>
          <w:p>
            <w:pPr>
              <w:pStyle w:val="32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2.方案基本满足需求，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zh-CN"/>
              </w:rPr>
              <w:t>安全操作规程、安全防护措施、安全文明施工措施较完善，施工质量保障监督机制较具体，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 xml:space="preserve">得6分；  </w:t>
            </w:r>
          </w:p>
          <w:p>
            <w:pPr>
              <w:pStyle w:val="32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3.方案部分满足需求，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zh-CN"/>
              </w:rPr>
              <w:t>安全操作规程、安全防护措施、安全文明施工措施一般，施工质量保障监督机制一般，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 xml:space="preserve">得2分。  </w:t>
            </w:r>
          </w:p>
          <w:p>
            <w:pPr>
              <w:pStyle w:val="32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bidi="ar-SA"/>
              </w:rPr>
              <w:t>未提供方案</w:t>
            </w: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bidi="ar-SA"/>
                <w:highlight w:val="auto"/>
              </w:rPr>
              <w:t>或其他情况的得0分。</w:t>
            </w:r>
          </w:p>
        </w:tc>
        <w:tc>
          <w:tcPr>
            <w:tcW w:w="850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6"/>
              <w:spacing w:line="320" w:lineRule="exact"/>
              <w:ind w:leftChars="-37" w:left="-78" w:rightChars="-35" w:right="-73"/>
              <w:jc w:val="center"/>
              <w:rPr>
                <w:rFonts w:eastAsia="方正仿宋_GBK"/>
                <w:lang w:bidi="ar-SA"/>
              </w:rPr>
            </w:pPr>
            <w:r>
              <w:rPr>
                <w:rFonts w:eastAsia="方正仿宋_GBK"/>
                <w:lang w:bidi="ar-SA"/>
              </w:rPr>
              <w:t>10</w:t>
            </w:r>
          </w:p>
        </w:tc>
      </w:tr>
      <w:tr>
        <w:trPr>
          <w:trHeight w:val="427"/>
        </w:trPr>
        <w:tc>
          <w:tcPr>
            <w:tcW w:w="858" w:type="dxa"/>
            <w:tcBorders>
              <w:tl2br w:val="nil"/>
              <w:tr2bl w:val="nil"/>
            </w:tcBorders>
            <w:vAlign w:val="center"/>
          </w:tcPr>
          <w:p>
            <w:pPr>
              <w:pStyle w:val="34"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9</w:t>
            </w:r>
          </w:p>
        </w:tc>
        <w:tc>
          <w:tcPr>
            <w:tcW w:w="1470" w:type="dxa"/>
            <w:tcBorders>
              <w:tl2br w:val="nil"/>
              <w:tr2bl w:val="nil"/>
            </w:tcBorders>
            <w:vAlign w:val="center"/>
          </w:tcPr>
          <w:p>
            <w:pPr>
              <w:pStyle w:val="38"/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284"/>
              </w:tabs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zh-CN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zh-CN" w:bidi="ar-SA"/>
              </w:rPr>
              <w:t>投标报价</w:t>
            </w:r>
          </w:p>
        </w:tc>
        <w:tc>
          <w:tcPr>
            <w:tcW w:w="6005" w:type="dxa"/>
            <w:tcBorders>
              <w:tl2br w:val="nil"/>
              <w:tr2bl w:val="nil"/>
            </w:tcBorders>
            <w:vAlign w:val="center"/>
          </w:tcPr>
          <w:p>
            <w:pPr>
              <w:pStyle w:val="32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zh-CN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zh-CN" w:bidi="ar-SA"/>
              </w:rPr>
              <w:t>价格分应当采用低价优先法计算，即满足招标文件要求且投标价格最低的投标报价为评标基准价，其价格分为满分。其他响应供应商的价格分统一按照下列公式计算：</w:t>
            </w:r>
          </w:p>
          <w:p>
            <w:pPr>
              <w:pStyle w:val="32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zh-CN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zh-CN" w:bidi="ar-SA"/>
              </w:rPr>
              <w:t>投标报价得分=（评标基准价／投标报价）×100×权重</w:t>
            </w:r>
          </w:p>
          <w:p>
            <w:pPr>
              <w:pStyle w:val="32"/>
              <w:spacing w:line="320" w:lineRule="exact"/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zh-CN"/>
              </w:rPr>
            </w:pPr>
            <w:r>
              <w:rPr>
                <w:rFonts w:eastAsia="方正仿宋_GBK"/>
                <w:color w:val="000000"/>
                <w:sz w:val="24"/>
                <w14:textFill>
                  <w14:solidFill>
                    <w14:srgbClr w14:val="000000"/>
                  </w14:solidFill>
                </w14:textFill>
                <w:lang w:val="zh-CN" w:bidi="ar-SA"/>
              </w:rPr>
              <w:t>备注：投标报价得分四舍五入后，小数点后保留两位有效数。</w:t>
            </w:r>
          </w:p>
        </w:tc>
        <w:tc>
          <w:tcPr>
            <w:tcW w:w="850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6"/>
              <w:spacing w:line="320" w:lineRule="exact"/>
              <w:ind w:leftChars="-37" w:left="-78" w:rightChars="-35" w:right="-73"/>
              <w:jc w:val="center"/>
              <w:rPr>
                <w:rFonts w:eastAsia="方正仿宋_GBK"/>
                <w:lang w:bidi="ar-SA"/>
              </w:rPr>
            </w:pPr>
            <w:r>
              <w:rPr>
                <w:rFonts w:eastAsia="方正仿宋_GBK"/>
                <w:lang w:bidi="ar-SA"/>
              </w:rPr>
              <w:t>30</w:t>
            </w:r>
          </w:p>
        </w:tc>
      </w:tr>
    </w:tbl>
    <w:p/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10"/>
  <w:doNotDisplayPageBoundaries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index 5"/>
    <w:basedOn w:val="0"/>
    <w:autoRedefine/>
    <w:next w:val="0"/>
    <w:pPr>
      <w:ind w:left="1680"/>
    </w:pPr>
  </w:style>
  <w:style w:type="paragraph" w:styleId="16">
    <w:name w:val="index 7"/>
    <w:basedOn w:val="0"/>
    <w:autoRedefine/>
    <w:next w:val="0"/>
    <w:pPr>
      <w:ind w:left="2520"/>
    </w:pPr>
  </w:style>
  <w:style w:type="paragraph" w:styleId="17">
    <w:name w:val="index 9"/>
    <w:basedOn w:val="0"/>
    <w:autoRedefine/>
    <w:next w:val="0"/>
    <w:pPr>
      <w:ind w:left="3360"/>
    </w:pPr>
  </w:style>
  <w:style w:type="paragraph" w:styleId="18">
    <w:name w:val="toc 1"/>
    <w:basedOn w:val="0"/>
    <w:autoRedefine/>
    <w:next w:val="0"/>
  </w:style>
  <w:style w:type="paragraph" w:styleId="19">
    <w:name w:val="toc 2"/>
    <w:basedOn w:val="0"/>
    <w:autoRedefine/>
    <w:next w:val="0"/>
    <w:pPr>
      <w:ind w:left="420"/>
    </w:pPr>
  </w:style>
  <w:style w:type="paragraph" w:styleId="20">
    <w:name w:val="toc 3"/>
    <w:basedOn w:val="0"/>
    <w:autoRedefine/>
    <w:next w:val="0"/>
    <w:pPr>
      <w:ind w:left="840"/>
    </w:pPr>
  </w:style>
  <w:style w:type="paragraph" w:styleId="21">
    <w:name w:val="toc 4"/>
    <w:basedOn w:val="0"/>
    <w:autoRedefine/>
    <w:next w:val="0"/>
    <w:pPr>
      <w:ind w:left="1260"/>
    </w:pPr>
  </w:style>
  <w:style w:type="paragraph" w:styleId="22">
    <w:name w:val="toc 5"/>
    <w:basedOn w:val="0"/>
    <w:autoRedefine/>
    <w:next w:val="0"/>
    <w:pPr>
      <w:ind w:left="1680"/>
    </w:pPr>
  </w:style>
  <w:style w:type="paragraph" w:styleId="23">
    <w:name w:val="toc 6"/>
    <w:basedOn w:val="0"/>
    <w:autoRedefine/>
    <w:next w:val="0"/>
    <w:pPr>
      <w:ind w:left="2100"/>
    </w:pPr>
  </w:style>
  <w:style w:type="paragraph" w:styleId="24">
    <w:name w:val="toc 7"/>
    <w:basedOn w:val="0"/>
    <w:autoRedefine/>
    <w:next w:val="0"/>
    <w:pPr>
      <w:ind w:left="2520"/>
    </w:pPr>
  </w:style>
  <w:style w:type="paragraph" w:styleId="25">
    <w:name w:val="toc 8"/>
    <w:basedOn w:val="0"/>
    <w:autoRedefine/>
    <w:next w:val="0"/>
    <w:pPr>
      <w:ind w:left="2940"/>
    </w:pPr>
  </w:style>
  <w:style w:type="paragraph" w:customStyle="1" w:styleId="26">
    <w:name w:val="样式 10 磅"/>
    <w:next w:val="17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27">
    <w:name w:val="样式 2 10 磅"/>
    <w:next w:val="19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28">
    <w:name w:val="样式 3 10 磅"/>
    <w:next w:val="20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29">
    <w:name w:val="样式 4 10 磅"/>
    <w:next w:val="21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30">
    <w:name w:val="样式 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1">
    <w:name w:val="样式 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2">
    <w:name w:val="样式 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3">
    <w:name w:val="样式 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4">
    <w:name w:val="样式 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5">
    <w:name w:val="样式 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6">
    <w:name w:val="样式 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7">
    <w:name w:val="样式 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8">
    <w:name w:val="样式 1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9">
    <w:name w:val="样式 1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0">
    <w:name w:val="样式 1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1">
    <w:name w:val="样式 1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2">
    <w:name w:val="样式 1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3">
    <w:name w:val="样式 1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4">
    <w:name w:val="样式 1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5">
    <w:name w:val="样式 1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6">
    <w:name w:val="样式 2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7">
    <w:name w:val="样式 2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8">
    <w:name w:val="样式 2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9">
    <w:name w:val="样式 2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0">
    <w:name w:val="样式 24 10 磅"/>
    <w:pPr>
      <w:widowControl w:val="0"/>
      <w:autoSpaceDE w:val="0"/>
      <w:autoSpaceDN w:val="0"/>
      <w:adjustRightInd w:val="0"/>
    </w:pPr>
    <w:rPr>
      <w:rFonts w:ascii="Times New Roman" w:eastAsia="宋体" w:cs="Times New Roman" w:hAnsi="Times New Roman"/>
      <w:sz w:val="21"/>
      <w:szCs w:val="21"/>
      <w:lang w:val="en-US" w:eastAsia="zh-CN" w:bidi="ar-SA"/>
    </w:rPr>
  </w:style>
  <w:style w:type="paragraph" w:customStyle="1" w:styleId="51">
    <w:name w:val="样式 2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2">
    <w:name w:val="样式 2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3">
    <w:name w:val="样式 27 10 磅"/>
    <w:pPr>
      <w:widowControl w:val="0"/>
      <w:autoSpaceDE w:val="0"/>
      <w:autoSpaceDN w:val="0"/>
      <w:adjustRightInd w:val="0"/>
    </w:pPr>
    <w:rPr>
      <w:rFonts w:ascii="Times New Roman" w:eastAsia="宋体" w:cs="Times New Roman" w:hAnsi="Times New Roman"/>
      <w:sz w:val="21"/>
      <w:szCs w:val="21"/>
      <w:lang w:val="en-US" w:eastAsia="zh-CN" w:bidi="ar-SA"/>
    </w:rPr>
  </w:style>
  <w:style w:type="paragraph" w:customStyle="1" w:styleId="54">
    <w:name w:val="样式 28 10 磅"/>
    <w:pPr>
      <w:widowControl w:val="0"/>
      <w:autoSpaceDE w:val="0"/>
      <w:autoSpaceDN w:val="0"/>
      <w:adjustRightInd w:val="0"/>
    </w:pPr>
    <w:rPr>
      <w:rFonts w:ascii="Times New Roman" w:eastAsia="宋体" w:cs="Times New Roman" w:hAnsi="Times New Roman"/>
      <w:sz w:val="21"/>
      <w:szCs w:val="21"/>
      <w:lang w:val="en-US" w:eastAsia="zh-CN" w:bidi="ar-SA"/>
    </w:rPr>
  </w:style>
  <w:style w:type="paragraph" w:customStyle="1" w:styleId="55">
    <w:name w:val="样式 2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6">
    <w:name w:val="样式 3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57">
    <w:name w:val="样式 3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8">
    <w:name w:val="样式 3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9">
    <w:name w:val="样式 3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0">
    <w:name w:val="样式 3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61">
    <w:name w:val="样式 38 10 磅"/>
    <w:next w:val="63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2">
    <w:name w:val="样式 3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3">
    <w:name w:val="样式 3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4">
    <w:name w:val="样式 3 小四"/>
    <w:pPr>
      <w:keepNext/>
      <w:keepLines/>
      <w:widowControl w:val="0"/>
      <w:spacing w:line="360" w:lineRule="auto"/>
      <w:jc w:val="both"/>
      <w:outlineLvl w:val="2"/>
    </w:pPr>
    <w:rPr>
      <w:rFonts w:ascii="Times New Roman" w:eastAsia="仿宋" w:cs="Times New Roman" w:hAnsi="Times New Roman"/>
      <w:b/>
      <w:bCs/>
      <w:kern w:val="2"/>
      <w:sz w:val="24"/>
      <w:szCs w:val="32"/>
      <w:lang w:val="en-US" w:eastAsia="zh-CN" w:bidi="ar-SA"/>
    </w:rPr>
  </w:style>
  <w:style w:type="paragraph" w:customStyle="1" w:styleId="65">
    <w:name w:val="样式 3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6">
    <w:name w:val="样式 3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7">
    <w:name w:val="样式 4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8">
    <w:name w:val="样式 4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69">
    <w:name w:val="样式 4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70">
    <w:name w:val="样式 4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71">
    <w:name w:val="样式 4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72">
    <w:name w:val="样式 4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73">
    <w:name w:val="样式 4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74">
    <w:name w:val="样式 4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75">
    <w:name w:val="样式 4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76">
    <w:name w:val="样式 4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77">
    <w:name w:val="样式 5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78">
    <w:name w:val="样式 5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79">
    <w:name w:val="样式 5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80">
    <w:name w:val="样式 5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81">
    <w:name w:val="样式 5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82">
    <w:name w:val="样式 5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83">
    <w:name w:val="样式 5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84">
    <w:name w:val="样式 5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85">
    <w:name w:val="样式 5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86">
    <w:name w:val="样式 5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87">
    <w:name w:val="样式 6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88">
    <w:name w:val="样式 6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89">
    <w:name w:val="样式 6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90">
    <w:name w:val="样式 165 10 磅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91">
    <w:name w:val="样式 6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92">
    <w:name w:val="样式 6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93">
    <w:name w:val="样式 6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94">
    <w:name w:val="样式 6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95">
    <w:name w:val="样式 6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96">
    <w:name w:val="样式 6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97">
    <w:name w:val="样式 6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98">
    <w:name w:val="样式 7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99">
    <w:name w:val="样式 7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00">
    <w:name w:val="样式 7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01">
    <w:name w:val="样式 73 10 磅"/>
    <w:pPr>
      <w:widowControl w:val="0"/>
      <w:autoSpaceDE w:val="0"/>
      <w:autoSpaceDN w:val="0"/>
      <w:adjustRightInd w:val="0"/>
    </w:pPr>
    <w:rPr>
      <w:rFonts w:ascii="Times New Roman" w:eastAsia="宋体" w:cs="Times New Roman" w:hAnsi="Times New Roman"/>
      <w:sz w:val="21"/>
      <w:szCs w:val="21"/>
      <w:lang w:val="en-US" w:eastAsia="zh-CN" w:bidi="ar-SA"/>
    </w:rPr>
  </w:style>
  <w:style w:type="paragraph" w:customStyle="1" w:styleId="102">
    <w:name w:val="样式 74 10 磅"/>
    <w:pPr>
      <w:widowControl w:val="0"/>
      <w:autoSpaceDE w:val="0"/>
      <w:autoSpaceDN w:val="0"/>
      <w:adjustRightInd w:val="0"/>
    </w:pPr>
    <w:rPr>
      <w:rFonts w:ascii="Times New Roman" w:eastAsia="宋体" w:cs="Times New Roman" w:hAnsi="Times New Roman"/>
      <w:sz w:val="21"/>
      <w:szCs w:val="21"/>
      <w:lang w:val="en-US" w:eastAsia="zh-CN" w:bidi="ar-SA"/>
    </w:rPr>
  </w:style>
  <w:style w:type="paragraph" w:customStyle="1" w:styleId="103">
    <w:name w:val="样式 75 10 磅"/>
    <w:pPr>
      <w:widowControl w:val="0"/>
      <w:autoSpaceDE w:val="0"/>
      <w:autoSpaceDN w:val="0"/>
      <w:adjustRightInd w:val="0"/>
    </w:pPr>
    <w:rPr>
      <w:rFonts w:ascii="Times New Roman" w:eastAsia="宋体" w:cs="Times New Roman" w:hAnsi="Times New Roman"/>
      <w:sz w:val="21"/>
      <w:szCs w:val="21"/>
      <w:lang w:val="en-US" w:eastAsia="zh-CN" w:bidi="ar-SA"/>
    </w:rPr>
  </w:style>
  <w:style w:type="paragraph" w:customStyle="1" w:styleId="104">
    <w:name w:val="样式 7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05">
    <w:name w:val="样式 7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06">
    <w:name w:val="footnote text"/>
    <w:basedOn w:val="0"/>
    <w:pPr>
      <w:snapToGrid w:val="0"/>
      <w:jc w:val="left"/>
    </w:pPr>
    <w:rPr>
      <w:sz w:val="18"/>
      <w:szCs w:val="18"/>
    </w:rPr>
  </w:style>
  <w:style w:type="paragraph" w:customStyle="1" w:styleId="107">
    <w:name w:val="样式 163 10 磅"/>
    <w:next w:val="106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08">
    <w:name w:val="样式 80 10 磅"/>
    <w:next w:val="106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74">
    <w:name w:val="Normal (Web)"/>
    <w:next w:val="17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865</TotalTime>
  <Application>Yozo_Office</Application>
  <Pages>3</Pages>
  <Words>1622</Words>
  <Characters>1653</Characters>
  <Lines>115</Lines>
  <Paragraphs>71</Paragraphs>
  <CharactersWithSpaces>1667</CharactersWithSpaces>
  <Company>HG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徐楷莹</dc:creator>
  <cp:lastModifiedBy>郑业瀚</cp:lastModifiedBy>
  <cp:revision>1</cp:revision>
  <cp:lastPrinted>2025-09-17T00:53:16Z</cp:lastPrinted>
  <dcterms:created xsi:type="dcterms:W3CDTF">2025-09-11T02:27:58Z</dcterms:created>
  <dcterms:modified xsi:type="dcterms:W3CDTF">2025-09-19T09:25:34Z</dcterms:modified>
</cp:coreProperties>
</file>