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7"/>
        <w:spacing w:line="560" w:lineRule="exact"/>
        <w:ind w:left="0" w:firstLine="0"/>
        <w:jc w:val="center"/>
        <w:rPr>
          <w:rFonts w:ascii="方正小标宋_GBK" w:eastAsia="方正小标宋_GBK" w:hint="eastAsia"/>
          <w:color w:val="000000"/>
          <w14:textFill>
            <w14:solidFill>
              <w14:srgbClr w14:val="000000"/>
            </w14:solidFill>
          </w14:textFill>
        </w:rPr>
      </w:pPr>
    </w:p>
    <w:p>
      <w:pPr>
        <w:pStyle w:val="17"/>
        <w:spacing w:line="560" w:lineRule="exact"/>
        <w:ind w:left="0" w:firstLine="0"/>
        <w:jc w:val="center"/>
        <w:rPr>
          <w:rFonts w:ascii="方正小标宋_GBK" w:eastAsia="方正小标宋_GBK" w:hint="eastAsia"/>
          <w:color w:val="000000"/>
          <w14:textFill>
            <w14:solidFill>
              <w14:srgbClr w14:val="000000"/>
            </w14:solidFill>
          </w14:textFill>
        </w:rPr>
      </w:pPr>
      <w:bookmarkStart w:id="0" w:name="_GoBack"/>
      <w:bookmarkEnd w:id="0"/>
      <w:r>
        <w:rPr>
          <w:rFonts w:ascii="方正小标宋_GBK" w:eastAsia="方正小标宋_GBK" w:hint="eastAsia"/>
          <w:color w:val="000000"/>
          <w14:textFill>
            <w14:solidFill>
              <w14:srgbClr w14:val="000000"/>
            </w14:solidFill>
          </w14:textFill>
        </w:rPr>
        <w:t>评分细则</w:t>
      </w:r>
    </w:p>
    <w:tbl>
      <w:tblPr>
        <w:jc w:val="center"/>
        <w:tblW w:w="93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842"/>
        <w:gridCol w:w="851"/>
        <w:gridCol w:w="5891"/>
      </w:tblGrid>
      <w:tr>
        <w:trPr>
          <w:trHeight w:val="273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序号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评审因素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满分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宋体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/>
                <w:bCs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评分说明</w:t>
            </w:r>
          </w:p>
        </w:tc>
      </w:tr>
      <w:tr>
        <w:trPr>
          <w:trHeight w:val="1796"/>
        </w:trPr>
        <w:tc>
          <w:tcPr>
            <w:tcW w:w="76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1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价格分</w:t>
            </w:r>
          </w:p>
          <w:p>
            <w:pPr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（满分30分）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30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contextualSpacing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本项目设置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单价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最高限价，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加强版</w:t>
            </w:r>
            <w:r>
              <w:rPr>
                <w:rFonts w:ascii="宋体" w:cs="宋体" w:hint="eastAsia"/>
                <w:sz w:val="24"/>
                <w:szCs w:val="24"/>
              </w:rPr>
              <w:t>最高</w:t>
            </w:r>
            <w:r>
              <w:rPr>
                <w:rFonts w:ascii="宋体" w:cs="宋体"/>
                <w:sz w:val="24"/>
                <w:szCs w:val="24"/>
              </w:rPr>
              <w:t>单价</w:t>
            </w:r>
            <w:r>
              <w:rPr>
                <w:rFonts w:ascii="宋体" w:cs="宋体" w:hint="eastAsia"/>
                <w:sz w:val="24"/>
                <w:szCs w:val="24"/>
              </w:rPr>
              <w:t>限价为</w:t>
            </w:r>
            <w:r>
              <w:rPr>
                <w:rFonts w:ascii="宋体" w:cs="宋体"/>
                <w:sz w:val="24"/>
                <w:szCs w:val="24"/>
              </w:rPr>
              <w:t>26</w:t>
            </w:r>
            <w:r>
              <w:rPr>
                <w:rFonts w:ascii="宋体" w:cs="宋体" w:hint="eastAsia"/>
                <w:sz w:val="24"/>
                <w:szCs w:val="24"/>
              </w:rPr>
              <w:t>万元，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普通版</w:t>
            </w:r>
            <w:r>
              <w:rPr>
                <w:rFonts w:ascii="宋体" w:cs="宋体" w:hint="eastAsia"/>
                <w:sz w:val="24"/>
                <w:szCs w:val="24"/>
              </w:rPr>
              <w:t>最高</w:t>
            </w:r>
            <w:r>
              <w:rPr>
                <w:rFonts w:ascii="宋体" w:cs="宋体"/>
                <w:sz w:val="24"/>
                <w:szCs w:val="24"/>
              </w:rPr>
              <w:t>单价</w:t>
            </w:r>
            <w:r>
              <w:rPr>
                <w:rFonts w:ascii="宋体" w:cs="宋体" w:hint="eastAsia"/>
                <w:sz w:val="24"/>
                <w:szCs w:val="24"/>
              </w:rPr>
              <w:t>限价为</w:t>
            </w:r>
            <w:r>
              <w:rPr>
                <w:rFonts w:ascii="宋体" w:cs="宋体"/>
                <w:sz w:val="24"/>
                <w:szCs w:val="24"/>
              </w:rPr>
              <w:t>20</w:t>
            </w:r>
            <w:r>
              <w:rPr>
                <w:rFonts w:ascii="宋体" w:cs="宋体" w:hint="eastAsia"/>
                <w:sz w:val="24"/>
                <w:szCs w:val="24"/>
              </w:rPr>
              <w:t>万元，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超过最高限价的投标作为采购人不可接受的条件，作为无效报价处理。</w:t>
            </w:r>
          </w:p>
          <w:p>
            <w:pPr>
              <w:contextualSpacing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采用低价优先法计算，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即满足招标文件要求且投标价格最低的投标报价为评标基准价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，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其价格分为满分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30分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。</w:t>
            </w:r>
          </w:p>
          <w:p>
            <w:pP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其他供应商的价格分统一按照下列公式计算：投标报价得分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=(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评标基准价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/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投标报价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)×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30（小数点保留两位）</w:t>
            </w:r>
          </w:p>
        </w:tc>
      </w:tr>
      <w:tr>
        <w:trPr>
          <w:trHeight w:val="1631"/>
        </w:trPr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82"/>
              <w:spacing w:line="240" w:lineRule="atLeast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58"/>
              <w:contextualSpacing/>
              <w:jc w:val="center"/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技术参数</w:t>
            </w:r>
          </w:p>
          <w:p>
            <w:pPr>
              <w:pStyle w:val="81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（满分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48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80"/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48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6"/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1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）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标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★的为必须满足内容，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按要求提供证明材料，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否则作为无效投标处理，不予接受；</w:t>
            </w:r>
          </w:p>
          <w:p>
            <w:pPr>
              <w:pStyle w:val="156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（2）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标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▲项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属于重要参数，每不符合一项扣2分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（供应商须在技术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参数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条款中逐条进行应答，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>提供产品说明书或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</w:rPr>
              <w:t>证明材料</w:t>
            </w:r>
            <w:r>
              <w:rPr>
                <w:rFonts w:ascii="宋体" w:cs="宋体"/>
                <w:color w:val="000000"/>
                <w:sz w:val="24"/>
                <w:szCs w:val="24"/>
              </w:rPr>
              <w:t>，</w:t>
            </w:r>
            <w:r>
              <w:rPr>
                <w:rFonts w:ascii="宋体" w:cs="宋体"/>
                <w:bCs/>
                <w:color w:val="000000"/>
                <w:sz w:val="24"/>
                <w:szCs w:val="24"/>
              </w:rPr>
              <w:t>所有产品必须承诺来自正规渠道且全新未使用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）；</w:t>
            </w:r>
          </w:p>
          <w:p>
            <w:pPr>
              <w:pStyle w:val="79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3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）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未标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▲项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属于一般参数，</w:t>
            </w:r>
            <w:r>
              <w:rPr>
                <w:rFonts w:ascii="宋体" w:cs="宋体"/>
                <w:sz w:val="24"/>
                <w:szCs w:val="24"/>
              </w:rPr>
              <w:t>每不符合一项扣1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分。</w:t>
            </w:r>
          </w:p>
        </w:tc>
      </w:tr>
      <w:tr>
        <w:trPr>
          <w:trHeight w:val="1776"/>
        </w:trPr>
        <w:tc>
          <w:tcPr>
            <w:tcW w:w="7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66"/>
              <w:spacing w:line="240" w:lineRule="atLeast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54"/>
              <w:contextualSpacing/>
              <w:jc w:val="center"/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综合实力</w:t>
            </w:r>
          </w:p>
          <w:p>
            <w:pPr>
              <w:pStyle w:val="102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（满分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4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01"/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4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53"/>
              <w:contextualSpacing/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（1）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投标人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具备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ISO9001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质量管理系统认证、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ISO14001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环境管理体系认证、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ISO45001职业健康安全管理体系认证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，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均具备以上认证得1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分（提供加盖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val="en-US" w:eastAsia="zh-CN"/>
              </w:rPr>
              <w:t>投标人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公章的证明材料复印件，原件备查）</w:t>
            </w:r>
          </w:p>
          <w:p>
            <w:pPr>
              <w:pStyle w:val="100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（2）投标人如能提供2025年1月份以来自身销售所投产品的合同及发票等复印件证明材料，一份有效材料可得1分，满分为3分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  <w:lang w:eastAsia="zh-CN"/>
              </w:rPr>
              <w:t>。</w:t>
            </w:r>
          </w:p>
        </w:tc>
      </w:tr>
      <w:tr>
        <w:trPr>
          <w:trHeight w:val="1766"/>
        </w:trPr>
        <w:tc>
          <w:tcPr>
            <w:tcW w:w="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23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质量保证措施</w:t>
            </w:r>
          </w:p>
          <w:p>
            <w:pPr>
              <w:pStyle w:val="123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（满分</w:t>
            </w:r>
            <w:r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22"/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21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根据供应商提供的质量保证措施进行打分。</w:t>
            </w:r>
          </w:p>
          <w:p>
            <w:pPr>
              <w:pStyle w:val="121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质量保证措施完整、详细，针对性和可操作性强，完全满足且优于采购需求得6分；质量保证措施完整、内容具体，具有可操作性，基本满足采购需求得3分；质量保证措施内容简单，针对性和可操作性不强的得1分，不提供不得分。</w:t>
            </w:r>
          </w:p>
        </w:tc>
      </w:tr>
      <w:tr>
        <w:trPr>
          <w:trHeight w:val="1288"/>
        </w:trPr>
        <w:tc>
          <w:tcPr>
            <w:tcW w:w="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69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培训方案</w:t>
            </w:r>
          </w:p>
          <w:p>
            <w:pPr>
              <w:pStyle w:val="169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（满分</w:t>
            </w:r>
            <w:r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68"/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67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根据供应商提供的培训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服务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进行打分。</w:t>
            </w:r>
          </w:p>
          <w:p>
            <w:pPr>
              <w:pStyle w:val="167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培训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服务</w:t>
            </w:r>
            <w:r>
              <w:rPr>
                <w:rFonts w:ascii="宋体" w:cs="宋体" w:hint="eastAsia"/>
                <w:snapToGrid w:val="0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切实可行、细致周到</w:t>
            </w:r>
            <w:r>
              <w:rPr>
                <w:rFonts w:ascii="宋体" w:cs="宋体"/>
                <w:snapToGrid w:val="0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、优于参数要求</w:t>
            </w:r>
            <w:r>
              <w:rPr>
                <w:rFonts w:ascii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的</w:t>
            </w:r>
            <w:r>
              <w:rPr>
                <w:rFonts w:ascii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得6分</w:t>
            </w:r>
            <w:r>
              <w:rPr>
                <w:rFonts w:ascii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；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培训方案的合理性、可行性</w:t>
            </w:r>
            <w:r>
              <w:rPr>
                <w:rFonts w:ascii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良好</w:t>
            </w:r>
            <w:r>
              <w:rPr>
                <w:rFonts w:ascii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，基本满足参数要求的得3分</w:t>
            </w:r>
            <w:r>
              <w:rPr>
                <w:rFonts w:ascii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；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培训方案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不太合理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、</w:t>
            </w:r>
            <w:r>
              <w:rPr>
                <w:rFonts w:ascii="宋体" w:cs="宋体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不太可行、不满足参数要求的得</w:t>
            </w: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1分；</w:t>
            </w:r>
            <w:r>
              <w:rPr>
                <w:rFonts w:ascii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无不得分。</w:t>
            </w:r>
          </w:p>
        </w:tc>
      </w:tr>
      <w:tr>
        <w:trPr>
          <w:trHeight w:val="1580"/>
        </w:trPr>
        <w:tc>
          <w:tcPr>
            <w:tcW w:w="7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/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65"/>
              <w:jc w:val="center"/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bCs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售后服务</w:t>
            </w:r>
          </w:p>
          <w:p>
            <w:pPr>
              <w:pStyle w:val="165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（满分</w:t>
            </w:r>
            <w:r>
              <w:rPr>
                <w:rFonts w:ascii="宋体" w:cs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分）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>
            <w:pPr>
              <w:pStyle w:val="164"/>
              <w:spacing w:line="280" w:lineRule="exact"/>
              <w:jc w:val="center"/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6</w:t>
            </w:r>
            <w:r>
              <w:rPr>
                <w:rFonts w:ascii="宋体" w:cs="宋体" w:hint="eastAsia"/>
                <w:color w:val="000000"/>
                <w:sz w:val="24"/>
                <w14:textFill>
                  <w14:solidFill>
                    <w14:srgbClr w14:val="000000"/>
                  </w14:solidFill>
                </w14:textFill>
              </w:rPr>
              <w:t>分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167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根据供应商提供的</w:t>
            </w: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售后服务方案</w:t>
            </w:r>
            <w:r>
              <w:rPr>
                <w:rFonts w:ascii="宋体" w:cs="宋体" w:hint="eastAsia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进行打分。</w:t>
            </w:r>
          </w:p>
          <w:p>
            <w:pPr>
              <w:pStyle w:val="163"/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</w:pPr>
            <w:r>
              <w:rPr>
                <w:rFonts w:ascii="宋体" w:cs="宋体"/>
                <w:color w:val="000000"/>
                <w:sz w:val="24"/>
                <w:szCs w:val="24"/>
                <w14:textFill>
                  <w14:solidFill>
                    <w14:srgbClr w14:val="000000"/>
                  </w14:solidFill>
                </w14:textFill>
              </w:rPr>
              <w:t>售后服务方案完整、详细，针对性和可操作性强，完全满足且优于采购需求得6分；售后服务方案完整、内容具体，具有可操作性，基本满足采购需求得3分；售后服务方案内容简单，针对性和可操作性不强的得1分，不提供不得分。</w:t>
            </w:r>
          </w:p>
        </w:tc>
      </w:tr>
    </w:tbl>
    <w:p>
      <w:pPr>
        <w:rPr>
          <w:color w:val="000000"/>
          <w14:textFill>
            <w14:solidFill>
              <w14:srgbClr w14:val="000000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7A"/>
    <w:family w:val="roman"/>
    <w:pitch w:val="variable"/>
    <w:sig w:usb0="E0002EFF" w:usb1="C000785B" w:usb2="00000009" w:usb3="00000000" w:csb0="400001FF" w:csb1="FFFF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variable"/>
    <w:sig w:usb0="00000000" w:usb1="00000000" w:usb2="00000000" w:usb3="00000000" w:csb0="00040000" w:csb1="00000000"/>
  </w:font>
  <w:font w:name="等线">
    <w:altName w:val="方正黑体_GBK"/>
    <w:panose1 w:val="00000000000000000000"/>
    <w:charset w:val="86"/>
    <w:family w:val="auto"/>
    <w:pitch w:val="variable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5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 Indent"/>
    <w:basedOn w:val="0"/>
    <w:next w:val="0"/>
    <w:pPr>
      <w:ind w:firstLine="900"/>
    </w:pPr>
    <w:rPr>
      <w:sz w:val="28"/>
    </w:rPr>
  </w:style>
  <w:style w:type="paragraph" w:styleId="16">
    <w:name w:val="Body Text First Indent 2"/>
    <w:basedOn w:val="15"/>
    <w:pPr>
      <w:autoSpaceDE w:val="0"/>
      <w:autoSpaceDN w:val="0"/>
      <w:adjustRightInd w:val="0"/>
      <w:spacing w:after="120"/>
      <w:ind w:leftChars="200" w:left="200" w:firstLineChars="200" w:firstLine="200"/>
      <w:jc w:val="left"/>
      <w:textAlignment w:val="baseline"/>
    </w:pPr>
    <w:rPr>
      <w:rFonts w:ascii="宋体"/>
      <w:kern w:val="0"/>
      <w:sz w:val="34"/>
    </w:rPr>
  </w:style>
  <w:style w:type="paragraph" w:styleId="17">
    <w:name w:val="Body Text Indent 2"/>
    <w:basedOn w:val="0"/>
    <w:pPr>
      <w:ind w:left="630" w:firstLine="645"/>
    </w:pPr>
    <w:rPr>
      <w:rFonts w:ascii="Arial" w:eastAsia="仿宋_GB2312" w:hAnsi="Arial"/>
      <w:sz w:val="32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20">
    <w:name w:val="样式 三号"/>
    <w:pPr>
      <w:widowControl w:val="0"/>
      <w:ind w:left="630" w:firstLine="645"/>
      <w:jc w:val="both"/>
    </w:pPr>
    <w:rPr>
      <w:rFonts w:ascii="Arial" w:eastAsia="仿宋_GB2312" w:cs="Times New Roman" w:hAnsi="Arial"/>
      <w:kern w:val="2"/>
      <w:sz w:val="32"/>
      <w:szCs w:val="21"/>
      <w:lang w:val="en-US" w:eastAsia="zh-CN" w:bidi="ar-SA"/>
    </w:rPr>
  </w:style>
  <w:style w:type="paragraph" w:customStyle="1" w:styleId="21">
    <w:name w:val="样式 10 磅"/>
    <w:next w:val="19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2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3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4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5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6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7">
    <w:name w:val="样式 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8">
    <w:name w:val="样式 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29">
    <w:name w:val="样式 8 10 磅"/>
    <w:next w:val="27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0">
    <w:name w:val="样式 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1">
    <w:name w:val="样式 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2">
    <w:name w:val="样式 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3">
    <w:name w:val="样式 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4">
    <w:name w:val="样式 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5">
    <w:name w:val="样式 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6">
    <w:name w:val="样式 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7">
    <w:name w:val="样式 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38">
    <w:name w:val="样式 17 磅"/>
    <w:next w:val="29"/>
    <w:pPr>
      <w:widowControl w:val="0"/>
      <w:autoSpaceDE w:val="0"/>
      <w:autoSpaceDN w:val="0"/>
      <w:adjustRightInd w:val="0"/>
      <w:spacing w:after="120"/>
      <w:ind w:leftChars="200" w:left="200" w:firstLineChars="200" w:firstLine="200"/>
      <w:jc w:val="left"/>
      <w:textAlignment w:val="baseline"/>
    </w:pPr>
    <w:rPr>
      <w:rFonts w:ascii="宋体" w:eastAsia="宋体" w:cs="Times New Roman"/>
      <w:kern w:val="0"/>
      <w:sz w:val="34"/>
      <w:szCs w:val="21"/>
      <w:lang w:val="en-US" w:eastAsia="zh-CN" w:bidi="ar-SA"/>
    </w:rPr>
  </w:style>
  <w:style w:type="paragraph" w:customStyle="1" w:styleId="39">
    <w:name w:val="样式 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0">
    <w:name w:val="样式 18 10 磅"/>
    <w:pPr>
      <w:widowControl w:val="0"/>
      <w:jc w:val="both"/>
    </w:pPr>
    <w:rPr>
      <w:rFonts w:ascii="等线" w:eastAsia="等线" w:cs="Times New Roman"/>
      <w:kern w:val="2"/>
      <w:sz w:val="21"/>
      <w:szCs w:val="22"/>
      <w:lang w:val="en-US" w:eastAsia="zh-CN" w:bidi="ar-SA"/>
    </w:rPr>
  </w:style>
  <w:style w:type="paragraph" w:customStyle="1" w:styleId="41">
    <w:name w:val="样式 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2">
    <w:name w:val="样式 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3">
    <w:name w:val="样式 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4">
    <w:name w:val="样式 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6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7">
    <w:name w:val="样式 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8">
    <w:name w:val="样式 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49">
    <w:name w:val="正文_2_0"/>
    <w:next w:val="17"/>
    <w:pPr>
      <w:widowControl w:val="0"/>
      <w:adjustRightInd w:val="0"/>
      <w:spacing w:line="360" w:lineRule="atLeast"/>
      <w:textAlignment w:val="baseline"/>
    </w:pPr>
    <w:rPr>
      <w:rFonts w:ascii="Times New Roman" w:eastAsia="方正黑体_GBK" w:cs="Times New Roman" w:hAnsi="Times New Roman"/>
      <w:sz w:val="24"/>
      <w:szCs w:val="20"/>
      <w:lang w:val="en-US" w:eastAsia="zh-CN" w:bidi="ar-SA"/>
    </w:rPr>
  </w:style>
  <w:style w:type="paragraph" w:customStyle="1" w:styleId="50">
    <w:name w:val="样式 1 三号"/>
    <w:pPr>
      <w:widowControl w:val="0"/>
      <w:ind w:left="630" w:firstLine="645"/>
      <w:jc w:val="both"/>
    </w:pPr>
    <w:rPr>
      <w:rFonts w:ascii="Arial" w:eastAsia="仿宋_GB2312" w:cs="Times New Roman" w:hAnsi="Arial"/>
      <w:kern w:val="2"/>
      <w:sz w:val="32"/>
      <w:szCs w:val="21"/>
      <w:lang w:val="en-US" w:eastAsia="zh-CN" w:bidi="ar-SA"/>
    </w:rPr>
  </w:style>
  <w:style w:type="paragraph" w:customStyle="1" w:styleId="51">
    <w:name w:val="样式 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2">
    <w:name w:val="样式 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3">
    <w:name w:val="样式 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4">
    <w:name w:val="样式 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5">
    <w:name w:val="样式 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6">
    <w:name w:val="样式 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7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8">
    <w:name w:val="样式 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1399</TotalTime>
  <Application>Yozo_Office</Application>
  <Pages>1</Pages>
  <Words>877</Words>
  <Characters>911</Characters>
  <Lines>65</Lines>
  <Paragraphs>40</Paragraphs>
  <CharactersWithSpaces>911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监管处</dc:creator>
  <cp:lastModifiedBy>梁华丽</cp:lastModifiedBy>
  <cp:revision>2</cp:revision>
  <cp:lastPrinted>2025-07-16T02:40:24Z</cp:lastPrinted>
  <dcterms:created xsi:type="dcterms:W3CDTF">2025-07-04T03:20:00Z</dcterms:created>
  <dcterms:modified xsi:type="dcterms:W3CDTF">2025-10-21T09:05:58Z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eyJoZGlkIjoiYTc4NjllN2YyODlmZGJiMjQwMjczY2YzNzM2ZTdiOTgiLCJ1c2VySWQiOiI0MTg1MTYyMzUifQ==</vt:lpwstr>
  </property>
  <property fmtid="{D5CDD505-2E9C-101B-9397-08002B2CF9AE}" pid="4" name="ICV">
    <vt:lpwstr>6EEA0C8F7C3C4FF88350221798B817AB_13</vt:lpwstr>
  </property>
</Properties>
</file>