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9"/>
        <w:keepNext w:val="0"/>
        <w:keepLines w:val="0"/>
        <w:pageBreakBefore w:val="0"/>
        <w:widowControl w:val="0"/>
        <w:suppressAutoHyphens/>
        <w:kinsoku/>
        <w:wordWrap/>
        <w:overflowPunct/>
        <w:topLinePunct w:val="0"/>
        <w:autoSpaceDE/>
        <w:autoSpaceDN/>
        <w:adjustRightInd/>
        <w:snapToGrid w:val="0"/>
        <w:spacing w:line="560" w:lineRule="exact"/>
        <w:ind w:left="0" w:firstLine="0"/>
        <w:jc w:val="left"/>
        <w:rPr>
          <w:rFonts w:ascii="方正黑体_GBK" w:eastAsia="方正黑体_GBK" w:cs="黑体" w:hint="eastAsia"/>
          <w:sz w:val="32"/>
          <w:szCs w:val="32"/>
        </w:rPr>
      </w:pPr>
      <w:bookmarkStart w:id="0" w:name="_GoBack"/>
      <w:bookmarkEnd w:id="0"/>
      <w:r>
        <w:rPr>
          <w:rFonts w:ascii="方正黑体_GBK" w:eastAsia="方正黑体_GBK" w:cs="黑体" w:hint="eastAsia"/>
          <w:sz w:val="32"/>
          <w:szCs w:val="32"/>
          <w:lang w:val="en-US" w:eastAsia="zh-CN"/>
        </w:rPr>
        <w:t>附件</w:t>
      </w:r>
      <w:r>
        <w:rPr>
          <w:rFonts w:eastAsia="方正黑体_GBK"/>
          <w:sz w:val="32"/>
          <w:szCs w:val="32"/>
          <w:lang w:val="en-US" w:eastAsia="zh-CN"/>
        </w:rPr>
        <w:t>1</w:t>
      </w:r>
    </w:p>
    <w:p>
      <w:pPr>
        <w:spacing w:line="560" w:lineRule="exact"/>
        <w:jc w:val="center"/>
        <w:rPr>
          <w:rFonts w:eastAsia="方正小标宋_GBK"/>
          <w:b w:val="0"/>
          <w:sz w:val="44"/>
          <w:szCs w:val="44"/>
          <w:lang w:eastAsia="zh-CN"/>
        </w:rPr>
      </w:pPr>
      <w:bookmarkStart w:id="1" w:name="_Toc238284355"/>
    </w:p>
    <w:p>
      <w:pPr>
        <w:spacing w:line="560" w:lineRule="exact"/>
        <w:jc w:val="center"/>
        <w:rPr>
          <w:rFonts w:ascii="方正小标宋_GBK" w:eastAsia="方正小标宋_GBK"/>
          <w:sz w:val="36"/>
          <w:szCs w:val="36"/>
        </w:rPr>
      </w:pPr>
      <w:bookmarkEnd w:id="1"/>
      <w:r>
        <w:rPr>
          <w:rFonts w:eastAsia="方正小标宋_GBK"/>
          <w:b w:val="0"/>
          <w:sz w:val="36"/>
          <w:szCs w:val="36"/>
          <w:lang w:eastAsia="zh-CN"/>
        </w:rPr>
        <w:t>汕头海关互联网资产渗透测试服务项目采购需求</w:t>
      </w:r>
    </w:p>
    <w:p>
      <w:pPr>
        <w:pStyle w:val="28"/>
        <w:spacing w:line="560" w:lineRule="exact"/>
        <w:ind w:left="0" w:firstLineChars="200" w:firstLine="632"/>
        <w:rPr>
          <w:rFonts w:eastAsia="方正仿宋_GBK"/>
          <w:bCs/>
          <w:color w:val="000000"/>
          <w:kern w:val="0"/>
          <w:sz w:val="32"/>
          <w:szCs w:val="32"/>
          <w:lang w:eastAsia="zh-CN"/>
        </w:rPr>
      </w:pPr>
    </w:p>
    <w:p>
      <w:pPr>
        <w:pStyle w:val="29"/>
        <w:numPr>
          <w:ilvl w:val="0"/>
          <w:numId w:val="0"/>
        </w:numPr>
        <w:spacing w:before="0" w:after="0" w:line="560" w:lineRule="exact"/>
        <w:ind w:left="0" w:right="240" w:firstLineChars="200" w:firstLine="632"/>
        <w:rPr>
          <w:rFonts w:eastAsia="方正黑体_GBK"/>
          <w:b w:val="0"/>
          <w:sz w:val="32"/>
          <w:szCs w:val="32"/>
          <w:lang w:eastAsia="zh-CN"/>
        </w:rPr>
      </w:pPr>
      <w:r>
        <w:rPr>
          <w:rFonts w:eastAsia="方正黑体_GBK"/>
          <w:b w:val="0"/>
          <w:sz w:val="32"/>
          <w:szCs w:val="32"/>
          <w:lang w:eastAsia="zh-CN"/>
        </w:rPr>
        <w:t>一、项目名称</w:t>
      </w:r>
    </w:p>
    <w:p>
      <w:pPr>
        <w:pStyle w:val="16"/>
        <w:spacing w:line="560" w:lineRule="exact"/>
        <w:ind w:left="0" w:firstLineChars="200" w:firstLine="632"/>
      </w:pPr>
      <w:r>
        <w:t>汕头海关互联网资产渗透测试服务项目。</w:t>
      </w:r>
    </w:p>
    <w:p>
      <w:pPr>
        <w:pStyle w:val="40"/>
        <w:numPr>
          <w:ilvl w:val="0"/>
          <w:numId w:val="0"/>
        </w:numPr>
        <w:spacing w:before="0" w:after="0" w:line="560" w:lineRule="exact"/>
        <w:ind w:left="0" w:right="240" w:firstLineChars="200" w:firstLine="632"/>
        <w:rPr>
          <w:rFonts w:eastAsia="方正黑体_GBK"/>
          <w:b w:val="0"/>
          <w:sz w:val="32"/>
          <w:szCs w:val="32"/>
          <w:bdr w:val="none" w:sz="0" w:space="0" w:color="auto"/>
        </w:rPr>
      </w:pPr>
      <w:r>
        <w:rPr>
          <w:rFonts w:eastAsia="方正黑体_GBK"/>
          <w:b w:val="0"/>
          <w:sz w:val="32"/>
          <w:szCs w:val="32"/>
          <w:bdr w:val="none" w:sz="0" w:space="0" w:color="auto"/>
        </w:rPr>
        <w:t>二、单位地址</w:t>
      </w:r>
    </w:p>
    <w:p>
      <w:pPr>
        <w:pStyle w:val="40"/>
        <w:numPr>
          <w:ilvl w:val="0"/>
          <w:numId w:val="0"/>
        </w:numPr>
        <w:spacing w:before="0" w:after="0" w:line="560" w:lineRule="exact"/>
        <w:ind w:left="0" w:right="240" w:firstLineChars="200" w:firstLine="632"/>
        <w:rPr>
          <w:rFonts w:eastAsia="方正黑体_GBK"/>
          <w:b w:val="0"/>
          <w:sz w:val="32"/>
          <w:szCs w:val="32"/>
        </w:rPr>
      </w:pPr>
      <w:r>
        <w:rPr>
          <w:rFonts w:eastAsia="方正仿宋_GBK"/>
          <w:b w:val="0"/>
          <w:sz w:val="32"/>
          <w:szCs w:val="32"/>
          <w:bdr w:val="none" w:sz="0" w:space="0" w:color="auto"/>
          <w:lang w:eastAsia="zh-CN"/>
        </w:rPr>
        <w:t>汕头市珠江路34号。</w:t>
      </w:r>
    </w:p>
    <w:p>
      <w:pPr>
        <w:spacing w:line="560" w:lineRule="exact"/>
        <w:ind w:firstLineChars="200" w:firstLine="632"/>
        <w:rPr>
          <w:rFonts w:eastAsia="方正黑体_GBK"/>
          <w:szCs w:val="32"/>
        </w:rPr>
      </w:pPr>
      <w:r>
        <w:rPr>
          <w:rFonts w:eastAsia="方正黑体_GBK"/>
          <w:szCs w:val="32"/>
        </w:rPr>
        <w:t>三、服务概述</w:t>
      </w:r>
    </w:p>
    <w:p>
      <w:pPr>
        <w:spacing w:line="560" w:lineRule="exact"/>
        <w:ind w:firstLineChars="200" w:firstLine="632"/>
      </w:pPr>
      <w:r>
        <w:t>本次服务范围包括汕头海关4个应用系统及3个VPN设备，共7项互联网资产。以渗透测试、安全基准检测为手段，对网络中的关键信息系统进行全面深入的模拟攻击测试，从而找出信息系统中存在的缺陷和漏洞。从而进一步明晰目前业务系统的安全短板，以便采取必要的防范措施。以渗透测试、安全基准检测结论为依据，协助对信息系统中的高危漏洞进行安全加固。</w:t>
      </w:r>
    </w:p>
    <w:p>
      <w:pPr>
        <w:spacing w:line="560" w:lineRule="exact"/>
        <w:ind w:firstLineChars="200" w:firstLine="632"/>
        <w:rPr>
          <w:rFonts w:eastAsia="方正黑体_GBK"/>
          <w:szCs w:val="32"/>
        </w:rPr>
      </w:pPr>
      <w:r>
        <w:rPr>
          <w:rFonts w:eastAsia="方正黑体_GBK"/>
          <w:szCs w:val="32"/>
        </w:rPr>
        <w:t>四、检测方式</w:t>
      </w:r>
    </w:p>
    <w:p>
      <w:pPr>
        <w:spacing w:line="560" w:lineRule="exact"/>
        <w:ind w:firstLineChars="200" w:firstLine="632"/>
      </w:pPr>
      <w:r>
        <w:t>在汕头海关授权下，服务提供方可采用多种方式对系统层、中间件层、WEB层等开展测试，尽量发现系统存在的缺陷或漏洞，包括但不限于：</w:t>
      </w:r>
    </w:p>
    <w:p>
      <w:pPr>
        <w:spacing w:line="560" w:lineRule="exact"/>
        <w:ind w:firstLineChars="200" w:firstLine="632"/>
      </w:pPr>
      <w:r>
        <w:t>（一）口令猜解：针对应用系统、操作系统、数据库等应用的口令登录安全进行测试，利用自动化工具，大量尝试登录系统，检测是否存在空口令、弱口令。</w:t>
      </w:r>
    </w:p>
    <w:p>
      <w:pPr>
        <w:spacing w:line="560" w:lineRule="exact"/>
        <w:ind w:firstLineChars="200" w:firstLine="632"/>
      </w:pPr>
      <w:r>
        <w:t>（二）溢出测试：测试是否存在可以利用的系统溢出漏洞，从而直接或间接获得系统控制权限。</w:t>
      </w:r>
    </w:p>
    <w:p>
      <w:pPr>
        <w:spacing w:line="560" w:lineRule="exact"/>
        <w:ind w:firstLineChars="200" w:firstLine="632"/>
      </w:pPr>
      <w:r>
        <w:t>（三）敏感信息泄露检测：检测是否存在敏感信息的泄露的风险，如开启了不需要的服务、服务端口不恰当的对非授权区域开放、DNS区域传送机制未合理配置、特定系统服务（如telnet、SSH、FTP等）旗标未修改屏蔽等。</w:t>
      </w:r>
    </w:p>
    <w:p>
      <w:pPr>
        <w:spacing w:line="560" w:lineRule="exact"/>
        <w:ind w:firstLineChars="200" w:firstLine="632"/>
      </w:pPr>
      <w:r>
        <w:t>（四）系统安全核查：核查是否严格管理系统账户、有效控制系统服务，优化系统的安全配置，启用系统必要的安全控制措施，避免系统发生故障或遭受攻击。</w:t>
      </w:r>
    </w:p>
    <w:p>
      <w:pPr>
        <w:spacing w:line="560" w:lineRule="exact"/>
        <w:ind w:firstLineChars="200" w:firstLine="632"/>
      </w:pPr>
      <w:r>
        <w:t>（五）工具扫描：通过评估工具对主机、应用程序和数据库进行扫描。扫描评估主要是根据已有的安全漏洞知识库，模拟攻击方法，检测网络协议、网络服务、网络设备、应用系统等各主机设备所存在的安全隐患和漏洞。</w:t>
      </w:r>
    </w:p>
    <w:p>
      <w:pPr>
        <w:spacing w:line="560" w:lineRule="exact"/>
        <w:ind w:firstLineChars="200" w:firstLine="632"/>
      </w:pPr>
      <w:r>
        <w:t>（六）安全基准检测：依据对系统或设备的标准化的安全审计列表（安全基线），检查和分析系统平台存在的安全问题。通过专家人工评估与工具扫描相结合，从而得出相对全面客观的评估结果。</w:t>
      </w:r>
    </w:p>
    <w:p>
      <w:pPr>
        <w:spacing w:line="560" w:lineRule="exact"/>
        <w:ind w:firstLineChars="200" w:firstLine="632"/>
        <w:rPr>
          <w:rFonts w:eastAsia="方正黑体_GBK"/>
          <w:szCs w:val="32"/>
        </w:rPr>
      </w:pPr>
      <w:r>
        <w:rPr>
          <w:rFonts w:eastAsia="方正黑体_GBK"/>
          <w:szCs w:val="32"/>
        </w:rPr>
        <w:t>五、服务要求</w:t>
      </w:r>
    </w:p>
    <w:p>
      <w:pPr>
        <w:spacing w:line="560" w:lineRule="exact"/>
        <w:ind w:firstLineChars="200" w:firstLine="632"/>
      </w:pPr>
      <w:r>
        <w:t>（一）服务提供方应针对本项目成立项目小组，明确项目负责人及联系人，制定详细的测试方案（包括测试范围、测试方法、测试工具、风险控制措施），经汕头海关确认后正式启动测试；汕头海关为服务提供方提供测试所需的环境（如测试系统账号、测试数据、网络访问权限），服务提供方完成测试工具的准备与调试。</w:t>
      </w:r>
    </w:p>
    <w:p>
      <w:pPr>
        <w:spacing w:line="560" w:lineRule="exact"/>
        <w:ind w:firstLineChars="200" w:firstLine="632"/>
      </w:pPr>
      <w:r>
        <w:t>（二）服务提供方按照测试方案开展信息收集工作，利用自动化工具对目标系统进行初步漏洞扫描，形成信息收集报告和初步漏洞扫描报告，提交给汕头海关进行确认。​</w:t>
      </w:r>
    </w:p>
    <w:p>
      <w:pPr>
        <w:spacing w:line="560" w:lineRule="exact"/>
        <w:ind w:firstLineChars="200" w:firstLine="632"/>
      </w:pPr>
      <w:r>
        <w:t>（三）服务提供方基于信息收集和扫描结果，开展手动渗透测试，对疑似漏洞进行验证和深度利用，详细记录测试过程、漏洞细节及利用方法；及时向汕头海关反馈测试进展，及时沟通测试过程中遇到的问题。​</w:t>
      </w:r>
    </w:p>
    <w:p>
      <w:pPr>
        <w:spacing w:line="560" w:lineRule="exact"/>
        <w:ind w:firstLineChars="200" w:firstLine="632"/>
      </w:pPr>
      <w:r>
        <w:t>（四）服务提供方对发现的漏洞进行分类整理，按照漏洞的严重程度（如高危、中危、低危、信息级）进行评级，评估每个漏洞可能对业务系统造成的影响（如数据泄露、系统瘫痪、业务中断）；将漏洞详情及风险评估结果反馈给汕头海关，双方共同确认漏洞的真实性和风险等级。​</w:t>
      </w:r>
    </w:p>
    <w:p>
      <w:pPr>
        <w:spacing w:line="560" w:lineRule="exact"/>
        <w:ind w:firstLineChars="200" w:firstLine="632"/>
      </w:pPr>
      <w:r>
        <w:t>（五）服务提供方根据测试结果编制详细的渗透测试报告，报告内容包括项目概述、测试范围、测试方法、测试结果（漏洞详情、风险等级、影响分析）、漏洞修复建议（具体修复步骤、修复优先级、验证方法）、安全加固建议（如系统配置优化、安全策略完善、员工安全培训）等；将测试报告初稿提交给汕头海关，根据汕头海关的反馈意见进行修改完善，形成最终版测试报告，正式交付给汕头海关。​</w:t>
      </w:r>
    </w:p>
    <w:p>
      <w:pPr>
        <w:spacing w:line="560" w:lineRule="exact"/>
        <w:ind w:firstLineChars="200" w:firstLine="632"/>
      </w:pPr>
      <w:r>
        <w:t>（六）服务提供方对修复后的漏洞进行验证，确认漏洞是否已成功修复，编制漏洞修复验证报告，提交给汕头海关。</w:t>
      </w:r>
    </w:p>
    <w:p>
      <w:pPr>
        <w:spacing w:line="560" w:lineRule="exact"/>
        <w:ind w:firstLineChars="200" w:firstLine="632"/>
      </w:pPr>
      <w:r>
        <w:t>（七）服务提供方须严格遵守安全保密义务，签署保密承诺书，严禁向第三方泄漏在服务过程中了解的汕头海关信息系统的有关情况和漏洞情况。</w:t>
      </w:r>
    </w:p>
    <w:p>
      <w:pPr>
        <w:spacing w:line="560" w:lineRule="exact"/>
        <w:ind w:firstLineChars="200" w:firstLine="632"/>
        <w:rPr>
          <w:rFonts w:eastAsia="方正黑体_GBK"/>
          <w:szCs w:val="32"/>
        </w:rPr>
      </w:pPr>
      <w:r>
        <w:rPr>
          <w:rFonts w:eastAsia="方正黑体_GBK"/>
          <w:szCs w:val="32"/>
        </w:rPr>
        <w:t>六、时间要求</w:t>
      </w:r>
    </w:p>
    <w:p>
      <w:pPr>
        <w:spacing w:line="560" w:lineRule="exact"/>
        <w:ind w:firstLineChars="200" w:firstLine="632"/>
      </w:pPr>
      <w:r>
        <w:t>服务期限1年。服务提供方应根据汕头海关的具体安排，在1年内提供累计不少于8次应用系统渗透测试、6次VPN设备安全基准检测的服务。</w:t>
      </w:r>
    </w:p>
    <w:p>
      <w:pPr>
        <w:spacing w:line="560" w:lineRule="exact"/>
        <w:jc w:val="left"/>
      </w:pPr>
    </w:p>
    <w:sectPr>
      <w:footerReference w:type="default" r:id="rId2"/>
      <w:footerReference w:type="even" r:id="rId3"/>
      <w:pgSz w:w="11907" w:h="16840"/>
      <w:pgMar w:top="2098" w:right="1474" w:bottom="1985" w:left="1588" w:header="1814" w:footer="1474" w:gutter="0"/>
      <w:pgNumType w:fmt="numberInDash" w:start="1"/>
      <w:docGrid w:type="linesAndChars" w:linePitch="580" w:charSpace="-84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方正黑体_GBK">
    <w:panose1 w:val="03000509000000000000"/>
    <w:charset w:val="86"/>
    <w:family w:val="script"/>
    <w:pitch w:val="variable"/>
    <w:sig w:usb0="00000001" w:usb1="080E0000" w:usb2="00000000" w:usb3="00000000" w:csb0="00040000" w:csb1="00000000"/>
  </w:font>
  <w:font w:name="黑体">
    <w:panose1 w:val="02010600030101010101"/>
    <w:charset w:val="86"/>
    <w:family w:val="auto"/>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仿宋_GBK">
    <w:altName w:val="Arial Unicode MS"/>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8"/>
      <w:framePr w:w="0" w:hRule="auto" w:wrap="around" w:vAnchor="text" w:hAnchor="margin" w:xAlign="outside" w:y="1" w:anchorLock="0"/>
      <w:pBdr>
        <w:top w:val="none" w:sz="0" w:space="0" w:color="auto"/>
        <w:left w:val="none" w:sz="0" w:space="0" w:color="auto"/>
        <w:bottom w:val="none" w:sz="0" w:space="0" w:color="auto"/>
        <w:right w:val="none" w:sz="0" w:space="0" w:color="auto"/>
      </w:pBdr>
      <w:tabs>
        <w:tab w:val="center" w:pos="4153"/>
        <w:tab w:val="right" w:pos="8307"/>
      </w:tabs>
      <w:rPr>
        <w:rFonts w:ascii="宋体" w:eastAsia="宋体" w:hint="eastAsia"/>
        <w:sz w:val="28"/>
      </w:rPr>
    </w:pPr>
    <w:r>
      <w:rPr>
        <w:rStyle w:val="22"/>
        <w:rFonts w:ascii="宋体" w:eastAsia="宋体" w:hint="eastAsia"/>
        <w:sz w:val="28"/>
      </w:rPr>
      <w:fldChar w:fldCharType="begin"/>
    </w:r>
    <w:r>
      <w:rPr>
        <w:rStyle w:val="22"/>
        <w:rFonts w:ascii="宋体" w:eastAsia="宋体" w:hint="eastAsia"/>
        <w:sz w:val="28"/>
      </w:rPr>
      <w:instrText>Page</w:instrText>
    </w:r>
    <w:r>
      <w:rPr>
        <w:rStyle w:val="22"/>
        <w:rFonts w:ascii="宋体" w:eastAsia="宋体" w:hint="eastAsia"/>
        <w:sz w:val="28"/>
      </w:rPr>
      <w:fldChar w:fldCharType="separate"/>
    </w:r>
    <w:r>
      <w:rPr>
        <w:rStyle w:val="22"/>
        <w:rFonts w:ascii="宋体" w:eastAsia="宋体" w:hint="eastAsia"/>
        <w:sz w:val="28"/>
      </w:rPr>
      <w:t>- 1 -</w:t>
    </w:r>
    <w:r>
      <w:rPr>
        <w:rStyle w:val="22"/>
        <w:rFonts w:ascii="宋体" w:eastAsia="宋体" w:hint="eastAsia"/>
        <w:sz w:val="28"/>
      </w:rPr>
      <w:fldChar w:fldCharType="end"/>
    </w:r>
  </w:p>
  <w:p>
    <w:pPr>
      <w:pStyle w:val="39"/>
      <w:ind w:right="360" w:firstLine="360"/>
      <w:rPr>
        <w:sz w:val="32"/>
        <w:szCs w:val="32"/>
      </w:rPr>
    </w:pPr>
    <w:r>
      <w:rPr>
        <w:sz w:val="32"/>
        <w:szCs w:val="32"/>
      </w:rPr>
      <w:tab/>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7"/>
      <w:framePr w:w="0" w:hRule="auto" w:wrap="around" w:vAnchor="text" w:hAnchor="margin" w:xAlign="outside"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0</w:t>
    </w:r>
    <w:r>
      <w:rPr>
        <w:rStyle w:val="22"/>
      </w:rPr>
      <w:fldChar w:fldCharType="end"/>
    </w:r>
  </w:p>
  <w:p>
    <w:pPr>
      <w:pStyle w:val="37"/>
      <w:tabs>
        <w:tab w:val="center" w:pos="4153"/>
        <w:tab w:val="right" w:pos="8307"/>
      </w:tabs>
      <w:ind w:right="360" w:firstLine="360"/>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FFFFF83"/>
    <w:multiLevelType w:val="singleLevel"/>
    <w:tmpl w:val="00000000"/>
    <w:lvl w:ilvl="0">
      <w:start w:val="1"/>
      <w:numFmt w:val="bullet"/>
      <w:lvlRestart w:val="0"/>
      <w:pStyle w:val="26"/>
      <w:lvlText w:val=""/>
      <w:lvlJc w:val="left"/>
      <w:pPr>
        <w:tabs>
          <w:tab w:val="num" w:pos="780"/>
        </w:tabs>
        <w:ind w:left="780" w:hanging="360"/>
      </w:pPr>
      <w:rPr>
        <w:rFonts w:ascii="Wingdings" w:hAnsi="Wingdings" w:hint="default"/>
      </w:rPr>
    </w:lvl>
  </w:abstractNum>
  <w:abstractNum w:abstractNumId="1">
    <w:nsid w:val="F754D190"/>
    <w:multiLevelType w:val="multilevel"/>
    <w:tmpl w:val="E3FE1FCA"/>
    <w:lvl w:ilvl="0">
      <w:start w:val="1"/>
      <w:numFmt w:val="decimal"/>
      <w:lvlRestart w:val="0"/>
      <w:lvlText w:val="B%1."/>
      <w:lvlJc w:val="left"/>
      <w:pPr>
        <w:tabs>
          <w:tab w:val="num" w:pos="425"/>
        </w:tabs>
        <w:ind w:left="425" w:hanging="425"/>
      </w:pPr>
      <w:rPr>
        <w:rFonts w:hint="eastAsia"/>
      </w:rPr>
    </w:lvl>
    <w:lvl w:ilvl="1">
      <w:start w:val="1"/>
      <w:numFmt w:val="decimal"/>
      <w:pStyle w:val="2"/>
      <w:lvlText w:val="%1.%2."/>
      <w:lvlJc w:val="left"/>
      <w:pPr>
        <w:tabs>
          <w:tab w:val="num" w:pos="720"/>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3"/>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7"/>
    <w:basedOn w:val="0"/>
    <w:autoRedefine/>
    <w:next w:val="0"/>
    <w:pPr>
      <w:ind w:left="2520"/>
    </w:pPr>
  </w:style>
  <w:style w:type="paragraph" w:styleId="16">
    <w:name w:val="index 9"/>
    <w:basedOn w:val="0"/>
    <w:autoRedefine/>
    <w:next w:val="0"/>
    <w:pPr>
      <w:ind w:left="3360"/>
    </w:pPr>
  </w:style>
  <w:style w:type="paragraph" w:styleId="17">
    <w:name w:val="toc 1"/>
    <w:basedOn w:val="0"/>
    <w:autoRedefine/>
    <w:next w:val="0"/>
  </w:style>
  <w:style w:type="paragraph" w:styleId="18">
    <w:name w:val="toc 6"/>
    <w:basedOn w:val="0"/>
    <w:autoRedefine/>
    <w:next w:val="0"/>
    <w:pPr>
      <w:ind w:left="2100"/>
    </w:pPr>
  </w:style>
  <w:style w:type="paragraph" w:styleId="19">
    <w:name w:val="Normal Indent"/>
    <w:next w:val="0"/>
    <w:pPr>
      <w:widowControl w:val="0"/>
      <w:ind w:firstLine="420"/>
      <w:jc w:val="both"/>
    </w:pPr>
    <w:rPr>
      <w:rFonts w:ascii="Times New Roman" w:eastAsia="宋体" w:cs="Times New Roman" w:hAnsi="Times New Roman"/>
      <w:kern w:val="2"/>
      <w:sz w:val="21"/>
      <w:szCs w:val="24"/>
      <w:lang w:val="en-US" w:eastAsia="zh-CN" w:bidi="ar-SA"/>
    </w:rPr>
  </w:style>
  <w:style w:type="paragraph" w:styleId="20">
    <w:name w:val="header"/>
    <w:basedOn w:val="0"/>
    <w:pPr>
      <w:pBdr>
        <w:bottom w:val="single" w:sz="6" w:space="1" w:color="auto"/>
      </w:pBdr>
      <w:tabs>
        <w:tab w:val="center" w:pos="4153"/>
        <w:tab w:val="right" w:pos="8307"/>
      </w:tabs>
      <w:snapToGrid w:val="0"/>
      <w:jc w:val="center"/>
    </w:pPr>
    <w:rPr>
      <w:sz w:val="18"/>
    </w:rPr>
  </w:style>
  <w:style w:type="paragraph" w:styleId="21">
    <w:name w:val="footer"/>
    <w:basedOn w:val="0"/>
    <w:pPr>
      <w:tabs>
        <w:tab w:val="center" w:pos="4153"/>
        <w:tab w:val="right" w:pos="8307"/>
      </w:tabs>
      <w:snapToGrid w:val="0"/>
      <w:jc w:val="left"/>
    </w:pPr>
    <w:rPr>
      <w:sz w:val="18"/>
    </w:rPr>
  </w:style>
  <w:style w:type="character" w:styleId="22">
    <w:name w:val="page number"/>
  </w:style>
  <w:style w:type="paragraph" w:styleId="23">
    <w:name w:val="List 2"/>
    <w:basedOn w:val="0"/>
    <w:pPr>
      <w:ind w:left="840" w:hanging="420"/>
    </w:pPr>
  </w:style>
  <w:style w:type="paragraph" w:styleId="24">
    <w:name w:val="List 3"/>
    <w:basedOn w:val="0"/>
    <w:pPr>
      <w:ind w:left="1260" w:hanging="420"/>
    </w:pPr>
  </w:style>
  <w:style w:type="paragraph" w:styleId="25">
    <w:name w:val="List 4"/>
    <w:basedOn w:val="0"/>
    <w:pPr>
      <w:ind w:left="1680" w:hanging="420"/>
    </w:pPr>
  </w:style>
  <w:style w:type="paragraph" w:styleId="26">
    <w:name w:val="List 5"/>
    <w:basedOn w:val="0"/>
    <w:pPr>
      <w:ind w:left="2100" w:hanging="420"/>
    </w:pPr>
  </w:style>
  <w:style w:type="paragraph" w:styleId="27">
    <w:name w:val="List Bullet 2"/>
    <w:basedOn w:val="0"/>
    <w:pPr>
      <w:numPr>
        <w:ilvl w:val="0"/>
        <w:numId w:val="1"/>
      </w:numPr>
    </w:pPr>
  </w:style>
  <w:style w:type="paragraph" w:customStyle="1" w:styleId="28">
    <w:name w:val="样式 1 小四"/>
    <w:next w:val="17"/>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29">
    <w:name w:val="样式 小二"/>
    <w:next w:val="16"/>
    <w:pPr>
      <w:keepNext/>
      <w:keepLines/>
      <w:widowControl w:val="0"/>
      <w:numPr>
        <w:ilvl w:val="1"/>
        <w:numId w:val="2"/>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 w:type="paragraph" w:customStyle="1" w:styleId="30">
    <w:name w:val="样式 8 三号"/>
    <w:next w:val="23"/>
    <w:pPr>
      <w:keepNext/>
      <w:keepLines/>
      <w:widowControl w:val="0"/>
      <w:numPr>
        <w:ilvl w:val="2"/>
        <w:numId w:val="2"/>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31">
    <w:name w:val="样式 10 小四"/>
    <w:next w:val="24"/>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2">
    <w:name w:val="样式 1 小二"/>
    <w:next w:val="25"/>
    <w:pPr>
      <w:keepNext/>
      <w:keepLines/>
      <w:widowControl w:val="0"/>
      <w:numPr>
        <w:ilvl w:val="1"/>
        <w:numId w:val="2"/>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 w:type="paragraph" w:customStyle="1" w:styleId="33">
    <w:name w:val="样式 11 小四"/>
    <w:next w:val="27"/>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4">
    <w:name w:val="样式 9 三号"/>
    <w:next w:val="26"/>
    <w:pPr>
      <w:keepNext/>
      <w:keepLines/>
      <w:widowControl w:val="0"/>
      <w:numPr>
        <w:ilvl w:val="2"/>
        <w:numId w:val="2"/>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35">
    <w:name w:val="样式 3 10 磅"/>
    <w:next w:val="19"/>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36">
    <w:name w:val="样式 10 10 磅"/>
    <w:next w:val="18"/>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小五"/>
    <w:pPr>
      <w:widowControl w:val="0"/>
      <w:tabs>
        <w:tab w:val="center" w:pos="4153"/>
        <w:tab w:val="right" w:pos="8307"/>
      </w:tabs>
      <w:snapToGrid w:val="0"/>
      <w:spacing w:line="240" w:lineRule="auto"/>
      <w:jc w:val="left"/>
    </w:pPr>
    <w:rPr>
      <w:rFonts w:ascii="Times New Roman" w:eastAsia="方正仿宋_GBK" w:cs="Times New Roman" w:hAnsi="Times New Roman"/>
      <w:kern w:val="2"/>
      <w:sz w:val="18"/>
      <w:szCs w:val="20"/>
      <w:lang w:val="en-US" w:eastAsia="zh-CN" w:bidi="ar-SA"/>
    </w:rPr>
  </w:style>
  <w:style w:type="paragraph" w:customStyle="1" w:styleId="38">
    <w:name w:val="样式 1 小五"/>
    <w:pPr>
      <w:widowControl w:val="0"/>
      <w:tabs>
        <w:tab w:val="center" w:pos="4153"/>
        <w:tab w:val="right" w:pos="8307"/>
      </w:tabs>
      <w:snapToGrid w:val="0"/>
      <w:spacing w:line="240" w:lineRule="auto"/>
      <w:jc w:val="left"/>
    </w:pPr>
    <w:rPr>
      <w:rFonts w:ascii="Times New Roman" w:eastAsia="方正仿宋_GBK" w:cs="Times New Roman" w:hAnsi="Times New Roman"/>
      <w:kern w:val="2"/>
      <w:sz w:val="18"/>
      <w:szCs w:val="20"/>
      <w:lang w:val="en-US" w:eastAsia="zh-CN" w:bidi="ar-SA"/>
    </w:rPr>
  </w:style>
  <w:style w:type="paragraph" w:customStyle="1" w:styleId="39">
    <w:name w:val="样式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40">
    <w:name w:val="样式 2 小二"/>
    <w:pPr>
      <w:keepNext/>
      <w:keepLines/>
      <w:widowControl w:val="0"/>
      <w:numPr>
        <w:ilvl w:val="1"/>
        <w:numId w:val="2"/>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7</TotalTime>
  <Application>Yozo_Office</Application>
  <Pages>4</Pages>
  <Words>1559</Words>
  <Characters>1573</Characters>
  <Lines>73</Lines>
  <Paragraphs>26</Paragraphs>
  <CharactersWithSpaces>1577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蔡晓淳</dc:creator>
  <cp:lastModifiedBy>董晓洁</cp:lastModifiedBy>
  <cp:revision>1</cp:revision>
  <dcterms:created xsi:type="dcterms:W3CDTF">2025-11-17T08:34:47Z</dcterms:created>
  <dcterms:modified xsi:type="dcterms:W3CDTF">2025-11-18T09:16:59Z</dcterms:modified>
</cp:coreProperties>
</file>