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方正小标宋_GBK" w:eastAsia="方正小标宋_GBK" w:hint="eastAsia"/>
          <w:sz w:val="44"/>
          <w:szCs w:val="44"/>
        </w:rPr>
      </w:pPr>
      <w:r>
        <w:rPr>
          <w:rFonts w:ascii="方正小标宋_GBK" w:eastAsia="方正小标宋_GBK" w:hint="eastAsia"/>
          <w:sz w:val="44"/>
          <w:szCs w:val="44"/>
        </w:rPr>
        <w:t>汕头海关电教室改造项目项目评分标准</w:t>
      </w:r>
    </w:p>
    <w:p>
      <w:pPr>
        <w:pStyle w:val="41"/>
        <w:spacing w:line="460" w:lineRule="exact"/>
        <w:ind w:firstLineChars="200" w:firstLine="640"/>
        <w:rPr>
          <w:rFonts w:eastAsia="方正仿宋_GBK"/>
          <w:bCs/>
          <w:color w:val="000000"/>
          <w:sz w:val="32"/>
          <w:szCs w:val="32"/>
        </w:rPr>
      </w:pPr>
      <w:r>
        <w:rPr>
          <w:rFonts w:eastAsia="方正仿宋_GBK"/>
          <w:bCs/>
          <w:color w:val="000000"/>
          <w:sz w:val="32"/>
          <w:szCs w:val="32"/>
        </w:rPr>
        <w:t>响应供应商需对《实质性条款响应表》中实质性条款的内容逐条响应。即《项目需求书》中打</w:t>
      </w:r>
      <w:r>
        <w:rPr>
          <w:rFonts w:ascii="方正仿宋_GBK" w:eastAsia="方正仿宋_GBK" w:hint="eastAsia"/>
          <w:bCs/>
          <w:color w:val="000000"/>
          <w:sz w:val="32"/>
          <w:szCs w:val="32"/>
        </w:rPr>
        <w:t>“★”项</w:t>
      </w:r>
      <w:r>
        <w:rPr>
          <w:rFonts w:eastAsia="方正仿宋_GBK"/>
          <w:bCs/>
          <w:color w:val="000000"/>
          <w:sz w:val="32"/>
          <w:szCs w:val="32"/>
        </w:rPr>
        <w:t>为不可负偏离（劣于）的重要项。</w:t>
      </w:r>
    </w:p>
    <w:p>
      <w:pPr>
        <w:spacing w:line="460" w:lineRule="exact"/>
        <w:ind w:firstLineChars="200" w:firstLine="640"/>
        <w:rPr>
          <w:rFonts w:eastAsia="方正仿宋_GBK"/>
          <w:bCs/>
          <w:color w:val="000000"/>
          <w:sz w:val="32"/>
          <w:szCs w:val="32"/>
        </w:rPr>
      </w:pPr>
      <w:r>
        <w:rPr>
          <w:rFonts w:eastAsia="方正仿宋_GBK"/>
          <w:bCs/>
          <w:color w:val="000000"/>
          <w:sz w:val="32"/>
          <w:szCs w:val="32"/>
        </w:rPr>
        <w:t>供应商必须对应《重</w:t>
      </w:r>
      <w:bookmarkStart w:id="0" w:name="_GoBack"/>
      <w:bookmarkEnd w:id="0"/>
      <w:r>
        <w:rPr>
          <w:rFonts w:eastAsia="方正仿宋_GBK"/>
          <w:bCs/>
          <w:color w:val="000000"/>
          <w:sz w:val="32"/>
          <w:szCs w:val="32"/>
        </w:rPr>
        <w:t>要条款响应表》中重要性条款的内容逐条响应，即</w:t>
      </w:r>
      <w:r>
        <w:rPr>
          <w:rFonts w:eastAsia="方正仿宋_GBK"/>
          <w:color w:val="000000"/>
          <w:sz w:val="32"/>
          <w:szCs w:val="32"/>
        </w:rPr>
        <w:t>《用户需求书》</w:t>
      </w:r>
      <w:r>
        <w:rPr>
          <w:rFonts w:ascii="方正仿宋_GBK" w:eastAsia="方正仿宋_GBK" w:hint="eastAsia"/>
          <w:color w:val="000000"/>
          <w:sz w:val="32"/>
          <w:szCs w:val="32"/>
        </w:rPr>
        <w:t>中</w:t>
      </w:r>
      <w:r>
        <w:rPr>
          <w:rFonts w:ascii="方正仿宋_GBK" w:eastAsia="方正仿宋_GBK" w:hint="eastAsia"/>
          <w:bCs/>
          <w:color w:val="000000"/>
          <w:sz w:val="32"/>
          <w:szCs w:val="32"/>
        </w:rPr>
        <w:t>打“▲”为重</w:t>
      </w:r>
      <w:r>
        <w:rPr>
          <w:rFonts w:eastAsia="方正仿宋_GBK"/>
          <w:bCs/>
          <w:color w:val="000000"/>
          <w:sz w:val="32"/>
          <w:szCs w:val="32"/>
        </w:rPr>
        <w:t>要技术参数，若有部</w:t>
      </w:r>
      <w:r>
        <w:rPr>
          <w:rFonts w:ascii="方正仿宋_GBK" w:eastAsia="方正仿宋_GBK" w:hint="eastAsia"/>
          <w:bCs/>
          <w:color w:val="000000"/>
          <w:sz w:val="32"/>
          <w:szCs w:val="32"/>
        </w:rPr>
        <w:t>分“▲”未</w:t>
      </w:r>
      <w:r>
        <w:rPr>
          <w:rFonts w:eastAsia="方正仿宋_GBK"/>
          <w:bCs/>
          <w:color w:val="000000"/>
          <w:sz w:val="32"/>
          <w:szCs w:val="32"/>
        </w:rPr>
        <w:t>响应或不满足，将根据评审要求影响下述评分标准第4、5、6项打分，但不作为无效投标条款。</w:t>
      </w:r>
    </w:p>
    <w:p>
      <w:pPr>
        <w:spacing w:line="460" w:lineRule="exact"/>
        <w:ind w:left="0"/>
        <w:jc w:val="center"/>
        <w:rPr>
          <w:rFonts w:eastAsia="方正仿宋_GBK"/>
          <w:sz w:val="32"/>
          <w:szCs w:val="32"/>
        </w:rPr>
      </w:pPr>
    </w:p>
    <w:tbl>
      <w:tblPr>
        <w:jc w:val="center"/>
        <w:tblW w:w="918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
      <w:tblGrid>
        <w:gridCol w:w="858"/>
        <w:gridCol w:w="1470"/>
        <w:gridCol w:w="6004"/>
        <w:gridCol w:w="850"/>
      </w:tblGrid>
      <w:tr>
        <w:trPr>
          <w:trHeight w:val="883"/>
        </w:trPr>
        <w:tc>
          <w:tcPr>
            <w:tcW w:w="858" w:type="dxa"/>
            <w:tcBorders>
              <w:top w:val="single" w:sz="8" w:space="0" w:color="auto"/>
              <w:left w:val="single" w:sz="8" w:space="0" w:color="auto"/>
              <w:bottom w:val="single" w:sz="8" w:space="0" w:color="auto"/>
              <w:right w:val="single" w:sz="8" w:space="0" w:color="auto"/>
            </w:tcBorders>
            <w:vAlign w:val="center"/>
          </w:tcPr>
          <w:p>
            <w:pPr>
              <w:pStyle w:val="34"/>
              <w:spacing w:line="400" w:lineRule="exact"/>
              <w:ind w:leftChars="-37" w:left="-78" w:rightChars="-35" w:right="-73"/>
              <w:jc w:val="center"/>
              <w:rPr>
                <w:rFonts w:ascii="方正黑体_GBK" w:eastAsia="方正黑体_GBK" w:hint="eastAsia"/>
                <w:sz w:val="24"/>
                <w:szCs w:val="24"/>
              </w:rPr>
            </w:pPr>
            <w:r>
              <w:rPr>
                <w:rFonts w:ascii="方正黑体_GBK" w:eastAsia="方正黑体_GBK" w:hint="eastAsia"/>
                <w:sz w:val="24"/>
                <w:szCs w:val="24"/>
              </w:rPr>
              <w:t>序号</w:t>
            </w:r>
          </w:p>
        </w:tc>
        <w:tc>
          <w:tcPr>
            <w:tcW w:w="1470" w:type="dxa"/>
            <w:tcBorders>
              <w:top w:val="single" w:sz="8" w:space="0" w:color="auto"/>
              <w:left w:val="single" w:sz="8" w:space="0" w:color="auto"/>
              <w:bottom w:val="single" w:sz="8" w:space="0" w:color="auto"/>
              <w:right w:val="single" w:sz="8" w:space="0" w:color="auto"/>
            </w:tcBorders>
            <w:vAlign w:val="center"/>
          </w:tcPr>
          <w:p>
            <w:pPr>
              <w:pStyle w:val="32"/>
              <w:spacing w:line="400" w:lineRule="exact"/>
              <w:ind w:leftChars="-37" w:left="-78" w:rightChars="-35" w:right="-73"/>
              <w:jc w:val="center"/>
              <w:rPr>
                <w:rFonts w:ascii="方正黑体_GBK" w:eastAsia="方正黑体_GBK" w:hint="eastAsia"/>
                <w:sz w:val="24"/>
                <w:szCs w:val="24"/>
              </w:rPr>
            </w:pPr>
            <w:r>
              <w:rPr>
                <w:rFonts w:ascii="方正黑体_GBK" w:eastAsia="方正黑体_GBK" w:hint="eastAsia"/>
                <w:sz w:val="24"/>
                <w:szCs w:val="24"/>
              </w:rPr>
              <w:t>评审内容</w:t>
            </w:r>
          </w:p>
        </w:tc>
        <w:tc>
          <w:tcPr>
            <w:tcW w:w="6004" w:type="dxa"/>
            <w:tcBorders>
              <w:top w:val="single" w:sz="8" w:space="0" w:color="auto"/>
              <w:left w:val="single" w:sz="8" w:space="0" w:color="auto"/>
              <w:bottom w:val="single" w:sz="8" w:space="0" w:color="auto"/>
              <w:right w:val="single" w:sz="8" w:space="0" w:color="auto"/>
            </w:tcBorders>
            <w:vAlign w:val="center"/>
          </w:tcPr>
          <w:p>
            <w:pPr>
              <w:pStyle w:val="31"/>
              <w:spacing w:line="400" w:lineRule="exact"/>
              <w:ind w:leftChars="-37" w:left="-78" w:rightChars="-35" w:right="-73"/>
              <w:jc w:val="center"/>
              <w:rPr>
                <w:rFonts w:ascii="方正黑体_GBK" w:eastAsia="方正黑体_GBK" w:hint="eastAsia"/>
                <w:sz w:val="24"/>
                <w:szCs w:val="24"/>
              </w:rPr>
            </w:pPr>
            <w:r>
              <w:rPr>
                <w:rFonts w:ascii="方正黑体_GBK" w:eastAsia="方正黑体_GBK" w:hint="eastAsia"/>
                <w:sz w:val="24"/>
                <w:szCs w:val="24"/>
              </w:rPr>
              <w:t>评分细则</w:t>
            </w:r>
          </w:p>
        </w:tc>
        <w:tc>
          <w:tcPr>
            <w:tcW w:w="850" w:type="dxa"/>
            <w:tcBorders>
              <w:top w:val="single" w:sz="8" w:space="0" w:color="auto"/>
              <w:left w:val="single" w:sz="4" w:space="0" w:color="auto"/>
              <w:bottom w:val="single" w:sz="8" w:space="0" w:color="auto"/>
              <w:right w:val="single" w:sz="8" w:space="0" w:color="auto"/>
            </w:tcBorders>
            <w:vAlign w:val="center"/>
          </w:tcPr>
          <w:p>
            <w:pPr>
              <w:pStyle w:val="33"/>
              <w:spacing w:line="400" w:lineRule="exact"/>
              <w:ind w:leftChars="-37" w:left="-78" w:rightChars="-35" w:right="-73"/>
              <w:jc w:val="center"/>
              <w:rPr>
                <w:rFonts w:ascii="方正黑体_GBK" w:eastAsia="方正黑体_GBK" w:hint="eastAsia"/>
                <w:sz w:val="24"/>
                <w:szCs w:val="24"/>
              </w:rPr>
            </w:pPr>
            <w:r>
              <w:rPr>
                <w:rFonts w:ascii="方正黑体_GBK" w:eastAsia="方正黑体_GBK" w:hint="eastAsia"/>
                <w:sz w:val="24"/>
                <w:szCs w:val="24"/>
              </w:rPr>
              <w:t>分值</w:t>
            </w:r>
          </w:p>
        </w:tc>
      </w:tr>
      <w:tr>
        <w:trPr>
          <w:trHeight w:val="882"/>
        </w:trPr>
        <w:tc>
          <w:tcPr>
            <w:tcW w:w="858" w:type="dxa"/>
            <w:tcBorders>
              <w:top w:val="single" w:sz="8" w:space="0" w:color="auto"/>
              <w:left w:val="single" w:sz="8" w:space="0" w:color="auto"/>
              <w:bottom w:val="single" w:sz="8" w:space="0" w:color="auto"/>
              <w:right w:val="single" w:sz="8" w:space="0" w:color="auto"/>
            </w:tcBorders>
            <w:vAlign w:val="center"/>
          </w:tcPr>
          <w:p>
            <w:pPr>
              <w:pStyle w:val="34"/>
              <w:spacing w:line="320" w:lineRule="exact"/>
              <w:ind w:leftChars="-37" w:left="-78" w:rightChars="-35" w:right="-73"/>
              <w:jc w:val="center"/>
              <w:rPr>
                <w:rFonts w:eastAsia="方正仿宋_GBK"/>
                <w:color w:val="000000"/>
                <w:sz w:val="24"/>
                <w:szCs w:val="24"/>
              </w:rPr>
            </w:pPr>
            <w:r>
              <w:rPr>
                <w:rFonts w:eastAsia="方正仿宋_GBK"/>
                <w:color w:val="000000"/>
                <w:sz w:val="24"/>
                <w:szCs w:val="24"/>
              </w:rPr>
              <w:t>1</w:t>
            </w:r>
          </w:p>
        </w:tc>
        <w:tc>
          <w:tcPr>
            <w:tcW w:w="1470" w:type="dxa"/>
            <w:tcBorders>
              <w:top w:val="single" w:sz="8" w:space="0" w:color="auto"/>
              <w:left w:val="single" w:sz="8" w:space="0" w:color="auto"/>
              <w:bottom w:val="single" w:sz="8" w:space="0" w:color="auto"/>
              <w:right w:val="single" w:sz="8" w:space="0" w:color="auto"/>
            </w:tcBorders>
            <w:vAlign w:val="center"/>
          </w:tcPr>
          <w:p>
            <w:pPr>
              <w:pStyle w:val="27"/>
              <w:spacing w:line="320" w:lineRule="exact"/>
              <w:jc w:val="center"/>
              <w:rPr>
                <w:rFonts w:eastAsia="方正仿宋_GBK"/>
                <w:bCs/>
                <w:color w:val="000000"/>
                <w:sz w:val="24"/>
                <w:szCs w:val="24"/>
              </w:rPr>
            </w:pPr>
            <w:r>
              <w:rPr>
                <w:rFonts w:eastAsia="方正仿宋_GBK"/>
                <w:bCs/>
                <w:color w:val="000000"/>
                <w:sz w:val="24"/>
                <w:szCs w:val="24"/>
              </w:rPr>
              <w:t>企业认证证书</w:t>
            </w:r>
          </w:p>
        </w:tc>
        <w:tc>
          <w:tcPr>
            <w:tcW w:w="6004" w:type="dxa"/>
            <w:tcBorders>
              <w:top w:val="single" w:sz="8" w:space="0" w:color="auto"/>
              <w:left w:val="single" w:sz="8" w:space="0" w:color="auto"/>
              <w:bottom w:val="single" w:sz="8" w:space="0" w:color="auto"/>
              <w:right w:val="single" w:sz="8" w:space="0" w:color="auto"/>
            </w:tcBorders>
            <w:vAlign w:val="center"/>
          </w:tcPr>
          <w:p>
            <w:pPr>
              <w:pStyle w:val="25"/>
              <w:spacing w:line="320" w:lineRule="exact"/>
              <w:rPr>
                <w:rFonts w:eastAsia="方正仿宋_GBK"/>
                <w:bCs/>
                <w:color w:val="000000"/>
                <w:kern w:val="2"/>
                <w:sz w:val="24"/>
                <w:szCs w:val="24"/>
              </w:rPr>
            </w:pPr>
            <w:r>
              <w:rPr>
                <w:rFonts w:eastAsia="方正仿宋_GBK"/>
                <w:bCs/>
                <w:color w:val="000000"/>
                <w:kern w:val="2"/>
                <w:sz w:val="24"/>
                <w:szCs w:val="24"/>
              </w:rPr>
              <w:t>响应供应商提供有效的质量管理体系认证证书、环境管理体系认证证书、职业健康安全管理体系认证证书，每提供一个得2分。</w:t>
            </w:r>
          </w:p>
          <w:p>
            <w:pPr>
              <w:pStyle w:val="24"/>
              <w:spacing w:line="320" w:lineRule="exact"/>
              <w:rPr>
                <w:rFonts w:eastAsia="方正仿宋_GBK"/>
                <w:bCs/>
                <w:color w:val="000000"/>
                <w:kern w:val="2"/>
                <w:sz w:val="24"/>
                <w:szCs w:val="24"/>
              </w:rPr>
            </w:pPr>
            <w:r>
              <w:rPr>
                <w:rFonts w:eastAsia="方正仿宋_GBK"/>
                <w:bCs/>
                <w:color w:val="000000"/>
                <w:kern w:val="2"/>
                <w:sz w:val="24"/>
                <w:szCs w:val="24"/>
              </w:rPr>
              <w:t>注：本项最高得6分。须提供相应证书复印件并加盖公章，不提的不得分。</w:t>
            </w:r>
          </w:p>
        </w:tc>
        <w:tc>
          <w:tcPr>
            <w:tcW w:w="850" w:type="dxa"/>
            <w:tcBorders>
              <w:top w:val="single" w:sz="8" w:space="0" w:color="auto"/>
              <w:left w:val="single" w:sz="4" w:space="0" w:color="auto"/>
              <w:bottom w:val="single" w:sz="8" w:space="0" w:color="auto"/>
              <w:right w:val="single" w:sz="8" w:space="0" w:color="auto"/>
            </w:tcBorders>
            <w:vAlign w:val="center"/>
          </w:tcPr>
          <w:p>
            <w:pPr>
              <w:pStyle w:val="33"/>
              <w:spacing w:line="320" w:lineRule="exact"/>
              <w:ind w:leftChars="-37" w:left="-78" w:rightChars="-35" w:right="-73"/>
              <w:jc w:val="center"/>
              <w:rPr>
                <w:rFonts w:eastAsia="方正仿宋_GBK"/>
              </w:rPr>
            </w:pPr>
            <w:r>
              <w:rPr>
                <w:rFonts w:eastAsia="方正仿宋_GBK"/>
              </w:rPr>
              <w:t>6</w:t>
            </w:r>
          </w:p>
        </w:tc>
      </w:tr>
      <w:tr>
        <w:trPr>
          <w:trHeight w:val="882"/>
        </w:trPr>
        <w:tc>
          <w:tcPr>
            <w:tcW w:w="858" w:type="dxa"/>
            <w:tcBorders>
              <w:top w:val="single" w:sz="8" w:space="0" w:color="auto"/>
              <w:left w:val="single" w:sz="8" w:space="0" w:color="auto"/>
              <w:bottom w:val="single" w:sz="8" w:space="0" w:color="auto"/>
              <w:right w:val="single" w:sz="8" w:space="0" w:color="auto"/>
            </w:tcBorders>
            <w:vAlign w:val="center"/>
          </w:tcPr>
          <w:p>
            <w:pPr>
              <w:pStyle w:val="34"/>
              <w:spacing w:line="320" w:lineRule="exact"/>
              <w:ind w:leftChars="-37" w:left="-78" w:rightChars="-35" w:right="-73"/>
              <w:jc w:val="center"/>
              <w:rPr>
                <w:rFonts w:eastAsia="方正仿宋_GBK"/>
                <w:color w:val="000000"/>
                <w:sz w:val="24"/>
                <w:szCs w:val="24"/>
              </w:rPr>
            </w:pPr>
            <w:r>
              <w:rPr>
                <w:rFonts w:eastAsia="方正仿宋_GBK"/>
                <w:color w:val="000000"/>
                <w:sz w:val="24"/>
                <w:szCs w:val="24"/>
              </w:rPr>
              <w:t>2</w:t>
            </w:r>
          </w:p>
        </w:tc>
        <w:tc>
          <w:tcPr>
            <w:tcW w:w="1470" w:type="dxa"/>
            <w:tcBorders>
              <w:top w:val="single" w:sz="8" w:space="0" w:color="auto"/>
              <w:left w:val="single" w:sz="8" w:space="0" w:color="auto"/>
              <w:bottom w:val="single" w:sz="8" w:space="0" w:color="auto"/>
              <w:right w:val="single" w:sz="8" w:space="0" w:color="auto"/>
            </w:tcBorders>
            <w:vAlign w:val="center"/>
          </w:tcPr>
          <w:p>
            <w:pPr>
              <w:pStyle w:val="29"/>
              <w:spacing w:line="320" w:lineRule="exact"/>
              <w:jc w:val="center"/>
              <w:rPr>
                <w:rFonts w:eastAsia="方正仿宋_GBK"/>
                <w:color w:val="000000"/>
                <w:sz w:val="24"/>
                <w:szCs w:val="24"/>
              </w:rPr>
            </w:pPr>
            <w:r>
              <w:rPr>
                <w:rFonts w:eastAsia="方正仿宋_GBK"/>
                <w:color w:val="000000"/>
                <w:sz w:val="24"/>
                <w:szCs w:val="24"/>
              </w:rPr>
              <w:t>同类业绩</w:t>
            </w:r>
          </w:p>
        </w:tc>
        <w:tc>
          <w:tcPr>
            <w:tcW w:w="6004" w:type="dxa"/>
            <w:tcBorders>
              <w:top w:val="single" w:sz="8" w:space="0" w:color="auto"/>
              <w:left w:val="single" w:sz="8" w:space="0" w:color="auto"/>
              <w:bottom w:val="single" w:sz="8" w:space="0" w:color="auto"/>
              <w:right w:val="single" w:sz="8" w:space="0" w:color="auto"/>
            </w:tcBorders>
            <w:vAlign w:val="center"/>
          </w:tcPr>
          <w:p>
            <w:pPr>
              <w:pStyle w:val="25"/>
              <w:spacing w:line="320" w:lineRule="exact"/>
              <w:rPr>
                <w:rFonts w:eastAsia="方正仿宋_GBK"/>
                <w:bCs/>
                <w:color w:val="000000"/>
                <w:kern w:val="2"/>
                <w:sz w:val="24"/>
                <w:szCs w:val="24"/>
              </w:rPr>
            </w:pPr>
            <w:r>
              <w:rPr>
                <w:rFonts w:eastAsia="方正仿宋_GBK"/>
                <w:bCs/>
                <w:color w:val="000000"/>
                <w:kern w:val="2"/>
                <w:sz w:val="24"/>
                <w:szCs w:val="24"/>
              </w:rPr>
              <w:t>自2022年1月1日起至提交响应文件截止之日（以合同签订时间为准）供应商承接过同类电教室或教室装修装饰工程的，每提供一个得2分。</w:t>
            </w:r>
          </w:p>
          <w:p>
            <w:pPr>
              <w:pStyle w:val="25"/>
              <w:spacing w:line="320" w:lineRule="exact"/>
              <w:rPr>
                <w:rFonts w:eastAsia="方正仿宋_GBK"/>
                <w:color w:val="000000"/>
                <w:sz w:val="24"/>
                <w:szCs w:val="24"/>
              </w:rPr>
            </w:pPr>
            <w:r>
              <w:rPr>
                <w:rFonts w:eastAsia="方正仿宋_GBK"/>
                <w:bCs/>
                <w:color w:val="000000"/>
                <w:kern w:val="2"/>
                <w:sz w:val="24"/>
                <w:szCs w:val="24"/>
              </w:rPr>
              <w:t>注：本项最高得10分。须提供合同复印件并加盖公章，不提供的不得分。</w:t>
            </w:r>
          </w:p>
        </w:tc>
        <w:tc>
          <w:tcPr>
            <w:tcW w:w="850" w:type="dxa"/>
            <w:tcBorders>
              <w:top w:val="single" w:sz="8" w:space="0" w:color="auto"/>
              <w:left w:val="single" w:sz="4" w:space="0" w:color="auto"/>
              <w:bottom w:val="single" w:sz="8" w:space="0" w:color="auto"/>
              <w:right w:val="single" w:sz="8" w:space="0" w:color="auto"/>
            </w:tcBorders>
            <w:vAlign w:val="center"/>
          </w:tcPr>
          <w:p>
            <w:pPr>
              <w:pStyle w:val="33"/>
              <w:spacing w:line="320" w:lineRule="exact"/>
              <w:ind w:leftChars="-37" w:left="-78" w:rightChars="-35" w:right="-73"/>
              <w:jc w:val="center"/>
              <w:rPr>
                <w:rFonts w:eastAsia="方正仿宋_GBK"/>
              </w:rPr>
            </w:pPr>
            <w:r>
              <w:rPr>
                <w:rFonts w:eastAsia="方正仿宋_GBK"/>
              </w:rPr>
              <w:t>10</w:t>
            </w:r>
          </w:p>
        </w:tc>
      </w:tr>
      <w:tr>
        <w:trPr>
          <w:trHeight w:val="1072"/>
        </w:trPr>
        <w:tc>
          <w:tcPr>
            <w:tcW w:w="858" w:type="dxa"/>
            <w:tcBorders>
              <w:top w:val="single" w:sz="8" w:space="0" w:color="auto"/>
              <w:left w:val="single" w:sz="8" w:space="0" w:color="auto"/>
              <w:bottom w:val="single" w:sz="8" w:space="0" w:color="auto"/>
              <w:right w:val="single" w:sz="8" w:space="0" w:color="auto"/>
            </w:tcBorders>
            <w:vAlign w:val="center"/>
          </w:tcPr>
          <w:p>
            <w:pPr>
              <w:pStyle w:val="23"/>
              <w:adjustRightInd w:val="0"/>
              <w:snapToGrid w:val="0"/>
              <w:spacing w:line="320" w:lineRule="exact"/>
              <w:jc w:val="center"/>
              <w:rPr>
                <w:rFonts w:eastAsia="方正仿宋_GBK"/>
                <w:color w:val="000000"/>
                <w:sz w:val="24"/>
                <w:szCs w:val="24"/>
              </w:rPr>
            </w:pPr>
            <w:r>
              <w:rPr>
                <w:rFonts w:eastAsia="方正仿宋_GBK"/>
                <w:color w:val="000000"/>
                <w:sz w:val="24"/>
                <w:szCs w:val="24"/>
              </w:rPr>
              <w:t>3</w:t>
            </w:r>
          </w:p>
        </w:tc>
        <w:tc>
          <w:tcPr>
            <w:tcW w:w="1470" w:type="dxa"/>
            <w:tcBorders>
              <w:top w:val="single" w:sz="8" w:space="0" w:color="auto"/>
              <w:left w:val="single" w:sz="8" w:space="0" w:color="auto"/>
              <w:bottom w:val="single" w:sz="8" w:space="0" w:color="auto"/>
              <w:right w:val="single" w:sz="8" w:space="0" w:color="auto"/>
            </w:tcBorders>
            <w:vAlign w:val="center"/>
          </w:tcPr>
          <w:p>
            <w:pPr>
              <w:spacing w:line="320" w:lineRule="exact"/>
              <w:jc w:val="center"/>
              <w:rPr>
                <w:rFonts w:eastAsia="方正仿宋_GBK"/>
              </w:rPr>
            </w:pPr>
            <w:r>
              <w:rPr>
                <w:rFonts w:eastAsia="方正仿宋_GBK"/>
              </w:rPr>
              <w:t>重点技术参数响应</w:t>
            </w:r>
          </w:p>
        </w:tc>
        <w:tc>
          <w:tcPr>
            <w:tcW w:w="6004" w:type="dxa"/>
            <w:tcBorders>
              <w:top w:val="single" w:sz="8" w:space="0" w:color="auto"/>
              <w:left w:val="single" w:sz="8" w:space="0" w:color="auto"/>
              <w:bottom w:val="single" w:sz="8" w:space="0" w:color="auto"/>
              <w:right w:val="single" w:sz="8" w:space="0" w:color="auto"/>
            </w:tcBorders>
            <w:vAlign w:val="center"/>
          </w:tcPr>
          <w:p>
            <w:pPr>
              <w:pStyle w:val="28"/>
              <w:spacing w:line="320" w:lineRule="exact"/>
              <w:rPr>
                <w:rFonts w:eastAsia="方正仿宋_GBK"/>
                <w:color w:val="000000"/>
                <w:sz w:val="24"/>
                <w:szCs w:val="24"/>
              </w:rPr>
            </w:pPr>
            <w:r>
              <w:rPr>
                <w:rFonts w:eastAsia="方正仿宋_GBK"/>
                <w:color w:val="000000"/>
                <w:sz w:val="24"/>
                <w:szCs w:val="24"/>
              </w:rPr>
              <w:t>依据投标人对投标产品详细的逐点技术参数指标响应情况评分： 每一项带▲技术参数正偏离或无偏离或满足得0.5分；本项最高得20分；注：磋商文件中标注“ ▲”的参数均为重要技术、商务参数，报价文件中须提供磋商文件中要求提供参数的相关证明文件并标注证明文件所在页码。</w:t>
            </w:r>
          </w:p>
        </w:tc>
        <w:tc>
          <w:tcPr>
            <w:tcW w:w="850" w:type="dxa"/>
            <w:tcBorders>
              <w:top w:val="single" w:sz="8" w:space="0" w:color="auto"/>
              <w:left w:val="single" w:sz="4" w:space="0" w:color="auto"/>
              <w:bottom w:val="single" w:sz="8" w:space="0" w:color="auto"/>
              <w:right w:val="single" w:sz="8" w:space="0" w:color="auto"/>
            </w:tcBorders>
            <w:vAlign w:val="center"/>
          </w:tcPr>
          <w:p>
            <w:pPr>
              <w:pStyle w:val="33"/>
              <w:spacing w:line="320" w:lineRule="exact"/>
              <w:ind w:leftChars="-37" w:left="-78" w:rightChars="-35" w:right="-73"/>
              <w:jc w:val="center"/>
              <w:rPr>
                <w:rFonts w:eastAsia="方正仿宋_GBK"/>
              </w:rPr>
            </w:pPr>
            <w:r>
              <w:rPr>
                <w:rFonts w:eastAsia="方正仿宋_GBK"/>
              </w:rPr>
              <w:t>20</w:t>
            </w:r>
          </w:p>
        </w:tc>
      </w:tr>
      <w:tr>
        <w:trPr>
          <w:trHeight w:val="2754"/>
        </w:trPr>
        <w:tc>
          <w:tcPr>
            <w:tcW w:w="858" w:type="dxa"/>
            <w:tcBorders>
              <w:top w:val="single" w:sz="8" w:space="0" w:color="auto"/>
              <w:left w:val="single" w:sz="8" w:space="0" w:color="auto"/>
              <w:bottom w:val="single" w:sz="8" w:space="0" w:color="auto"/>
              <w:right w:val="single" w:sz="8" w:space="0" w:color="auto"/>
            </w:tcBorders>
            <w:vAlign w:val="center"/>
          </w:tcPr>
          <w:p>
            <w:pPr>
              <w:pStyle w:val="23"/>
              <w:adjustRightInd w:val="0"/>
              <w:snapToGrid w:val="0"/>
              <w:spacing w:line="320" w:lineRule="exact"/>
              <w:jc w:val="center"/>
              <w:rPr>
                <w:rFonts w:eastAsia="方正仿宋_GBK"/>
                <w:color w:val="000000"/>
                <w:sz w:val="24"/>
                <w:szCs w:val="24"/>
              </w:rPr>
            </w:pPr>
            <w:r>
              <w:rPr>
                <w:rFonts w:eastAsia="方正仿宋_GBK"/>
                <w:color w:val="000000"/>
                <w:sz w:val="24"/>
                <w:szCs w:val="24"/>
              </w:rPr>
              <w:t>4</w:t>
            </w:r>
          </w:p>
        </w:tc>
        <w:tc>
          <w:tcPr>
            <w:tcW w:w="1470" w:type="dxa"/>
            <w:tcBorders>
              <w:top w:val="single" w:sz="8" w:space="0" w:color="auto"/>
              <w:left w:val="single" w:sz="8" w:space="0" w:color="auto"/>
              <w:bottom w:val="single" w:sz="8" w:space="0" w:color="auto"/>
              <w:right w:val="single" w:sz="8" w:space="0" w:color="auto"/>
            </w:tcBorders>
            <w:vAlign w:val="center"/>
          </w:tcPr>
          <w:p>
            <w:pPr>
              <w:pStyle w:val="22"/>
              <w:spacing w:line="320" w:lineRule="exact"/>
              <w:jc w:val="center"/>
              <w:rPr>
                <w:rFonts w:eastAsia="方正仿宋_GBK"/>
                <w:bCs/>
                <w:color w:val="000000"/>
                <w:sz w:val="24"/>
                <w:szCs w:val="24"/>
              </w:rPr>
            </w:pPr>
            <w:r>
              <w:rPr>
                <w:rFonts w:eastAsia="方正仿宋_GBK"/>
                <w:color w:val="000000"/>
                <w:sz w:val="24"/>
                <w:szCs w:val="24"/>
              </w:rPr>
              <w:t>应急响应</w:t>
            </w:r>
          </w:p>
        </w:tc>
        <w:tc>
          <w:tcPr>
            <w:tcW w:w="6004" w:type="dxa"/>
            <w:tcBorders>
              <w:top w:val="single" w:sz="8" w:space="0" w:color="auto"/>
              <w:left w:val="single" w:sz="8" w:space="0" w:color="auto"/>
              <w:bottom w:val="single" w:sz="8" w:space="0" w:color="auto"/>
              <w:right w:val="single" w:sz="8" w:space="0" w:color="auto"/>
            </w:tcBorders>
            <w:vAlign w:val="center"/>
          </w:tcPr>
          <w:p>
            <w:pPr>
              <w:pStyle w:val="28"/>
              <w:spacing w:line="320" w:lineRule="exact"/>
              <w:rPr>
                <w:rFonts w:eastAsia="方正仿宋_GBK"/>
                <w:color w:val="000000"/>
                <w:sz w:val="24"/>
                <w:szCs w:val="24"/>
              </w:rPr>
            </w:pPr>
            <w:r>
              <w:rPr>
                <w:rFonts w:eastAsia="方正仿宋_GBK"/>
                <w:color w:val="000000"/>
                <w:sz w:val="24"/>
                <w:szCs w:val="24"/>
              </w:rPr>
              <w:t>针对该项目的应急响应情况，若</w:t>
            </w:r>
            <w:r>
              <w:rPr>
                <w:rFonts w:eastAsia="方正仿宋_GBK"/>
                <w:bCs/>
                <w:color w:val="000000"/>
                <w:sz w:val="24"/>
                <w:szCs w:val="24"/>
              </w:rPr>
              <w:t>响应</w:t>
            </w:r>
            <w:r>
              <w:rPr>
                <w:rFonts w:eastAsia="方正仿宋_GBK"/>
                <w:color w:val="000000"/>
                <w:sz w:val="24"/>
                <w:szCs w:val="24"/>
              </w:rPr>
              <w:t>供应商承诺的应急响应满足或优于采购要求（远程支持、紧急故障、一般故障、日常巡检），则可进行得分：</w:t>
            </w:r>
          </w:p>
          <w:p>
            <w:pPr>
              <w:pStyle w:val="28"/>
              <w:spacing w:line="320" w:lineRule="exact"/>
              <w:rPr>
                <w:rFonts w:eastAsia="方正仿宋_GBK"/>
                <w:color w:val="000000"/>
                <w:sz w:val="24"/>
                <w:szCs w:val="24"/>
              </w:rPr>
            </w:pPr>
            <w:r>
              <w:rPr>
                <w:rFonts w:eastAsia="方正仿宋_GBK"/>
                <w:color w:val="000000"/>
                <w:sz w:val="24"/>
                <w:szCs w:val="24"/>
              </w:rPr>
              <w:t>四项全部满足采购要求，则每一项得2.5分，共10分；</w:t>
            </w:r>
          </w:p>
          <w:p>
            <w:pPr>
              <w:pStyle w:val="28"/>
              <w:spacing w:line="320" w:lineRule="exact"/>
              <w:rPr>
                <w:rFonts w:eastAsia="方正仿宋_GBK"/>
                <w:color w:val="000000"/>
                <w:sz w:val="24"/>
                <w:szCs w:val="24"/>
              </w:rPr>
            </w:pPr>
            <w:r>
              <w:rPr>
                <w:rFonts w:eastAsia="方正仿宋_GBK"/>
                <w:color w:val="000000"/>
                <w:sz w:val="24"/>
                <w:szCs w:val="24"/>
              </w:rPr>
              <w:t>此项最高得10分。</w:t>
            </w:r>
          </w:p>
          <w:p>
            <w:pPr>
              <w:pStyle w:val="28"/>
              <w:spacing w:line="320" w:lineRule="exact"/>
              <w:rPr>
                <w:rFonts w:eastAsia="方正仿宋_GBK"/>
                <w:color w:val="000000"/>
                <w:sz w:val="24"/>
                <w:szCs w:val="24"/>
              </w:rPr>
            </w:pPr>
          </w:p>
        </w:tc>
        <w:tc>
          <w:tcPr>
            <w:tcW w:w="850" w:type="dxa"/>
            <w:tcBorders>
              <w:top w:val="single" w:sz="8" w:space="0" w:color="auto"/>
              <w:left w:val="single" w:sz="4" w:space="0" w:color="auto"/>
              <w:bottom w:val="single" w:sz="8" w:space="0" w:color="auto"/>
              <w:right w:val="single" w:sz="8" w:space="0" w:color="auto"/>
            </w:tcBorders>
            <w:vAlign w:val="center"/>
          </w:tcPr>
          <w:p>
            <w:pPr>
              <w:pStyle w:val="33"/>
              <w:spacing w:line="320" w:lineRule="exact"/>
              <w:ind w:leftChars="-37" w:left="-78" w:rightChars="-35" w:right="-73"/>
              <w:jc w:val="center"/>
              <w:rPr>
                <w:rFonts w:eastAsia="方正仿宋_GBK"/>
              </w:rPr>
            </w:pPr>
            <w:r>
              <w:rPr>
                <w:rFonts w:eastAsia="方正仿宋_GBK"/>
              </w:rPr>
              <w:t>10</w:t>
            </w:r>
          </w:p>
        </w:tc>
      </w:tr>
      <w:tr>
        <w:trPr>
          <w:trHeight w:val="895"/>
        </w:trPr>
        <w:tc>
          <w:tcPr>
            <w:tcW w:w="858" w:type="dxa"/>
            <w:tcBorders>
              <w:top w:val="single" w:sz="8" w:space="0" w:color="auto"/>
              <w:left w:val="single" w:sz="8" w:space="0" w:color="auto"/>
              <w:bottom w:val="single" w:sz="8" w:space="0" w:color="auto"/>
              <w:right w:val="single" w:sz="8" w:space="0" w:color="auto"/>
            </w:tcBorders>
            <w:vAlign w:val="center"/>
          </w:tcPr>
          <w:p>
            <w:pPr>
              <w:pStyle w:val="37"/>
              <w:adjustRightInd w:val="0"/>
              <w:snapToGrid w:val="0"/>
              <w:spacing w:line="320" w:lineRule="exact"/>
              <w:jc w:val="center"/>
              <w:rPr>
                <w:rFonts w:eastAsia="方正仿宋_GBK"/>
                <w:color w:val="000000"/>
                <w:sz w:val="24"/>
                <w:szCs w:val="24"/>
              </w:rPr>
            </w:pPr>
            <w:r>
              <w:rPr>
                <w:rFonts w:eastAsia="方正仿宋_GBK"/>
                <w:color w:val="000000"/>
                <w:sz w:val="24"/>
                <w:szCs w:val="24"/>
              </w:rPr>
              <w:t>5</w:t>
            </w:r>
          </w:p>
        </w:tc>
        <w:tc>
          <w:tcPr>
            <w:tcW w:w="1470" w:type="dxa"/>
            <w:tcBorders>
              <w:top w:val="single" w:sz="8" w:space="0" w:color="auto"/>
              <w:left w:val="single" w:sz="8" w:space="0" w:color="auto"/>
              <w:bottom w:val="single" w:sz="8" w:space="0" w:color="auto"/>
              <w:right w:val="single" w:sz="8" w:space="0" w:color="auto"/>
            </w:tcBorders>
            <w:vAlign w:val="center"/>
          </w:tcPr>
          <w:p>
            <w:pPr>
              <w:pStyle w:val="26"/>
              <w:spacing w:line="320" w:lineRule="exact"/>
              <w:jc w:val="center"/>
              <w:rPr>
                <w:rFonts w:eastAsia="方正仿宋_GBK"/>
                <w:color w:val="000000"/>
                <w:sz w:val="24"/>
                <w:szCs w:val="24"/>
              </w:rPr>
            </w:pPr>
            <w:r>
              <w:rPr>
                <w:rFonts w:eastAsia="方正仿宋_GBK"/>
                <w:color w:val="000000"/>
                <w:sz w:val="24"/>
                <w:szCs w:val="24"/>
              </w:rPr>
              <w:t>施工方案</w:t>
            </w:r>
          </w:p>
        </w:tc>
        <w:tc>
          <w:tcPr>
            <w:tcW w:w="6004" w:type="dxa"/>
            <w:tcBorders>
              <w:top w:val="single" w:sz="8" w:space="0" w:color="auto"/>
              <w:left w:val="single" w:sz="8" w:space="0" w:color="auto"/>
              <w:bottom w:val="single" w:sz="8" w:space="0" w:color="auto"/>
              <w:right w:val="single" w:sz="8" w:space="0" w:color="auto"/>
            </w:tcBorders>
            <w:vAlign w:val="center"/>
          </w:tcPr>
          <w:p>
            <w:pPr>
              <w:pStyle w:val="35"/>
              <w:spacing w:line="320" w:lineRule="exact"/>
              <w:rPr>
                <w:rFonts w:eastAsia="方正仿宋_GBK"/>
                <w:color w:val="000000"/>
                <w:sz w:val="24"/>
                <w:szCs w:val="24"/>
              </w:rPr>
            </w:pPr>
            <w:r>
              <w:rPr>
                <w:rFonts w:eastAsia="方正仿宋_GBK"/>
                <w:color w:val="000000"/>
                <w:sz w:val="24"/>
                <w:szCs w:val="24"/>
              </w:rPr>
              <w:t>根据响应标供应商施工方案内容的响应情况进行评审：</w:t>
            </w:r>
          </w:p>
          <w:p>
            <w:pPr>
              <w:pStyle w:val="35"/>
              <w:spacing w:line="320" w:lineRule="exact"/>
              <w:rPr>
                <w:rFonts w:eastAsia="方正仿宋_GBK"/>
                <w:color w:val="000000"/>
                <w:sz w:val="24"/>
                <w:szCs w:val="24"/>
              </w:rPr>
            </w:pPr>
            <w:r>
              <w:rPr>
                <w:rFonts w:eastAsia="方正仿宋_GBK"/>
                <w:color w:val="000000"/>
                <w:sz w:val="24"/>
                <w:szCs w:val="24"/>
              </w:rPr>
              <w:t xml:space="preserve">1.施工方案完全满足需求，目标明确、施工流程、人员配置及管理制度完善，施工内容安排明确，施工作业时间安排、履约进度安排等清晰、健全、有效、科学，得6分；  </w:t>
            </w:r>
          </w:p>
          <w:p>
            <w:pPr>
              <w:pStyle w:val="35"/>
              <w:spacing w:line="320" w:lineRule="exact"/>
              <w:rPr>
                <w:rFonts w:eastAsia="方正仿宋_GBK"/>
                <w:color w:val="000000"/>
                <w:sz w:val="24"/>
                <w:szCs w:val="24"/>
              </w:rPr>
            </w:pPr>
            <w:r>
              <w:rPr>
                <w:rFonts w:eastAsia="方正仿宋_GBK"/>
                <w:color w:val="000000"/>
                <w:sz w:val="24"/>
                <w:szCs w:val="24"/>
              </w:rPr>
              <w:t xml:space="preserve">2.施工方案基本满足需求，目标基本明确、施工流程、人员配置及管理制度较完善，施工内容安排较明确，施工作业时间安排、履约进度安排等较清晰、较健全、较有效、较科学，得5分；  </w:t>
            </w:r>
          </w:p>
          <w:p>
            <w:pPr>
              <w:pStyle w:val="35"/>
              <w:spacing w:line="320" w:lineRule="exact"/>
              <w:rPr>
                <w:rFonts w:eastAsia="方正仿宋_GBK"/>
                <w:color w:val="000000"/>
                <w:sz w:val="24"/>
                <w:szCs w:val="24"/>
              </w:rPr>
            </w:pPr>
            <w:r>
              <w:rPr>
                <w:rFonts w:eastAsia="方正仿宋_GBK"/>
                <w:color w:val="000000"/>
                <w:sz w:val="24"/>
                <w:szCs w:val="24"/>
              </w:rPr>
              <w:t xml:space="preserve">3.施工方案部分满足需求，目标不太明确、施工流程、人员配置及管理制度一般完善，施工内容安排一般，施工作业时间安排、履约进度安排等一般，得4分；  </w:t>
            </w:r>
          </w:p>
          <w:p>
            <w:pPr>
              <w:pStyle w:val="35"/>
              <w:spacing w:line="320" w:lineRule="exact"/>
              <w:rPr>
                <w:rFonts w:eastAsia="方正仿宋_GBK"/>
                <w:color w:val="000000"/>
                <w:sz w:val="24"/>
                <w:szCs w:val="24"/>
              </w:rPr>
            </w:pPr>
            <w:r>
              <w:rPr>
                <w:rFonts w:eastAsia="方正仿宋_GBK"/>
                <w:color w:val="000000"/>
                <w:sz w:val="24"/>
                <w:szCs w:val="24"/>
              </w:rPr>
              <w:t>未提供施工方案或其他情况的得0分。</w:t>
            </w:r>
          </w:p>
        </w:tc>
        <w:tc>
          <w:tcPr>
            <w:tcW w:w="850" w:type="dxa"/>
            <w:tcBorders>
              <w:top w:val="single" w:sz="8" w:space="0" w:color="auto"/>
              <w:left w:val="single" w:sz="4" w:space="0" w:color="auto"/>
              <w:bottom w:val="single" w:sz="8" w:space="0" w:color="auto"/>
              <w:right w:val="single" w:sz="8" w:space="0" w:color="auto"/>
            </w:tcBorders>
            <w:vAlign w:val="center"/>
          </w:tcPr>
          <w:p>
            <w:pPr>
              <w:pStyle w:val="21"/>
              <w:spacing w:line="320" w:lineRule="exact"/>
              <w:ind w:leftChars="-37" w:left="-78" w:rightChars="-35" w:right="-73"/>
              <w:jc w:val="center"/>
              <w:rPr>
                <w:rFonts w:eastAsia="方正仿宋_GBK"/>
              </w:rPr>
            </w:pPr>
            <w:r>
              <w:rPr>
                <w:rFonts w:eastAsia="方正仿宋_GBK"/>
              </w:rPr>
              <w:t>15</w:t>
            </w:r>
          </w:p>
          <w:p>
            <w:pPr>
              <w:pStyle w:val="21"/>
              <w:spacing w:line="320" w:lineRule="exact"/>
              <w:ind w:leftChars="-37" w:left="-78" w:rightChars="-35" w:right="-73"/>
              <w:jc w:val="center"/>
              <w:rPr>
                <w:rFonts w:eastAsia="方正仿宋_GBK"/>
              </w:rPr>
            </w:pPr>
          </w:p>
        </w:tc>
      </w:tr>
      <w:tr>
        <w:trPr>
          <w:trHeight w:val="2905"/>
        </w:trPr>
        <w:tc>
          <w:tcPr>
            <w:tcW w:w="858" w:type="dxa"/>
            <w:tcBorders>
              <w:top w:val="single" w:sz="8" w:space="0" w:color="auto"/>
              <w:left w:val="single" w:sz="8" w:space="0" w:color="auto"/>
              <w:bottom w:val="single" w:sz="8" w:space="0" w:color="auto"/>
              <w:right w:val="single" w:sz="8" w:space="0" w:color="auto"/>
            </w:tcBorders>
            <w:vAlign w:val="center"/>
          </w:tcPr>
          <w:p>
            <w:pPr>
              <w:pStyle w:val="37"/>
              <w:adjustRightInd w:val="0"/>
              <w:snapToGrid w:val="0"/>
              <w:spacing w:line="320" w:lineRule="exact"/>
              <w:jc w:val="center"/>
              <w:rPr>
                <w:rFonts w:eastAsia="方正仿宋_GBK"/>
                <w:color w:val="000000"/>
                <w:sz w:val="24"/>
                <w:szCs w:val="24"/>
              </w:rPr>
            </w:pPr>
            <w:r>
              <w:rPr>
                <w:rFonts w:eastAsia="方正仿宋_GBK"/>
                <w:color w:val="000000"/>
                <w:sz w:val="24"/>
                <w:szCs w:val="24"/>
              </w:rPr>
              <w:t>6</w:t>
            </w:r>
          </w:p>
        </w:tc>
        <w:tc>
          <w:tcPr>
            <w:tcW w:w="1470" w:type="dxa"/>
            <w:tcBorders>
              <w:top w:val="single" w:sz="8" w:space="0" w:color="auto"/>
              <w:left w:val="single" w:sz="8" w:space="0" w:color="auto"/>
              <w:bottom w:val="single" w:sz="8" w:space="0" w:color="auto"/>
              <w:right w:val="single" w:sz="8" w:space="0" w:color="auto"/>
            </w:tcBorders>
            <w:vAlign w:val="center"/>
          </w:tcPr>
          <w:p>
            <w:pPr>
              <w:pStyle w:val="20"/>
              <w:spacing w:line="320" w:lineRule="exact"/>
              <w:rPr>
                <w:rFonts w:eastAsia="方正仿宋_GBK"/>
                <w:b w:val="0"/>
                <w:color w:val="000000"/>
              </w:rPr>
            </w:pPr>
            <w:r>
              <w:rPr>
                <w:rFonts w:eastAsia="方正仿宋_GBK"/>
                <w:b w:val="0"/>
                <w:color w:val="000000"/>
              </w:rPr>
              <w:t>安全管理和质量控制措施方案</w:t>
            </w:r>
          </w:p>
          <w:p>
            <w:pPr>
              <w:pStyle w:val="26"/>
              <w:spacing w:line="320" w:lineRule="exact"/>
              <w:rPr>
                <w:rFonts w:eastAsia="方正仿宋_GBK"/>
                <w:color w:val="000000"/>
                <w:sz w:val="24"/>
                <w:szCs w:val="24"/>
              </w:rPr>
            </w:pPr>
          </w:p>
        </w:tc>
        <w:tc>
          <w:tcPr>
            <w:tcW w:w="6004" w:type="dxa"/>
            <w:tcBorders>
              <w:top w:val="single" w:sz="8" w:space="0" w:color="auto"/>
              <w:left w:val="single" w:sz="8" w:space="0" w:color="auto"/>
              <w:bottom w:val="single" w:sz="8" w:space="0" w:color="auto"/>
              <w:right w:val="single" w:sz="8" w:space="0" w:color="auto"/>
            </w:tcBorders>
            <w:vAlign w:val="center"/>
          </w:tcPr>
          <w:p>
            <w:pPr>
              <w:pStyle w:val="28"/>
              <w:spacing w:line="320" w:lineRule="exact"/>
              <w:rPr>
                <w:rFonts w:eastAsia="方正仿宋_GBK"/>
                <w:color w:val="000000"/>
                <w:sz w:val="24"/>
                <w:szCs w:val="24"/>
              </w:rPr>
            </w:pPr>
            <w:r>
              <w:rPr>
                <w:rFonts w:eastAsia="方正仿宋_GBK"/>
                <w:color w:val="000000"/>
                <w:sz w:val="24"/>
                <w:szCs w:val="24"/>
              </w:rPr>
              <w:t>根据响应供应商施工过程中安全管理和质量控制措施方案内容的响应情况进行评审：</w:t>
            </w:r>
          </w:p>
          <w:p>
            <w:pPr>
              <w:pStyle w:val="28"/>
              <w:spacing w:line="320" w:lineRule="exact"/>
              <w:rPr>
                <w:rFonts w:eastAsia="方正仿宋_GBK"/>
                <w:color w:val="000000"/>
                <w:sz w:val="24"/>
                <w:szCs w:val="24"/>
              </w:rPr>
            </w:pPr>
            <w:r>
              <w:rPr>
                <w:rFonts w:eastAsia="方正仿宋_GBK"/>
                <w:color w:val="000000"/>
                <w:sz w:val="24"/>
                <w:szCs w:val="24"/>
              </w:rPr>
              <w:t xml:space="preserve">1.方案完全满足需求，安全操作规程、安全防护措施、安全文明施工措施完善，施工质量保障监督机制具体，得10分；  </w:t>
            </w:r>
          </w:p>
          <w:p>
            <w:pPr>
              <w:pStyle w:val="28"/>
              <w:spacing w:line="320" w:lineRule="exact"/>
              <w:rPr>
                <w:rFonts w:eastAsia="方正仿宋_GBK"/>
                <w:color w:val="000000"/>
                <w:sz w:val="24"/>
                <w:szCs w:val="24"/>
              </w:rPr>
            </w:pPr>
            <w:r>
              <w:rPr>
                <w:rFonts w:eastAsia="方正仿宋_GBK"/>
                <w:color w:val="000000"/>
                <w:sz w:val="24"/>
                <w:szCs w:val="24"/>
              </w:rPr>
              <w:t xml:space="preserve">2.方案基本满足需求，安全操作规程、安全防护措施、安全文明施工措施较完善，施工质量保障监督机制较具体，得6分；  </w:t>
            </w:r>
          </w:p>
          <w:p>
            <w:pPr>
              <w:pStyle w:val="28"/>
              <w:spacing w:line="320" w:lineRule="exact"/>
              <w:rPr>
                <w:rFonts w:eastAsia="方正仿宋_GBK"/>
                <w:color w:val="000000"/>
                <w:sz w:val="24"/>
                <w:szCs w:val="24"/>
              </w:rPr>
            </w:pPr>
            <w:r>
              <w:rPr>
                <w:rFonts w:eastAsia="方正仿宋_GBK"/>
                <w:color w:val="000000"/>
                <w:sz w:val="24"/>
                <w:szCs w:val="24"/>
              </w:rPr>
              <w:t xml:space="preserve">3.方案部分满足需求，安全操作规程、安全防护措施、安全文明施工措施一般，施工质量保障监督机制一般，得4分。  </w:t>
            </w:r>
          </w:p>
          <w:p>
            <w:pPr>
              <w:pStyle w:val="28"/>
              <w:spacing w:line="320" w:lineRule="exact"/>
              <w:rPr>
                <w:rFonts w:eastAsia="方正仿宋_GBK"/>
                <w:color w:val="000000"/>
                <w:sz w:val="24"/>
                <w:szCs w:val="24"/>
              </w:rPr>
            </w:pPr>
            <w:r>
              <w:rPr>
                <w:rFonts w:eastAsia="方正仿宋_GBK"/>
                <w:color w:val="000000"/>
                <w:sz w:val="24"/>
                <w:szCs w:val="24"/>
              </w:rPr>
              <w:t>未提供方案或其他情况的得0分。</w:t>
            </w:r>
          </w:p>
        </w:tc>
        <w:tc>
          <w:tcPr>
            <w:tcW w:w="850" w:type="dxa"/>
            <w:tcBorders>
              <w:top w:val="single" w:sz="8" w:space="0" w:color="auto"/>
              <w:left w:val="single" w:sz="4" w:space="0" w:color="auto"/>
              <w:bottom w:val="single" w:sz="8" w:space="0" w:color="auto"/>
              <w:right w:val="single" w:sz="8" w:space="0" w:color="auto"/>
            </w:tcBorders>
            <w:vAlign w:val="center"/>
          </w:tcPr>
          <w:p>
            <w:pPr>
              <w:pStyle w:val="33"/>
              <w:spacing w:line="320" w:lineRule="exact"/>
              <w:ind w:leftChars="-37" w:left="-78" w:rightChars="-35" w:right="-73"/>
              <w:jc w:val="center"/>
              <w:rPr>
                <w:rFonts w:eastAsia="方正仿宋_GBK"/>
              </w:rPr>
            </w:pPr>
            <w:r>
              <w:rPr>
                <w:rFonts w:eastAsia="方正仿宋_GBK"/>
              </w:rPr>
              <w:t>20</w:t>
            </w:r>
          </w:p>
          <w:p>
            <w:pPr>
              <w:pStyle w:val="18"/>
              <w:rPr>
                <w:rFonts w:eastAsia="方正仿宋_GBK"/>
              </w:rPr>
            </w:pPr>
          </w:p>
        </w:tc>
      </w:tr>
      <w:tr>
        <w:trPr>
          <w:trHeight w:val="427"/>
        </w:trPr>
        <w:tc>
          <w:tcPr>
            <w:tcW w:w="858" w:type="dxa"/>
            <w:tcBorders>
              <w:top w:val="single" w:sz="8" w:space="0" w:color="auto"/>
              <w:left w:val="single" w:sz="8" w:space="0" w:color="auto"/>
              <w:bottom w:val="single" w:sz="8" w:space="0" w:color="auto"/>
              <w:right w:val="single" w:sz="8" w:space="0" w:color="auto"/>
            </w:tcBorders>
            <w:vAlign w:val="center"/>
          </w:tcPr>
          <w:p>
            <w:pPr>
              <w:pStyle w:val="37"/>
              <w:adjustRightInd w:val="0"/>
              <w:snapToGrid w:val="0"/>
              <w:spacing w:line="320" w:lineRule="exact"/>
              <w:jc w:val="center"/>
              <w:rPr>
                <w:rFonts w:eastAsia="方正仿宋_GBK"/>
                <w:color w:val="000000"/>
                <w:sz w:val="24"/>
                <w:szCs w:val="24"/>
              </w:rPr>
            </w:pPr>
            <w:r>
              <w:rPr>
                <w:rFonts w:eastAsia="方正仿宋_GBK"/>
                <w:color w:val="000000"/>
                <w:sz w:val="24"/>
                <w:szCs w:val="24"/>
              </w:rPr>
              <w:t>7</w:t>
            </w:r>
          </w:p>
        </w:tc>
        <w:tc>
          <w:tcPr>
            <w:tcW w:w="1470" w:type="dxa"/>
            <w:tcBorders>
              <w:top w:val="single" w:sz="8" w:space="0" w:color="auto"/>
              <w:left w:val="single" w:sz="8" w:space="0" w:color="auto"/>
              <w:bottom w:val="single" w:sz="8" w:space="0" w:color="auto"/>
              <w:right w:val="single" w:sz="8" w:space="0" w:color="auto"/>
            </w:tcBorders>
            <w:vAlign w:val="center"/>
          </w:tcPr>
          <w:p>
            <w:pPr>
              <w:pStyle w:val="19"/>
              <w:tabs>
                <w:tab w:val="left" w:pos="0"/>
                <w:tab w:val="left" w:pos="284"/>
              </w:tabs>
              <w:autoSpaceDE w:val="0"/>
              <w:spacing w:line="320" w:lineRule="exact"/>
              <w:rPr>
                <w:rFonts w:eastAsia="方正仿宋_GBK"/>
                <w:color w:val="000000"/>
                <w:sz w:val="24"/>
                <w:szCs w:val="24"/>
              </w:rPr>
            </w:pPr>
            <w:r>
              <w:rPr>
                <w:rFonts w:eastAsia="方正仿宋_GBK"/>
                <w:color w:val="000000"/>
                <w:sz w:val="24"/>
                <w:szCs w:val="24"/>
              </w:rPr>
              <w:t>投标报价</w:t>
            </w:r>
          </w:p>
        </w:tc>
        <w:tc>
          <w:tcPr>
            <w:tcW w:w="6004" w:type="dxa"/>
            <w:tcBorders>
              <w:top w:val="single" w:sz="8" w:space="0" w:color="auto"/>
              <w:left w:val="single" w:sz="8" w:space="0" w:color="auto"/>
              <w:bottom w:val="single" w:sz="8" w:space="0" w:color="auto"/>
              <w:right w:val="single" w:sz="8" w:space="0" w:color="auto"/>
            </w:tcBorders>
            <w:vAlign w:val="center"/>
          </w:tcPr>
          <w:p>
            <w:pPr>
              <w:pStyle w:val="28"/>
              <w:spacing w:line="320" w:lineRule="exact"/>
              <w:rPr>
                <w:rFonts w:eastAsia="方正仿宋_GBK"/>
                <w:color w:val="000000"/>
                <w:sz w:val="24"/>
                <w:szCs w:val="24"/>
              </w:rPr>
            </w:pPr>
            <w:r>
              <w:rPr>
                <w:rFonts w:eastAsia="方正仿宋_GBK"/>
                <w:color w:val="000000"/>
                <w:sz w:val="24"/>
                <w:szCs w:val="24"/>
              </w:rPr>
              <w:t>价格分应当采用低价优先法计算，即满足招标文件要求且投标价格最低的投标报价为评标基准价，其价格分为满分。其他响应供应商的价格分统一按照下列公式计算：</w:t>
            </w:r>
          </w:p>
          <w:p>
            <w:pPr>
              <w:pStyle w:val="28"/>
              <w:spacing w:line="320" w:lineRule="exact"/>
              <w:rPr>
                <w:rFonts w:eastAsia="方正仿宋_GBK"/>
                <w:color w:val="000000"/>
                <w:sz w:val="24"/>
                <w:szCs w:val="24"/>
              </w:rPr>
            </w:pPr>
            <w:r>
              <w:rPr>
                <w:rFonts w:eastAsia="方正仿宋_GBK"/>
                <w:color w:val="000000"/>
                <w:sz w:val="24"/>
                <w:szCs w:val="24"/>
              </w:rPr>
              <w:t>投标报价得分=（评标基准价／投标报价）×100×权重</w:t>
            </w:r>
          </w:p>
          <w:p>
            <w:pPr>
              <w:pStyle w:val="28"/>
              <w:spacing w:line="320" w:lineRule="exact"/>
              <w:rPr>
                <w:rFonts w:eastAsia="方正仿宋_GBK"/>
                <w:color w:val="000000"/>
                <w:sz w:val="24"/>
                <w:szCs w:val="24"/>
              </w:rPr>
            </w:pPr>
            <w:r>
              <w:rPr>
                <w:rFonts w:eastAsia="方正仿宋_GBK"/>
                <w:color w:val="000000"/>
                <w:sz w:val="24"/>
                <w:szCs w:val="24"/>
              </w:rPr>
              <w:t>备注：投标报价得分四舍五入后，小数点后保留两位有效数。</w:t>
            </w:r>
          </w:p>
        </w:tc>
        <w:tc>
          <w:tcPr>
            <w:tcW w:w="850" w:type="dxa"/>
            <w:tcBorders>
              <w:top w:val="single" w:sz="8" w:space="0" w:color="auto"/>
              <w:left w:val="single" w:sz="4" w:space="0" w:color="auto"/>
              <w:bottom w:val="single" w:sz="8" w:space="0" w:color="auto"/>
              <w:right w:val="single" w:sz="8" w:space="0" w:color="auto"/>
            </w:tcBorders>
            <w:vAlign w:val="center"/>
          </w:tcPr>
          <w:p>
            <w:pPr>
              <w:pStyle w:val="33"/>
              <w:spacing w:line="320" w:lineRule="exact"/>
              <w:ind w:leftChars="-37" w:left="-78" w:rightChars="-35" w:right="-73"/>
              <w:jc w:val="center"/>
              <w:rPr>
                <w:rFonts w:eastAsia="方正仿宋_GBK"/>
              </w:rPr>
            </w:pPr>
            <w:r>
              <w:rPr>
                <w:rFonts w:eastAsia="方正仿宋_GBK"/>
              </w:rPr>
              <w:t>10</w:t>
            </w:r>
          </w:p>
        </w:tc>
      </w:tr>
      <w:tr>
        <w:trPr>
          <w:trHeight w:val="426"/>
        </w:trPr>
        <w:tc>
          <w:tcPr>
            <w:tcW w:w="858" w:type="dxa"/>
            <w:tcBorders>
              <w:top w:val="single" w:sz="8" w:space="0" w:color="auto"/>
              <w:left w:val="single" w:sz="8" w:space="0" w:color="auto"/>
              <w:bottom w:val="single" w:sz="8" w:space="0" w:color="auto"/>
              <w:right w:val="single" w:sz="8" w:space="0" w:color="auto"/>
            </w:tcBorders>
            <w:vAlign w:val="center"/>
          </w:tcPr>
          <w:p>
            <w:pPr>
              <w:pStyle w:val="57"/>
              <w:adjustRightInd w:val="0"/>
              <w:snapToGrid w:val="0"/>
              <w:spacing w:line="320" w:lineRule="exact"/>
              <w:jc w:val="center"/>
              <w:rPr>
                <w:rFonts w:eastAsia="方正仿宋_GBK"/>
                <w:color w:val="000000"/>
                <w:sz w:val="24"/>
                <w:szCs w:val="24"/>
              </w:rPr>
            </w:pPr>
            <w:r>
              <w:rPr>
                <w:rFonts w:eastAsia="方正仿宋_GBK"/>
                <w:color w:val="000000"/>
                <w:sz w:val="24"/>
                <w:szCs w:val="24"/>
              </w:rPr>
              <w:t>8</w:t>
            </w:r>
          </w:p>
        </w:tc>
        <w:tc>
          <w:tcPr>
            <w:tcW w:w="1470" w:type="dxa"/>
            <w:tcBorders>
              <w:top w:val="single" w:sz="8" w:space="0" w:color="auto"/>
              <w:left w:val="single" w:sz="8" w:space="0" w:color="auto"/>
              <w:bottom w:val="single" w:sz="8" w:space="0" w:color="auto"/>
              <w:right w:val="single" w:sz="8" w:space="0" w:color="auto"/>
            </w:tcBorders>
            <w:vAlign w:val="center"/>
          </w:tcPr>
          <w:p>
            <w:pPr>
              <w:pStyle w:val="58"/>
              <w:tabs>
                <w:tab w:val="left" w:pos="0"/>
                <w:tab w:val="left" w:pos="284"/>
              </w:tabs>
              <w:autoSpaceDE w:val="0"/>
              <w:spacing w:line="320" w:lineRule="exact"/>
              <w:rPr>
                <w:rFonts w:eastAsia="方正仿宋_GBK"/>
                <w:color w:val="000000"/>
                <w:sz w:val="24"/>
                <w:szCs w:val="24"/>
              </w:rPr>
            </w:pPr>
            <w:r>
              <w:rPr>
                <w:rFonts w:eastAsia="方正仿宋_GBK"/>
                <w:color w:val="000000"/>
                <w:sz w:val="24"/>
                <w:szCs w:val="24"/>
              </w:rPr>
              <w:t>施工工期</w:t>
            </w:r>
          </w:p>
        </w:tc>
        <w:tc>
          <w:tcPr>
            <w:tcW w:w="6004" w:type="dxa"/>
            <w:tcBorders>
              <w:top w:val="single" w:sz="8" w:space="0" w:color="auto"/>
              <w:left w:val="single" w:sz="8" w:space="0" w:color="auto"/>
              <w:bottom w:val="single" w:sz="8" w:space="0" w:color="auto"/>
              <w:right w:val="single" w:sz="8" w:space="0" w:color="auto"/>
            </w:tcBorders>
            <w:vAlign w:val="center"/>
          </w:tcPr>
          <w:p>
            <w:pPr>
              <w:pStyle w:val="59"/>
              <w:spacing w:line="320" w:lineRule="exact"/>
              <w:rPr>
                <w:rFonts w:eastAsia="方正仿宋_GBK"/>
                <w:color w:val="000000"/>
                <w:sz w:val="24"/>
                <w:szCs w:val="24"/>
              </w:rPr>
            </w:pPr>
            <w:r>
              <w:rPr>
                <w:rFonts w:eastAsia="方正仿宋_GBK"/>
                <w:color w:val="000000"/>
                <w:sz w:val="24"/>
                <w:szCs w:val="24"/>
              </w:rPr>
              <w:t>工程工期45日，工期缩短5天得3分，缩短10天得6分，缩短15天得9分</w:t>
            </w:r>
          </w:p>
        </w:tc>
        <w:tc>
          <w:tcPr>
            <w:tcW w:w="850" w:type="dxa"/>
            <w:tcBorders>
              <w:top w:val="single" w:sz="8" w:space="0" w:color="auto"/>
              <w:left w:val="single" w:sz="4" w:space="0" w:color="auto"/>
              <w:bottom w:val="single" w:sz="8" w:space="0" w:color="auto"/>
              <w:right w:val="single" w:sz="8" w:space="0" w:color="auto"/>
            </w:tcBorders>
            <w:vAlign w:val="center"/>
          </w:tcPr>
          <w:p>
            <w:pPr>
              <w:pStyle w:val="60"/>
              <w:spacing w:line="320" w:lineRule="exact"/>
              <w:ind w:leftChars="-37" w:left="-78" w:rightChars="-35" w:right="-73"/>
              <w:jc w:val="center"/>
              <w:rPr>
                <w:rFonts w:eastAsia="方正仿宋_GBK"/>
              </w:rPr>
            </w:pPr>
            <w:r>
              <w:rPr>
                <w:rFonts w:eastAsia="方正仿宋_GBK"/>
              </w:rPr>
              <w:t>9</w:t>
            </w:r>
          </w:p>
        </w:tc>
      </w:tr>
    </w:tbl>
    <w:p>
      <w:pPr>
        <w:pStyle w:val="53"/>
        <w:rPr>
          <w:rFonts w:eastAsia="方正仿宋_GBK"/>
          <w:sz w:val="32"/>
          <w:szCs w:val="32"/>
          <w:lang w:val="en-US" w:eastAsia="zh-CN"/>
        </w:rPr>
      </w:pPr>
    </w:p>
    <w:p>
      <w:pPr>
        <w:pStyle w:val="53"/>
        <w:rPr>
          <w:rFonts w:ascii="方正黑体_GBK" w:eastAsia="方正黑体_GBK" w:hint="eastAsia"/>
          <w:sz w:val="21"/>
          <w:szCs w:val="21"/>
          <w:lang w:val="en-US" w:eastAsia="zh-CN"/>
        </w:rPr>
      </w:pPr>
      <w:r>
        <w:rPr>
          <w:rFonts w:ascii="方正黑体_GBK" w:eastAsia="方正黑体_GBK" w:hint="eastAsia"/>
          <w:sz w:val="32"/>
          <w:szCs w:val="32"/>
          <w:lang w:val="en-US" w:eastAsia="zh-CN"/>
        </w:rPr>
        <w:t>培训录播系统参数</w:t>
      </w:r>
      <w:r>
        <w:rPr>
          <w:rFonts w:ascii="方正黑体_GBK" w:eastAsia="方正黑体_GBK" w:hint="eastAsia"/>
          <w:sz w:val="32"/>
          <w:szCs w:val="32"/>
        </w:rPr>
        <w:t>：</w:t>
      </w:r>
    </w:p>
    <w:tbl>
      <w:tblPr>
        <w:jc w:val="left"/>
        <w:tblInd w:w="-307" w:type="dxa"/>
        <w:tblW w:w="9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
      <w:tblGrid>
        <w:gridCol w:w="515"/>
        <w:gridCol w:w="726"/>
        <w:gridCol w:w="1176"/>
        <w:gridCol w:w="5470"/>
        <w:gridCol w:w="484"/>
        <w:gridCol w:w="729"/>
      </w:tblGrid>
      <w:tr>
        <w:trPr>
          <w:trHeight w:val="609"/>
        </w:trPr>
        <w:tc>
          <w:tcPr>
            <w:tcW w:w="9100" w:type="dxa"/>
            <w:gridSpan w:val="6"/>
            <w:shd w:val="clear" w:color="auto" w:fill="auto"/>
            <w:noWrap/>
            <w:vAlign w:val="center"/>
          </w:tcPr>
          <w:p>
            <w:pPr>
              <w:pStyle w:val="56"/>
              <w:bidi w:val="0"/>
              <w:jc w:val="center"/>
              <w:rPr>
                <w:rFonts w:ascii="方正黑体_GBK" w:eastAsia="方正黑体_GBK" w:hint="eastAsia"/>
                <w:sz w:val="21"/>
                <w:szCs w:val="21"/>
              </w:rPr>
            </w:pPr>
            <w:r>
              <w:rPr>
                <w:rFonts w:ascii="方正黑体_GBK" w:eastAsia="方正黑体_GBK" w:hint="eastAsia"/>
                <w:sz w:val="28"/>
                <w:szCs w:val="28"/>
                <w:lang w:val="en-US" w:eastAsia="zh-CN"/>
              </w:rPr>
              <w:t>培训录播系统参数</w:t>
            </w:r>
          </w:p>
        </w:tc>
      </w:tr>
      <w:tr>
        <w:trPr>
          <w:trHeight w:val="630"/>
        </w:trPr>
        <w:tc>
          <w:tcPr>
            <w:tcW w:w="515" w:type="dxa"/>
            <w:shd w:val="clear" w:color="auto" w:fill="auto"/>
            <w:vAlign w:val="center"/>
          </w:tcPr>
          <w:p>
            <w:pPr>
              <w:pStyle w:val="56"/>
              <w:bidi w:val="0"/>
              <w:jc w:val="center"/>
              <w:rPr>
                <w:rFonts w:ascii="方正黑体_GBK" w:eastAsia="方正黑体_GBK" w:hint="eastAsia"/>
                <w:sz w:val="21"/>
                <w:szCs w:val="21"/>
              </w:rPr>
            </w:pPr>
            <w:r>
              <w:rPr>
                <w:rFonts w:ascii="方正黑体_GBK" w:eastAsia="方正黑体_GBK" w:hint="eastAsia"/>
                <w:sz w:val="21"/>
                <w:szCs w:val="21"/>
                <w:lang w:val="en-US" w:eastAsia="zh-CN"/>
              </w:rPr>
              <w:t>序号</w:t>
            </w:r>
          </w:p>
        </w:tc>
        <w:tc>
          <w:tcPr>
            <w:tcW w:w="726" w:type="dxa"/>
            <w:shd w:val="clear" w:color="auto" w:fill="auto"/>
            <w:vAlign w:val="center"/>
          </w:tcPr>
          <w:p>
            <w:pPr>
              <w:pStyle w:val="56"/>
              <w:bidi w:val="0"/>
              <w:jc w:val="center"/>
              <w:rPr>
                <w:rFonts w:ascii="方正黑体_GBK" w:eastAsia="方正黑体_GBK" w:hint="eastAsia"/>
                <w:sz w:val="21"/>
                <w:szCs w:val="21"/>
              </w:rPr>
            </w:pPr>
            <w:r>
              <w:rPr>
                <w:rFonts w:ascii="方正黑体_GBK" w:eastAsia="方正黑体_GBK" w:hint="eastAsia"/>
                <w:sz w:val="21"/>
                <w:szCs w:val="21"/>
                <w:lang w:val="en-US" w:eastAsia="zh-CN"/>
              </w:rPr>
              <w:t>类别</w:t>
            </w:r>
          </w:p>
        </w:tc>
        <w:tc>
          <w:tcPr>
            <w:tcW w:w="1176" w:type="dxa"/>
            <w:shd w:val="clear" w:color="auto" w:fill="auto"/>
            <w:vAlign w:val="center"/>
          </w:tcPr>
          <w:p>
            <w:pPr>
              <w:pStyle w:val="56"/>
              <w:bidi w:val="0"/>
              <w:jc w:val="center"/>
              <w:rPr>
                <w:rFonts w:ascii="方正黑体_GBK" w:eastAsia="方正黑体_GBK" w:hint="eastAsia"/>
                <w:sz w:val="21"/>
                <w:szCs w:val="21"/>
              </w:rPr>
            </w:pPr>
            <w:r>
              <w:rPr>
                <w:rFonts w:ascii="方正黑体_GBK" w:eastAsia="方正黑体_GBK" w:hint="eastAsia"/>
                <w:sz w:val="21"/>
                <w:szCs w:val="21"/>
                <w:lang w:val="en-US" w:eastAsia="zh-CN"/>
              </w:rPr>
              <w:t>产品名称</w:t>
            </w:r>
          </w:p>
        </w:tc>
        <w:tc>
          <w:tcPr>
            <w:tcW w:w="5470" w:type="dxa"/>
            <w:shd w:val="clear" w:color="auto" w:fill="auto"/>
            <w:vAlign w:val="center"/>
          </w:tcPr>
          <w:p>
            <w:pPr>
              <w:pStyle w:val="56"/>
              <w:bidi w:val="0"/>
              <w:jc w:val="center"/>
              <w:rPr>
                <w:rFonts w:ascii="方正黑体_GBK" w:eastAsia="方正黑体_GBK" w:hint="eastAsia"/>
                <w:sz w:val="21"/>
                <w:szCs w:val="21"/>
              </w:rPr>
            </w:pPr>
            <w:r>
              <w:rPr>
                <w:rFonts w:ascii="方正黑体_GBK" w:eastAsia="方正黑体_GBK" w:hint="eastAsia"/>
                <w:sz w:val="21"/>
                <w:szCs w:val="21"/>
                <w:lang w:val="en-US" w:eastAsia="zh-CN"/>
              </w:rPr>
              <w:t>参数</w:t>
            </w:r>
          </w:p>
        </w:tc>
        <w:tc>
          <w:tcPr>
            <w:tcW w:w="484" w:type="dxa"/>
            <w:shd w:val="clear" w:color="auto" w:fill="auto"/>
            <w:vAlign w:val="center"/>
          </w:tcPr>
          <w:p>
            <w:pPr>
              <w:pStyle w:val="56"/>
              <w:bidi w:val="0"/>
              <w:jc w:val="center"/>
              <w:rPr>
                <w:rFonts w:ascii="方正黑体_GBK" w:eastAsia="方正黑体_GBK" w:hint="eastAsia"/>
                <w:sz w:val="21"/>
                <w:szCs w:val="21"/>
              </w:rPr>
            </w:pPr>
            <w:r>
              <w:rPr>
                <w:rFonts w:ascii="方正黑体_GBK" w:eastAsia="方正黑体_GBK" w:hint="eastAsia"/>
                <w:sz w:val="21"/>
                <w:szCs w:val="21"/>
                <w:lang w:val="en-US" w:eastAsia="zh-CN"/>
              </w:rPr>
              <w:t>数量</w:t>
            </w:r>
          </w:p>
        </w:tc>
        <w:tc>
          <w:tcPr>
            <w:tcW w:w="729" w:type="dxa"/>
            <w:shd w:val="clear" w:color="auto" w:fill="auto"/>
            <w:vAlign w:val="center"/>
          </w:tcPr>
          <w:p>
            <w:pPr>
              <w:pStyle w:val="56"/>
              <w:bidi w:val="0"/>
              <w:jc w:val="center"/>
              <w:rPr>
                <w:rFonts w:ascii="方正黑体_GBK" w:eastAsia="方正黑体_GBK" w:hint="eastAsia"/>
                <w:sz w:val="21"/>
                <w:szCs w:val="21"/>
              </w:rPr>
            </w:pPr>
            <w:r>
              <w:rPr>
                <w:rFonts w:ascii="方正黑体_GBK" w:eastAsia="方正黑体_GBK" w:hint="eastAsia"/>
                <w:sz w:val="21"/>
                <w:szCs w:val="21"/>
                <w:lang w:val="en-US" w:eastAsia="zh-CN"/>
              </w:rPr>
              <w:t>单位</w:t>
            </w:r>
          </w:p>
        </w:tc>
      </w:tr>
      <w:tr>
        <w:trPr>
          <w:trHeight w:val="1191"/>
        </w:trPr>
        <w:tc>
          <w:tcPr>
            <w:tcW w:w="515" w:type="dxa"/>
            <w:vMerge w:val="restart"/>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1</w:t>
            </w:r>
          </w:p>
        </w:tc>
        <w:tc>
          <w:tcPr>
            <w:tcW w:w="726" w:type="dxa"/>
            <w:vMerge w:val="restart"/>
            <w:shd w:val="clear" w:color="auto" w:fill="auto"/>
            <w:vAlign w:val="center"/>
          </w:tcPr>
          <w:p>
            <w:pPr>
              <w:pStyle w:val="56"/>
              <w:bidi w:val="0"/>
              <w:rPr>
                <w:rFonts w:eastAsia="方正仿宋_GBK"/>
                <w:sz w:val="21"/>
                <w:szCs w:val="21"/>
              </w:rPr>
            </w:pPr>
            <w:r>
              <w:rPr>
                <w:rFonts w:eastAsia="方正仿宋_GBK"/>
                <w:sz w:val="21"/>
                <w:szCs w:val="21"/>
                <w:lang w:val="en-US" w:eastAsia="zh-CN"/>
              </w:rPr>
              <w:t>录播系统</w:t>
            </w:r>
          </w:p>
        </w:tc>
        <w:tc>
          <w:tcPr>
            <w:tcW w:w="1176" w:type="dxa"/>
            <w:shd w:val="clear" w:color="auto" w:fill="auto"/>
            <w:vAlign w:val="center"/>
          </w:tcPr>
          <w:p>
            <w:pPr>
              <w:pStyle w:val="56"/>
              <w:bidi w:val="0"/>
              <w:rPr>
                <w:rFonts w:eastAsia="方正仿宋_GBK"/>
                <w:sz w:val="21"/>
                <w:szCs w:val="21"/>
              </w:rPr>
            </w:pPr>
            <w:r>
              <w:rPr>
                <w:rFonts w:eastAsia="方正仿宋_GBK"/>
                <w:sz w:val="21"/>
                <w:szCs w:val="21"/>
                <w:lang w:val="en-US" w:eastAsia="zh-CN"/>
              </w:rPr>
              <w:t>4K录播一体机</w:t>
            </w:r>
          </w:p>
        </w:tc>
        <w:tc>
          <w:tcPr>
            <w:tcW w:w="5470" w:type="dxa"/>
            <w:shd w:val="clear" w:color="auto" w:fill="auto"/>
          </w:tcPr>
          <w:p>
            <w:pPr>
              <w:pStyle w:val="56"/>
              <w:bidi w:val="0"/>
              <w:rPr>
                <w:rFonts w:eastAsia="方正仿宋_GBK"/>
                <w:sz w:val="21"/>
                <w:szCs w:val="21"/>
              </w:rPr>
            </w:pPr>
            <w:r>
              <w:rPr>
                <w:rFonts w:eastAsia="方正仿宋_GBK"/>
                <w:sz w:val="21"/>
                <w:szCs w:val="21"/>
                <w:lang w:val="en-US" w:eastAsia="zh-CN"/>
              </w:rPr>
              <w:t>▲1.录播主机需采用一体化嵌入式硬件设计架构，内置不低于国产化八核处理器，Linux系统，≥8GB内存，≥2T硬盘。至少满足录制、直播、点播、互动、导播管理、存储、切换、视音频编码、语音转写、虚拟抠像、行为分析等功能，支持远程互动教学，实现远程互动网络课堂。(投标时须提供具有CNAS标识的检测报告复印件及报告编号在全国认证认可信息公共服务平台的查询截图并加盖制造商公章)</w:t>
              <w:br/>
              <w:t>▲2.录播主机具有≥6英寸触控液晶屏幕，可显示设备运行状态等信息，可通过触控方式设置设备基础信息。(投标时须提供具有CNAS标识的检测报告复印件及报告编号在全国认证认可信息公共服务平台的查询截图并加盖制造商公章)</w:t>
              <w:br/>
              <w:t>3.视频输入接口：支持≥4路HD BaseT接口，≥4路HDMI接口，其中HD BaseT技术可实现远距离4K超高清信号无压缩、无延时传输，一根网线即可完成供电、控制、传输。</w:t>
              <w:br/>
              <w:t>4.视频输出接口：支持≥4路本地视频输出接口，至少包括2路HDMI接口（至少1路HDMI可自定义输出视频源和分辨率）和2路HDBaseT接口。</w:t>
              <w:br/>
              <w:t>5.音频接口：支持≥2路本地音频信号采集接口；支持≥3路音频输出接口，其中至少2路凤凰端子输出接口，1路3.5mm输出接口。</w:t>
              <w:br/>
              <w:t>6.支持≥2路100/1000Mbps自适应网口。支持双网卡，支持局域网（网络摄像机等设备的接入）和互联网彼此隔离，独立工作，互不影响。</w:t>
              <w:br/>
              <w:t>▲7.支持≥1路TYPE-C接口；≥2路USB 3.0接口，支持连接鼠标、键盘进行导播控制以及主机连接U盘进行课程视频的录制、下载。(投标时须提供具有CNAS标识的检测报告复印件及报告编号在全国认证认可信息公共服务平台的查询截图并加盖制造商公章)</w:t>
              <w:br/>
              <w:t>8.具有≥5路控制口，支持至少4路RS232接口和1路RS485接口，可支持对接第三方中控、物联等可编程软件，实现对设备的管控。</w:t>
              <w:br/>
              <w:t>9.支持外接光驱刻录光盘，拷贝本地视频至光驱刻录。</w:t>
              <w:br/>
              <w:t>▲10.视频编码：需支持H.265和H.264两种视频编码协议，实现更高效率和更好质量的编码技术，支持4K分辨率（3840*2160）视频的编码和录制。(投标时须提供具有CNAS标识的检测报告复印件及报告编号在全国认证认可信息公共服务平台的查询截图并加盖制造商公章)</w:t>
              <w:br/>
              <w:t>11.要求支持IPV4、IPV6链路地址、IPV6外网地址三个网络地址配置，支持启用DHCP自动获取IP地址。</w:t>
              <w:br/>
              <w:t>12.为保证具有更好的散热效果，主机需内置散热风扇，可自定义主机风扇转速。</w:t>
            </w:r>
          </w:p>
        </w:tc>
        <w:tc>
          <w:tcPr>
            <w:tcW w:w="484" w:type="dxa"/>
            <w:shd w:val="clear" w:color="auto" w:fill="auto"/>
            <w:vAlign w:val="center"/>
          </w:tcPr>
          <w:p>
            <w:pPr>
              <w:pStyle w:val="56"/>
              <w:bidi w:val="0"/>
              <w:rPr>
                <w:rFonts w:eastAsia="方正仿宋_GBK"/>
                <w:sz w:val="21"/>
                <w:szCs w:val="21"/>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rPr>
            </w:pPr>
            <w:r>
              <w:rPr>
                <w:rFonts w:eastAsia="方正仿宋_GBK"/>
                <w:sz w:val="21"/>
                <w:szCs w:val="21"/>
                <w:lang w:val="en-US" w:eastAsia="zh-CN"/>
              </w:rPr>
              <w:t>台</w:t>
            </w:r>
          </w:p>
        </w:tc>
      </w:tr>
      <w:tr>
        <w:trPr>
          <w:trHeight w:val="1081"/>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rPr>
            </w:pPr>
            <w:r>
              <w:rPr>
                <w:rFonts w:eastAsia="方正仿宋_GBK"/>
                <w:sz w:val="21"/>
                <w:szCs w:val="21"/>
                <w:lang w:val="en-US" w:eastAsia="zh-CN"/>
              </w:rPr>
              <w:t>4K高清录播系统</w:t>
            </w:r>
          </w:p>
        </w:tc>
        <w:tc>
          <w:tcPr>
            <w:tcW w:w="5470" w:type="dxa"/>
            <w:shd w:val="clear" w:color="auto" w:fill="auto"/>
          </w:tcPr>
          <w:p>
            <w:pPr>
              <w:pStyle w:val="56"/>
              <w:bidi w:val="0"/>
              <w:rPr>
                <w:rFonts w:eastAsia="方正仿宋_GBK"/>
                <w:sz w:val="21"/>
                <w:szCs w:val="21"/>
              </w:rPr>
            </w:pPr>
            <w:r>
              <w:rPr>
                <w:rFonts w:eastAsia="方正仿宋_GBK"/>
                <w:sz w:val="21"/>
                <w:szCs w:val="21"/>
                <w:lang w:val="en-US" w:eastAsia="zh-CN"/>
              </w:rPr>
              <w:t>1.系统支持账号密码登录，支持电影模式、资源模式等录制模式，支持≥1路电影模式加≥6路资源备份，可同时录制合成画面、教师全景、教师特写、学生全景、学生特写、板书画面、电脑画面。</w:t>
              <w:br/>
              <w:t>▲2.录制格式至少支持MP4/FLV/TS，录制分辨率支持3840*2160、1920*1080等，支持录制帧率设定，可选择25fps/30fps。(投标时须提供具有CNAS标识的检测报告复印件及报告编号在全国认证认可信息公共服务平台的查询截图并加盖制造商公章)</w:t>
              <w:br/>
              <w:t>3.支持实时显示录播主机CPU的使用率，硬盘使用情况，不少于6路预监画面，可自定义通道预监画面名称。</w:t>
              <w:br/>
              <w:t>4.要求导播模式支持视频预览、直播输出监视、视频切换等功能，其中鼠标拖动视频切换时支持导播小画面定位跟随。</w:t>
              <w:br/>
              <w:t>5.支持添加字幕，支持包括系统时间在内的九种预设字幕的设置，其中系统时间支持自动校准。可直接通过拖拽实现自定义字幕显示位置。支持设置≥9种字体大小、≥8种字体颜色、≥8种字体背景颜色选择。</w:t>
              <w:br/>
              <w:t>▲6.系统界面自带虚拟软键盘，无需外接USB键盘，可输入中文、英文、数字、特殊符号。(投标时须提供具有CNAS标识的检测报告复印件及报告编号在全国认证认可信息公共服务平台的查询截图并加盖制造商公章)</w:t>
              <w:br/>
              <w:t>7.支持导播模式设置：至少包括手动、半自动、全自动模式，具有自动轮巡导播模式，可自定义轮巡画面和间隔时长。</w:t>
              <w:br/>
              <w:t>8.需支持会议导播模式，开启会议模式后，系统根据会议麦克风发言自动切换视频画面预置位。</w:t>
              <w:br/>
              <w:t>▲9.要求提供多种画面布局模式，支持视频画面叠加与组合，包括单画面、双分屏画面、三分屏画面、四分屏画面显示，可直接通过鼠标拖动通道画面实现多分屏布局显示画面的替换，替换时支持导播小画面定位跟随。(投标时须提供具有CNAS标识的检测报告复印件及报告编号在全国认证认可信息公共服务平台的查询截图并加盖制造商公章)</w:t>
              <w:br/>
              <w:t>10.需支持自定义布局方式，支持多个视频图层自由叠加组合，自定义布局时可随意拖拉画面窗口，更改布局背景和边框颜色。</w:t>
              <w:br/>
              <w:t>11.支持≥4种片头和≥4种片尾的添加，可以设置插入片头片尾的时间，支持jpg、png格式。</w:t>
              <w:br/>
              <w:t>12.台标支持≥4个固定位置，分别为左上、右上、左下、右下，支持手动拖拽移动台标，实现界面任意位置的台标设置。支持设定图片台标，支持jpg、png格式。</w:t>
              <w:br/>
              <w:t>13.支持上滑、下滑、左滑、右滑等多种切换特效，支持自定义选择≥8种特效切换速度。</w:t>
              <w:br/>
              <w:t>14.要求系统支持摄像机云台控制，可以对摄像机进行变焦、上下左右位置调整以及≥8个预置位的设置。</w:t>
              <w:br/>
              <w:t>15.要求系统可以进行音量设置，可以采用鼠标拖动方式控制设备输入输出的音量大小。</w:t>
              <w:br/>
              <w:t>16.系统支持录制倒计时和循环记录功能，在硬盘存储空间为0时，仍可进行录制，将最早录制的视频文件删除，支持录制到U盘。</w:t>
              <w:br/>
              <w:t>17.所录制的视频文件既可存储在本地硬盘，也支持通过FTP上传至平台，同时支持用户随时通过录播主机点播回放视频，并可使用移动磁盘或硬盘拷贝下载，需支持本地文件重命名，具有视频文件回收站功能，保存至少7天后自动删除。</w:t>
              <w:br/>
              <w:t>18.系统支持长视频分段录制的功能，可自定义视频文件分段时长，当录制课程时间较长时，可在不结束录制的条件下自动按分段时长将课程视频文件分割录制成多个视频文件，至少提供不限时长、45分钟、60分钟、90分钟、120分钟、150分钟、180分钟、240分钟等多种方式可选。</w:t>
              <w:br/>
              <w:t>19.系统具有推送公网直播功能并可在设备上自动生成直播二维码，扫描即可观看直播，系统可选择创建直播类型，至少包括活动直播和教研直播，支持自定义直播标题和起始时间，可设置直播分辨率和码率，调接直播画面音量大小，支持直播列表的查看，直播列表展示课程天数。</w:t>
              <w:br/>
              <w:t>20.系统需支持RTMP直播推流，推送的直播流可选择不同视频源，可选画面≥4个，可同时开启平台直播和三方推流直播。</w:t>
              <w:br/>
              <w:t>▲21.要求内置微课制作功能，支持不少于前景、人像、背景3层场景叠加，叠加的场景支持PPT、视频、图片，虚拟抠像后的人像等类型。支持虚拟抠像后合成的画面实现和远端进行音视频互动。(投标时须提供具有CNAS标识的检测报告复印件及报告编号在全国认证认可信息公共服务平台的查询截图并加盖制造商公章)</w:t>
              <w:br/>
              <w:t>21.要求支持虚拟抠像功能，支持≥5路摄像机信号的虚拟抠像处理，支持手动调整前景、人像大小以及位置，抠像功能支持噪点清除、去黑边、溢色清除、前景强化、边缘平滑、饱和度压缩、黑色加强等功能。</w:t>
              <w:br/>
              <w:t>22.至少支持智能抠像和键显色两种抠像模式；智能抠像可用于无幕布场景使用，键显色模式支持专业蓝/绿箱或幕布环境下抠像，用户可根据环境灵活选择。</w:t>
              <w:br/>
              <w:t>23.需支持手动调整前景、人像大小以及位置，抠像功能支持噪点清除、去黑边、溢色清除、前景强化、边缘平滑、饱和度压缩、黑色加强等细节调整，支持校色系数调节由绿幕软件造成的色差，从而达到更为理想的抠像效果</w:t>
              <w:br/>
              <w:t>24.需支持自定义抠像区域，支持在主画面（播出画面）圈出抠像区域的方式进行抠像区域的选择，选定后的抠像区域，可通过鼠标拖拽调整抠像区域位置和大小；</w:t>
              <w:br/>
              <w:t>25.系统应具有抠像画面合成功能，内置≥6种常用的画面布局样式，用户可根据需求自行设定≥4种画面布局样式；</w:t>
              <w:br/>
              <w:t>▲26.要求不依赖网络、外置设备即可实现行为分析、实时字幕的语音转写和热词提取。系统内置行为分析系统，至少支持对教室人数、举手、站立、背身、趴下、低头、扭头人数的实时统计，并实时汇总学生的参与度、活跃度和抬头率。(投标时须提供具有CNAS标识的检测报告复印件及报告编号在全国认证认可信息公共服务平台的查询截图并加盖制造商公章)</w:t>
              <w:br/>
              <w:t>27.行为分析可选择是否进行举手、趴桌、站立等行为数据展示，可选择学生全景相机位置，语音识别需支持区分角色，自动成生行为分析报告，报告可自动下载至本地文件夹中。</w:t>
              <w:br/>
              <w:t>28.内置互动系统，支持标准SIP和H.323互动协议，支持互动列表，列表中可以显示所有与会者的信息；支持互动画面布局的显示，布局支持单分屏，双分屏，三分屏，四分屏显示。互动界面支持双流、一键静音、全屏、导播设置等功能。</w:t>
              <w:br/>
              <w:t>28.要求进入互动系统时可支持查看永久课历史记录，可输入房间号快速加入远程互动，并显示对应的课程信息，包括时长、主讲人、房间名称、房间号、丢包率、网络延时等。</w:t>
              <w:br/>
              <w:t>30.要求创建房间时支持对主题、主讲人、开始日期、开始时间和结束时间、验证方式的设置，其中验证方式支持公开和加密的选择。</w:t>
              <w:br/>
              <w:t>32.要求支持对每个互动房间自动分配短号，可以通过短号直接实现多个设备间的互动，支持房间加密。</w:t>
              <w:br/>
              <w:t>授课预监：授课过程中，录播主机屏幕将实时显示授课教室和参与互动的听课教室画面，用户可实时查看授课教室的拍摄效果，及互动教室的听课状态。</w:t>
              <w:br/>
              <w:t>▲33需支持对录播机进行网络检测，可实时检测服务器连通性、网络稳定性、上行下行速度、网络追踪性、网卡信息、信道状态。(投标时须提供具有CNAS标识的检测报告复印件及报告编号在全国认证认可信息公共服务平台的查询截图并加盖制造商公章)</w:t>
              <w:br/>
              <w:t>34.系统至少支持查看软件版本，设备型号，硬件版本，设备编号，需支持中英文版本切换，支持本地硬盘格式化，系统可选择在线更新或本地更新，导出调试日志，具有一键恢复出厂设置。</w:t>
            </w:r>
          </w:p>
        </w:tc>
        <w:tc>
          <w:tcPr>
            <w:tcW w:w="484" w:type="dxa"/>
            <w:shd w:val="clear" w:color="auto" w:fill="auto"/>
            <w:vAlign w:val="center"/>
          </w:tcPr>
          <w:p>
            <w:pPr>
              <w:pStyle w:val="56"/>
              <w:bidi w:val="0"/>
              <w:rPr>
                <w:rFonts w:eastAsia="方正仿宋_GBK"/>
                <w:sz w:val="21"/>
                <w:szCs w:val="21"/>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rPr>
            </w:pPr>
            <w:r>
              <w:rPr>
                <w:rFonts w:eastAsia="方正仿宋_GBK"/>
                <w:sz w:val="21"/>
                <w:szCs w:val="21"/>
                <w:lang w:val="en-US" w:eastAsia="zh-CN"/>
              </w:rPr>
              <w:t>套</w:t>
            </w:r>
          </w:p>
        </w:tc>
      </w:tr>
      <w:tr>
        <w:trPr>
          <w:trHeight w:val="1081"/>
        </w:trPr>
        <w:tc>
          <w:tcPr>
            <w:tcW w:w="515" w:type="dxa"/>
            <w:vMerge w:val="restart"/>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2</w:t>
            </w:r>
          </w:p>
        </w:tc>
        <w:tc>
          <w:tcPr>
            <w:tcW w:w="726" w:type="dxa"/>
            <w:vMerge w:val="restart"/>
            <w:shd w:val="clear" w:color="auto" w:fill="auto"/>
            <w:vAlign w:val="center"/>
          </w:tcPr>
          <w:p>
            <w:pPr>
              <w:pStyle w:val="56"/>
              <w:bidi w:val="0"/>
              <w:rPr>
                <w:rFonts w:eastAsia="方正仿宋_GBK"/>
                <w:sz w:val="21"/>
                <w:szCs w:val="21"/>
              </w:rPr>
            </w:pPr>
            <w:r>
              <w:rPr>
                <w:rFonts w:eastAsia="方正仿宋_GBK"/>
                <w:sz w:val="21"/>
                <w:szCs w:val="21"/>
                <w:lang w:val="en-US" w:eastAsia="zh-CN"/>
              </w:rPr>
              <w:t>视频系统</w:t>
            </w: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4K超高清摄像机</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▲1.采用≥1/2.5 英寸CMOS，≥850万像素，需支持4K(3840×2160)分辨率，兼容1080P、720P等多种分辨率。(投标时须提供具有CNAS标识的检测报告复印件及报告编号在全国认证认可信息公共服务平台的查询截图并加盖制造商公章)</w:t>
              <w:br/>
              <w:t>2.镜头:f=4.4mm~52.8mm，F1.8~F2.6，光学变焦≥12倍，数字变焦≥16倍。</w:t>
              <w:br/>
              <w:t>3.需支持水平翻转、垂直翻转，水平视场角：不小于71°~8.2°；垂直视场角：不小于42.7°~4.5°;水平转动范围：不小于±170°，垂直转动范围：不小于-30°~30°；水平转动速度范围：不小于 1.7° ~76°/s，垂直速度范围：不小于0.5° ~ 15°/s</w:t>
              <w:br/>
              <w:t>4.支持不少于2D、3D数字降噪，图像信噪比≥55dB。</w:t>
              <w:br/>
              <w:t>5.音频接口：≥1路Line in/Mic in,3.5mm音频接口，需支持 AAC 编码格式，音频采样率≥48KHz。</w:t>
              <w:br/>
              <w:t>6.视频接口：≥1路HDMI out接口。</w:t>
              <w:br/>
              <w:t>7.控制接口：≥1路RS232 in,≥1路RS232 out，≥1路RS485，需支持VISCA/Pelco-D/Pelco-P协议。</w:t>
              <w:br/>
              <w:t>8.网络接口：≥1路RJ45，10M/100M/1000M自适应口，支持POE。</w:t>
              <w:br/>
              <w:t>9.至少支持TCP/IP、HTTP、RTSP、RTMP/RTMPS、Onvif、DHCP、组播等网络协议等。</w:t>
              <w:br/>
              <w:t>10.视频制式需支持50Hz/60Hz，编码等级可设置main profile/high profile，视频编码协议至少支持 H.264/H.265/MJPEG等；帧率支持1~30fps。</w:t>
              <w:br/>
              <w:t>▲11.需支持≥1路HDbaseT，需集视频、音频、控制及供电一线传输，支持传输4K视频，传输距离至少100 米。(投标时须提供具有CNAS标识的检测报告复印件及报告编号在全国认证认可信息公共服务平台的查询截图并加盖制造商公章)</w:t>
              <w:br/>
              <w:t>▲12.至少支持HDMI、网络、HDBaseT等输出方式，实现4K视频的同步输出。(投标时须提供具有CNAS标识的检测报告复印件及报告编号在全国认证认可信息公共服务平台的查询截图并加盖制造商公章)</w:t>
              <w:br/>
              <w:t>▲13.摄像机配合录播主机可支持人物动作分析，至少识别举手、站立、背身、趴下、低头、扭头等人物动作分析。(投标时须提供具有CNAS标识的检测报告复印件及报告编号在全国认证认可信息公共服务平台的查询截图并加盖制造商公章)</w:t>
              <w:br/>
              <w:t>14.需支持摄像机控制功能，至少包括云台控制、预置位设置与调用、焦距调节等，≥255预置位。</w:t>
              <w:br/>
              <w:t>15.需支持多种白平衡方式，至少包括自动, 室内, 室外, 一键式, 手动。</w:t>
              <w:br/>
              <w:t>16.需支持通过浏览器进行管理，至少包括亮度、饱和度、对比度、锐度、色度设置。</w:t>
              <w:br/>
              <w:t>17.需支持DC 12V供电。</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4</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2320"/>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指向性话筒</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 xml:space="preserve">1.换能原理：电容式 </w:t>
              <w:br/>
              <w:t xml:space="preserve">2.声学类型：压强压差组合 </w:t>
              <w:br/>
              <w:t xml:space="preserve">3.指向性：心型单方向 </w:t>
              <w:br/>
              <w:t xml:space="preserve">4.灵敏度：-38dB±3dB 1v/pa 1Khz 2V/2.2KΩ </w:t>
              <w:br/>
              <w:t xml:space="preserve">5.频率响应：20—18000HZ </w:t>
              <w:br/>
              <w:t xml:space="preserve">6.最大声压级：≥120 dB(谐波失真不超过1%) </w:t>
              <w:br/>
              <w:t xml:space="preserve">7.工作电压：≤48V </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6</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支</w:t>
            </w:r>
          </w:p>
        </w:tc>
      </w:tr>
      <w:tr>
        <w:trPr>
          <w:trHeight w:val="925"/>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数字音频矩阵</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1.信号处理：要求主机采用≥4核高速DSP处理芯片，64bit处理内核，主频≥1GHz，信号处理延时</w:t>
            </w:r>
            <w:r>
              <w:rPr>
                <w:rFonts w:ascii="方正仿宋_GBK" w:eastAsia="方正仿宋_GBK" w:hint="eastAsia"/>
                <w:sz w:val="21"/>
                <w:szCs w:val="21"/>
                <w:lang w:val="en-US" w:eastAsia="zh-CN"/>
              </w:rPr>
              <w:t>≦</w:t>
            </w:r>
            <w:r>
              <w:rPr>
                <w:rFonts w:eastAsia="方正仿宋_GBK"/>
                <w:sz w:val="21"/>
                <w:szCs w:val="21"/>
                <w:lang w:val="en-US" w:eastAsia="zh-CN"/>
              </w:rPr>
              <w:t>8ms；支持48KHz采样率；</w:t>
              <w:br/>
              <w:t>2.音频输入/输出：≥16路音频通道输入，≥16路音频通道输出。</w:t>
              <w:br/>
              <w:t>3.麦克风输入：≥8路48V幻象供电的麦克风输入，幻象供电可软件开关。</w:t>
              <w:br/>
              <w:t>4.模拟音频输入：≥6路差分信号输入</w:t>
              <w:br/>
              <w:t>5.模拟音频输出：≥10路差分信号输出</w:t>
              <w:br/>
              <w:t>6.增益调节：支持麦克风ADC增益0到35dB可调；支持DAC输出增益0到127等级可调；支持噪声抑制有0到18等级可调，混响抑制0到4级可调，扩声还原度0到10级可调。</w:t>
              <w:br/>
              <w:t>7.回声消除（AEC）：回音消除尾音长度：≥512ms，回声消除幅度：≥60dB, AEC有≥16等级可调，AEC延迟值4-255ms。</w:t>
              <w:br/>
              <w:t>8.反馈抑制（AFC）：反馈抑制效果器支持控制开关，并且支持≥16段自适应频率滤波器；反馈抑制频率可手动调整；反馈抑制效果器可有效提升传声增益幅度：≥15dB。</w:t>
              <w:br/>
              <w:t>9.自动增益控制（AGC）：增益控制幅度-24dB到24dB可调，并可开关自动增益控制功能。</w:t>
              <w:br/>
              <w:t>10.AI智能降噪（ANS）：内置AI智能降噪算法，有效降低和滤除教室内常见稳态噪声，同时还可有效降低和滤除教室内瞬态噪声，最大噪声抑制幅度≥36dB。</w:t>
              <w:br/>
              <w:t>11.设备调音：主机软件可根据现场需求，分别支持反馈抑制调音、手持麦扩声调音和AEC调音功能。</w:t>
              <w:br/>
              <w:t>12.一键调音：设备机身和调试软件均支持一键AI自适应声场调音。调音时，主机操作音箱自行发出调试声音，并在参数调试完成后自行结束调试。调试后，观察主机软件，可正确显示房间内吊麦及音箱数量，并明确显示调音成功或调音失败。</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3316"/>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视频矩阵</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全硬件架构无CPU和操作系统，运行操作响应速度更快;</w:t>
              <w:br/>
              <w:t>产品内部有 ESD 静电设计，支持热拔插，系统稳定可靠；</w:t>
              <w:br/>
              <w:t>每一路信号支持HDCP解码，蓝光，3D;</w:t>
              <w:br/>
              <w:t>支持信号时序重整，36 位真彩技术;</w:t>
              <w:br/>
              <w:t>支持通道快速切换，一 一对应场景模式的快速保存和调取；</w:t>
              <w:br/>
              <w:t>支持最大分辨率，4Kx2K@30HZ，108P3D@60HZ;</w:t>
              <w:br/>
              <w:t>可视化操作按键，通过按键指示灯可实现输入输出通道可视化;</w:t>
              <w:br/>
              <w:t>广电级交换芯片，图像切换单颗芯片即可完成，集成度更高;</w:t>
              <w:br/>
              <w:t>支持面板按键，红外遥控，RS232 串口、局域网、WEB等控制方式:</w:t>
              <w:br/>
              <w:t>支持EDID可擦写EDID自适应功能，更好适应现场多样式化的显示设备，提高兼容性;</w:t>
              <w:br/>
              <w:t>输入支持接收延迟，有效应对当差分对线不等长时进行时间补偿；</w:t>
              <w:br/>
              <w:t>音频解嵌及切换功能，3.5mm音频跟随最后一路HDMI输出接口；</w:t>
              <w:br/>
              <w:t>软件支持内置16种场景模式，能任意调用场景；</w:t>
              <w:br/>
              <w:t>断电记忆现场保护功能，自动保存当前场景状态;</w:t>
              <w:br/>
              <w:t>主机显示屏采用英文高分辨率显示屏，支持LOGO和型号烧录定制</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3316"/>
        </w:trPr>
        <w:tc>
          <w:tcPr>
            <w:tcW w:w="515" w:type="dxa"/>
            <w:vMerge w:val="restart"/>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3</w:t>
            </w:r>
          </w:p>
        </w:tc>
        <w:tc>
          <w:tcPr>
            <w:tcW w:w="726" w:type="dxa"/>
            <w:vMerge w:val="restart"/>
            <w:shd w:val="clear" w:color="auto" w:fill="auto"/>
            <w:vAlign w:val="center"/>
          </w:tcPr>
          <w:p>
            <w:pPr>
              <w:pStyle w:val="56"/>
              <w:bidi w:val="0"/>
              <w:rPr>
                <w:rFonts w:eastAsia="方正仿宋_GBK"/>
                <w:sz w:val="21"/>
                <w:szCs w:val="21"/>
              </w:rPr>
            </w:pPr>
            <w:r>
              <w:rPr>
                <w:rFonts w:eastAsia="方正仿宋_GBK"/>
                <w:sz w:val="21"/>
                <w:szCs w:val="21"/>
                <w:lang w:val="en-US" w:eastAsia="zh-CN"/>
              </w:rPr>
              <w:t>音频系统</w:t>
            </w: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一拖四无线话筒</w:t>
            </w:r>
          </w:p>
        </w:tc>
        <w:tc>
          <w:tcPr>
            <w:tcW w:w="5470"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drawing>
                <wp:anchor distT="0" distB="0" distL="114300" distR="114300" simplePos="0" relativeHeight="41"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1" name="Picture_7"/>
                  <wp:cNvGraphicFramePr>
                    <a:graphicFrameLocks noChangeAspect="0"/>
                  </wp:cNvGraphicFramePr>
                  <a:graphic>
                    <a:graphicData uri="http://schemas.openxmlformats.org/drawingml/2006/picture">
                      <pic:pic>
                        <pic:nvPicPr>
                          <pic:cNvPr id="3" name="Picture_7 3"/>
                          <pic:cNvPicPr/>
                        </pic:nvPicPr>
                        <pic:blipFill>
                          <a:blip r:embed="rId4"/>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42"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4" name="Picture_7_SpCnt_1"/>
                  <wp:cNvGraphicFramePr>
                    <a:graphicFrameLocks noChangeAspect="0"/>
                  </wp:cNvGraphicFramePr>
                  <a:graphic>
                    <a:graphicData uri="http://schemas.openxmlformats.org/drawingml/2006/picture">
                      <pic:pic>
                        <pic:nvPicPr>
                          <pic:cNvPr id="5" name="Picture_7_SpCnt_1 5"/>
                          <pic:cNvPicPr/>
                        </pic:nvPicPr>
                        <pic:blipFill>
                          <a:blip r:embed="rId5"/>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43"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6" name="Picture_7_SpCnt_2"/>
                  <wp:cNvGraphicFramePr>
                    <a:graphicFrameLocks noChangeAspect="0"/>
                  </wp:cNvGraphicFramePr>
                  <a:graphic>
                    <a:graphicData uri="http://schemas.openxmlformats.org/drawingml/2006/picture">
                      <pic:pic>
                        <pic:nvPicPr>
                          <pic:cNvPr id="7" name="Picture_7_SpCnt_2 7"/>
                          <pic:cNvPicPr/>
                        </pic:nvPicPr>
                        <pic:blipFill>
                          <a:blip r:embed="rId6"/>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44"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8" name="Picture_7_SpCnt_3"/>
                  <wp:cNvGraphicFramePr>
                    <a:graphicFrameLocks noChangeAspect="0"/>
                  </wp:cNvGraphicFramePr>
                  <a:graphic>
                    <a:graphicData uri="http://schemas.openxmlformats.org/drawingml/2006/picture">
                      <pic:pic>
                        <pic:nvPicPr>
                          <pic:cNvPr id="9" name="Picture_7_SpCnt_3 9"/>
                          <pic:cNvPicPr/>
                        </pic:nvPicPr>
                        <pic:blipFill>
                          <a:blip r:embed="rId7"/>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45"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10" name="Picture_7_SpCnt_4"/>
                  <wp:cNvGraphicFramePr>
                    <a:graphicFrameLocks noChangeAspect="0"/>
                  </wp:cNvGraphicFramePr>
                  <a:graphic>
                    <a:graphicData uri="http://schemas.openxmlformats.org/drawingml/2006/picture">
                      <pic:pic>
                        <pic:nvPicPr>
                          <pic:cNvPr id="11" name="Picture_7_SpCnt_4 11"/>
                          <pic:cNvPicPr/>
                        </pic:nvPicPr>
                        <pic:blipFill>
                          <a:blip r:embed="rId8"/>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46"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12" name="Picture_7_SpCnt_5"/>
                  <wp:cNvGraphicFramePr>
                    <a:graphicFrameLocks noChangeAspect="0"/>
                  </wp:cNvGraphicFramePr>
                  <a:graphic>
                    <a:graphicData uri="http://schemas.openxmlformats.org/drawingml/2006/picture">
                      <pic:pic>
                        <pic:nvPicPr>
                          <pic:cNvPr id="13" name="Picture_7_SpCnt_5 13"/>
                          <pic:cNvPicPr/>
                        </pic:nvPicPr>
                        <pic:blipFill>
                          <a:blip r:embed="rId9"/>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47"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14" name="Picture_7_SpCnt_6"/>
                  <wp:cNvGraphicFramePr>
                    <a:graphicFrameLocks noChangeAspect="0"/>
                  </wp:cNvGraphicFramePr>
                  <a:graphic>
                    <a:graphicData uri="http://schemas.openxmlformats.org/drawingml/2006/picture">
                      <pic:pic>
                        <pic:nvPicPr>
                          <pic:cNvPr id="15" name="Picture_7_SpCnt_6 15"/>
                          <pic:cNvPicPr/>
                        </pic:nvPicPr>
                        <pic:blipFill>
                          <a:blip r:embed="rId10"/>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48"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16" name="Picture_7_SpCnt_7"/>
                  <wp:cNvGraphicFramePr>
                    <a:graphicFrameLocks noChangeAspect="0"/>
                  </wp:cNvGraphicFramePr>
                  <a:graphic>
                    <a:graphicData uri="http://schemas.openxmlformats.org/drawingml/2006/picture">
                      <pic:pic>
                        <pic:nvPicPr>
                          <pic:cNvPr id="17" name="Picture_7_SpCnt_7 17"/>
                          <pic:cNvPicPr/>
                        </pic:nvPicPr>
                        <pic:blipFill>
                          <a:blip r:embed="rId11"/>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49"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18" name="Picture_7_SpCnt_8"/>
                  <wp:cNvGraphicFramePr>
                    <a:graphicFrameLocks noChangeAspect="0"/>
                  </wp:cNvGraphicFramePr>
                  <a:graphic>
                    <a:graphicData uri="http://schemas.openxmlformats.org/drawingml/2006/picture">
                      <pic:pic>
                        <pic:nvPicPr>
                          <pic:cNvPr id="19" name="Picture_7_SpCnt_8 19"/>
                          <pic:cNvPicPr/>
                        </pic:nvPicPr>
                        <pic:blipFill>
                          <a:blip r:embed="rId12"/>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50"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20" name="Picture_7_SpCnt_9"/>
                  <wp:cNvGraphicFramePr>
                    <a:graphicFrameLocks noChangeAspect="0"/>
                  </wp:cNvGraphicFramePr>
                  <a:graphic>
                    <a:graphicData uri="http://schemas.openxmlformats.org/drawingml/2006/picture">
                      <pic:pic>
                        <pic:nvPicPr>
                          <pic:cNvPr id="21" name="Picture_7_SpCnt_9 21"/>
                          <pic:cNvPicPr/>
                        </pic:nvPicPr>
                        <pic:blipFill>
                          <a:blip r:embed="rId13"/>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51"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22" name="Picture_7_SpCnt_10"/>
                  <wp:cNvGraphicFramePr>
                    <a:graphicFrameLocks noChangeAspect="0"/>
                  </wp:cNvGraphicFramePr>
                  <a:graphic>
                    <a:graphicData uri="http://schemas.openxmlformats.org/drawingml/2006/picture">
                      <pic:pic>
                        <pic:nvPicPr>
                          <pic:cNvPr id="23" name="Picture_7_SpCnt_10 23"/>
                          <pic:cNvPicPr/>
                        </pic:nvPicPr>
                        <pic:blipFill>
                          <a:blip r:embed="rId14"/>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52"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24" name="Picture_7_SpCnt_11"/>
                  <wp:cNvGraphicFramePr>
                    <a:graphicFrameLocks noChangeAspect="0"/>
                  </wp:cNvGraphicFramePr>
                  <a:graphic>
                    <a:graphicData uri="http://schemas.openxmlformats.org/drawingml/2006/picture">
                      <pic:pic>
                        <pic:nvPicPr>
                          <pic:cNvPr id="25" name="Picture_7_SpCnt_11 25"/>
                          <pic:cNvPicPr/>
                        </pic:nvPicPr>
                        <pic:blipFill>
                          <a:blip r:embed="rId15"/>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53"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26" name="Picture_7_SpCnt_12"/>
                  <wp:cNvGraphicFramePr>
                    <a:graphicFrameLocks noChangeAspect="0"/>
                  </wp:cNvGraphicFramePr>
                  <a:graphic>
                    <a:graphicData uri="http://schemas.openxmlformats.org/drawingml/2006/picture">
                      <pic:pic>
                        <pic:nvPicPr>
                          <pic:cNvPr id="27" name="Picture_7_SpCnt_12 27"/>
                          <pic:cNvPicPr/>
                        </pic:nvPicPr>
                        <pic:blipFill>
                          <a:blip r:embed="rId16"/>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54"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28" name="Picture_7_SpCnt_13"/>
                  <wp:cNvGraphicFramePr>
                    <a:graphicFrameLocks noChangeAspect="0"/>
                  </wp:cNvGraphicFramePr>
                  <a:graphic>
                    <a:graphicData uri="http://schemas.openxmlformats.org/drawingml/2006/picture">
                      <pic:pic>
                        <pic:nvPicPr>
                          <pic:cNvPr id="29" name="Picture_7_SpCnt_13 29"/>
                          <pic:cNvPicPr/>
                        </pic:nvPicPr>
                        <pic:blipFill>
                          <a:blip r:embed="rId17"/>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55"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30" name="Picture_7_SpCnt_14"/>
                  <wp:cNvGraphicFramePr>
                    <a:graphicFrameLocks noChangeAspect="0"/>
                  </wp:cNvGraphicFramePr>
                  <a:graphic>
                    <a:graphicData uri="http://schemas.openxmlformats.org/drawingml/2006/picture">
                      <pic:pic>
                        <pic:nvPicPr>
                          <pic:cNvPr id="31" name="Picture_7_SpCnt_14 31"/>
                          <pic:cNvPicPr/>
                        </pic:nvPicPr>
                        <pic:blipFill>
                          <a:blip r:embed="rId18"/>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56"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32" name="Picture_7_SpCnt_15"/>
                  <wp:cNvGraphicFramePr>
                    <a:graphicFrameLocks noChangeAspect="0"/>
                  </wp:cNvGraphicFramePr>
                  <a:graphic>
                    <a:graphicData uri="http://schemas.openxmlformats.org/drawingml/2006/picture">
                      <pic:pic>
                        <pic:nvPicPr>
                          <pic:cNvPr id="33" name="Picture_7_SpCnt_15 33"/>
                          <pic:cNvPicPr/>
                        </pic:nvPicPr>
                        <pic:blipFill>
                          <a:blip r:embed="rId19"/>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t>1.UHF频段传输信号，频率范围：520MHz-830MHz。</w:t>
              <w:br/>
              <w:t>2.各通道配备独有的ID号，增强抗干扰功能，具备≥320个可选频点，方便多套使用，轻松避开各类干扰。</w:t>
              <w:br/>
              <w:t>3.采用稳定的PLL数位锁相环合成技术和智能数字线路，整机性能稳定性显著提高。</w:t>
              <w:br/>
              <w:t>4.红外线对频、发射器可以互换、操作简单、功能先进。</w:t>
              <w:br/>
              <w:t>5.先进的自动对频技术，系统具备自动搜索选择频率及ACT（自动频道追锁）功能；</w:t>
              <w:br/>
              <w:t>6.高保真单指向性电容咪芯，声音还原好。拾音距离可达到≥50CM。</w:t>
              <w:br/>
              <w:t>7.主机采用≥4个独立 LCD屏，单元LCD白光显示屏，可动态显示系统信号、音量、通道、频点数值；</w:t>
              <w:br/>
              <w:t>8.接收机背面设置≥4条橡胶接收天线，增强接收的信号，外观大方得体。</w:t>
              <w:br/>
              <w:t>9.采用专业级音频压缩扩展技术，噪音小,尾音小,动态范围更大。</w:t>
              <w:br/>
              <w:t>10.同一会场可五套主机同时使用，领夹话筒、手持话筒、会议话筒混合搭配使用，通用性强。</w:t>
              <w:br/>
              <w:t>11.灵活的鹅颈式咪杆设计，可360°全方位调节，咪杆灯环指示发言状态。</w:t>
              <w:br/>
              <w:t>12.具备≥4路独立卡侬输出及≥1路6.35mm混合输出，方便会议全程音频独立录音保存,适应不同的设备连接需求。</w:t>
              <w:br/>
              <w:t>13.超强的抗干扰能力,能有效抑制由外部带来的噪音干扰及同频干扰。</w:t>
              <w:br/>
              <w:t>14.采用三级防静电、防雷保护技术，可抗8000V静电</w:t>
              <w:br/>
              <w:t>15.使用距离: 空旷环境：≥100米,复杂环境：≥80米。</w:t>
              <w:br/>
              <w:t>16.可选配内置反馈抑制器模块，具有独立接收灵敏度调节功能，可对系统输出信号人性化调节，提升拾音距离；</w:t>
              <w:br/>
              <w:t>17.会议话筒内置高容量锂电池，续航时间超长，使用常用TYPE-接口USB充电</w:t>
              <w:br/>
              <w:t>18.所投产品需提供第三方机构出具带有“CMA”、“CNAS”认证资格印章的检验报告，检验报告提供复印件，并由制造商盖章确认证明；</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套</w:t>
            </w:r>
          </w:p>
        </w:tc>
      </w:tr>
      <w:tr>
        <w:trPr>
          <w:trHeight w:val="3316"/>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功放</w:t>
            </w:r>
          </w:p>
        </w:tc>
        <w:tc>
          <w:tcPr>
            <w:tcW w:w="5470"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drawing>
                <wp:anchor distT="0" distB="0" distL="114300" distR="114300" simplePos="0" relativeHeight="57"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34" name="Picture_7"/>
                  <wp:cNvGraphicFramePr>
                    <a:graphicFrameLocks noChangeAspect="0"/>
                  </wp:cNvGraphicFramePr>
                  <a:graphic>
                    <a:graphicData uri="http://schemas.openxmlformats.org/drawingml/2006/picture">
                      <pic:pic>
                        <pic:nvPicPr>
                          <pic:cNvPr id="35" name="Picture_7 35"/>
                          <pic:cNvPicPr/>
                        </pic:nvPicPr>
                        <pic:blipFill>
                          <a:blip r:embed="rId20"/>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58"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36" name="Picture_7_SpCnt_1"/>
                  <wp:cNvGraphicFramePr>
                    <a:graphicFrameLocks noChangeAspect="0"/>
                  </wp:cNvGraphicFramePr>
                  <a:graphic>
                    <a:graphicData uri="http://schemas.openxmlformats.org/drawingml/2006/picture">
                      <pic:pic>
                        <pic:nvPicPr>
                          <pic:cNvPr id="37" name="Picture_7_SpCnt_1 37"/>
                          <pic:cNvPicPr/>
                        </pic:nvPicPr>
                        <pic:blipFill>
                          <a:blip r:embed="rId21"/>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59"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38" name="Picture_7_SpCnt_2"/>
                  <wp:cNvGraphicFramePr>
                    <a:graphicFrameLocks noChangeAspect="0"/>
                  </wp:cNvGraphicFramePr>
                  <a:graphic>
                    <a:graphicData uri="http://schemas.openxmlformats.org/drawingml/2006/picture">
                      <pic:pic>
                        <pic:nvPicPr>
                          <pic:cNvPr id="39" name="Picture_7_SpCnt_2 39"/>
                          <pic:cNvPicPr/>
                        </pic:nvPicPr>
                        <pic:blipFill>
                          <a:blip r:embed="rId22"/>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60"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40" name="Picture_7_SpCnt_3"/>
                  <wp:cNvGraphicFramePr>
                    <a:graphicFrameLocks noChangeAspect="0"/>
                  </wp:cNvGraphicFramePr>
                  <a:graphic>
                    <a:graphicData uri="http://schemas.openxmlformats.org/drawingml/2006/picture">
                      <pic:pic>
                        <pic:nvPicPr>
                          <pic:cNvPr id="41" name="Picture_7_SpCnt_3 41"/>
                          <pic:cNvPicPr/>
                        </pic:nvPicPr>
                        <pic:blipFill>
                          <a:blip r:embed="rId23"/>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61"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42" name="Picture_7_SpCnt_4"/>
                  <wp:cNvGraphicFramePr>
                    <a:graphicFrameLocks noChangeAspect="0"/>
                  </wp:cNvGraphicFramePr>
                  <a:graphic>
                    <a:graphicData uri="http://schemas.openxmlformats.org/drawingml/2006/picture">
                      <pic:pic>
                        <pic:nvPicPr>
                          <pic:cNvPr id="43" name="Picture_7_SpCnt_4 43"/>
                          <pic:cNvPicPr/>
                        </pic:nvPicPr>
                        <pic:blipFill>
                          <a:blip r:embed="rId24"/>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62"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44" name="Picture_7_SpCnt_5"/>
                  <wp:cNvGraphicFramePr>
                    <a:graphicFrameLocks noChangeAspect="0"/>
                  </wp:cNvGraphicFramePr>
                  <a:graphic>
                    <a:graphicData uri="http://schemas.openxmlformats.org/drawingml/2006/picture">
                      <pic:pic>
                        <pic:nvPicPr>
                          <pic:cNvPr id="45" name="Picture_7_SpCnt_5 45"/>
                          <pic:cNvPicPr/>
                        </pic:nvPicPr>
                        <pic:blipFill>
                          <a:blip r:embed="rId25"/>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63"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46" name="Picture_7_SpCnt_6"/>
                  <wp:cNvGraphicFramePr>
                    <a:graphicFrameLocks noChangeAspect="0"/>
                  </wp:cNvGraphicFramePr>
                  <a:graphic>
                    <a:graphicData uri="http://schemas.openxmlformats.org/drawingml/2006/picture">
                      <pic:pic>
                        <pic:nvPicPr>
                          <pic:cNvPr id="47" name="Picture_7_SpCnt_6 47"/>
                          <pic:cNvPicPr/>
                        </pic:nvPicPr>
                        <pic:blipFill>
                          <a:blip r:embed="rId26"/>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64"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48" name="Picture_7_SpCnt_7"/>
                  <wp:cNvGraphicFramePr>
                    <a:graphicFrameLocks noChangeAspect="0"/>
                  </wp:cNvGraphicFramePr>
                  <a:graphic>
                    <a:graphicData uri="http://schemas.openxmlformats.org/drawingml/2006/picture">
                      <pic:pic>
                        <pic:nvPicPr>
                          <pic:cNvPr id="49" name="Picture_7_SpCnt_7 49"/>
                          <pic:cNvPicPr/>
                        </pic:nvPicPr>
                        <pic:blipFill>
                          <a:blip r:embed="rId27"/>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65"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50" name="Picture_7_SpCnt_8"/>
                  <wp:cNvGraphicFramePr>
                    <a:graphicFrameLocks noChangeAspect="0"/>
                  </wp:cNvGraphicFramePr>
                  <a:graphic>
                    <a:graphicData uri="http://schemas.openxmlformats.org/drawingml/2006/picture">
                      <pic:pic>
                        <pic:nvPicPr>
                          <pic:cNvPr id="51" name="Picture_7_SpCnt_8 51"/>
                          <pic:cNvPicPr/>
                        </pic:nvPicPr>
                        <pic:blipFill>
                          <a:blip r:embed="rId28"/>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66"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52" name="Picture_7_SpCnt_9"/>
                  <wp:cNvGraphicFramePr>
                    <a:graphicFrameLocks noChangeAspect="0"/>
                  </wp:cNvGraphicFramePr>
                  <a:graphic>
                    <a:graphicData uri="http://schemas.openxmlformats.org/drawingml/2006/picture">
                      <pic:pic>
                        <pic:nvPicPr>
                          <pic:cNvPr id="53" name="Picture_7_SpCnt_9 53"/>
                          <pic:cNvPicPr/>
                        </pic:nvPicPr>
                        <pic:blipFill>
                          <a:blip r:embed="rId29"/>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67"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54" name="Picture_7_SpCnt_10"/>
                  <wp:cNvGraphicFramePr>
                    <a:graphicFrameLocks noChangeAspect="0"/>
                  </wp:cNvGraphicFramePr>
                  <a:graphic>
                    <a:graphicData uri="http://schemas.openxmlformats.org/drawingml/2006/picture">
                      <pic:pic>
                        <pic:nvPicPr>
                          <pic:cNvPr id="55" name="Picture_7_SpCnt_10 55"/>
                          <pic:cNvPicPr/>
                        </pic:nvPicPr>
                        <pic:blipFill>
                          <a:blip r:embed="rId30"/>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68"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56" name="Picture_7_SpCnt_11"/>
                  <wp:cNvGraphicFramePr>
                    <a:graphicFrameLocks noChangeAspect="0"/>
                  </wp:cNvGraphicFramePr>
                  <a:graphic>
                    <a:graphicData uri="http://schemas.openxmlformats.org/drawingml/2006/picture">
                      <pic:pic>
                        <pic:nvPicPr>
                          <pic:cNvPr id="57" name="Picture_7_SpCnt_11 57"/>
                          <pic:cNvPicPr/>
                        </pic:nvPicPr>
                        <pic:blipFill>
                          <a:blip r:embed="rId31"/>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69"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58" name="Picture_7_SpCnt_12"/>
                  <wp:cNvGraphicFramePr>
                    <a:graphicFrameLocks noChangeAspect="0"/>
                  </wp:cNvGraphicFramePr>
                  <a:graphic>
                    <a:graphicData uri="http://schemas.openxmlformats.org/drawingml/2006/picture">
                      <pic:pic>
                        <pic:nvPicPr>
                          <pic:cNvPr id="59" name="Picture_7_SpCnt_12 59"/>
                          <pic:cNvPicPr/>
                        </pic:nvPicPr>
                        <pic:blipFill>
                          <a:blip r:embed="rId32"/>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70"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60" name="Picture_7_SpCnt_13"/>
                  <wp:cNvGraphicFramePr>
                    <a:graphicFrameLocks noChangeAspect="0"/>
                  </wp:cNvGraphicFramePr>
                  <a:graphic>
                    <a:graphicData uri="http://schemas.openxmlformats.org/drawingml/2006/picture">
                      <pic:pic>
                        <pic:nvPicPr>
                          <pic:cNvPr id="61" name="Picture_7_SpCnt_13 61"/>
                          <pic:cNvPicPr/>
                        </pic:nvPicPr>
                        <pic:blipFill>
                          <a:blip r:embed="rId33"/>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71"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62" name="Picture_7_SpCnt_14"/>
                  <wp:cNvGraphicFramePr>
                    <a:graphicFrameLocks noChangeAspect="0"/>
                  </wp:cNvGraphicFramePr>
                  <a:graphic>
                    <a:graphicData uri="http://schemas.openxmlformats.org/drawingml/2006/picture">
                      <pic:pic>
                        <pic:nvPicPr>
                          <pic:cNvPr id="63" name="Picture_7_SpCnt_14 63"/>
                          <pic:cNvPicPr/>
                        </pic:nvPicPr>
                        <pic:blipFill>
                          <a:blip r:embed="rId34"/>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drawing>
                <wp:anchor distT="0" distB="0" distL="114300" distR="114300" simplePos="0" relativeHeight="72" behindDoc="0" locked="0" layoutInCell="1" hidden="0" allowOverlap="1">
                  <wp:simplePos x="0" y="0"/>
                  <wp:positionH relativeFrom="column">
                    <wp:posOffset>0</wp:posOffset>
                  </wp:positionH>
                  <wp:positionV relativeFrom="paragraph">
                    <wp:posOffset>0</wp:posOffset>
                  </wp:positionV>
                  <wp:extent cx="0" cy="10160"/>
                  <wp:effectExtent l="0" t="0" r="0" b="0"/>
                  <wp:wrapNone/>
                  <wp:docPr id="64" name="Picture_7_SpCnt_15"/>
                  <wp:cNvGraphicFramePr>
                    <a:graphicFrameLocks noChangeAspect="0"/>
                  </wp:cNvGraphicFramePr>
                  <a:graphic>
                    <a:graphicData uri="http://schemas.openxmlformats.org/drawingml/2006/picture">
                      <pic:pic>
                        <pic:nvPicPr>
                          <pic:cNvPr id="65" name="Picture_7_SpCnt_15 65"/>
                          <pic:cNvPicPr/>
                        </pic:nvPicPr>
                        <pic:blipFill>
                          <a:blip r:embed="rId35"/>
                          <a:stretch>
                            <a:fillRect/>
                          </a:stretch>
                        </pic:blipFill>
                        <pic:spPr>
                          <a:xfrm rot="0">
                            <a:off x="0" y="0"/>
                            <a:ext cx="0" cy="10160"/>
                          </a:xfrm>
                          <a:prstGeom prst="rect"/>
                          <a:noFill/>
                          <a:ln w="9525" cmpd="sng" cap="flat">
                            <a:noFill/>
                            <a:prstDash val="solid"/>
                            <a:round/>
                          </a:ln>
                        </pic:spPr>
                      </pic:pic>
                    </a:graphicData>
                  </a:graphic>
                </wp:anchor>
              </w:drawing>
            </w:r>
            <w:r>
              <w:rPr>
                <w:rFonts w:eastAsia="方正仿宋_GBK"/>
                <w:sz w:val="21"/>
                <w:szCs w:val="21"/>
                <w:lang w:val="en-US" w:eastAsia="zh-CN"/>
              </w:rPr>
              <w:t>1.额定功率：立体声/并接模式，≥2X300W/8Ω,立体声/并接模式，≥2X450W/4Ω,桥接：≥900W/8Ω；</w:t>
              <w:br/>
              <w:t>2.总谐波失真：&lt;0.1%@280W（8欧1KHz），互调失真：60HZ/7HZ，&lt;0.1%@300W8欧；</w:t>
              <w:br/>
              <w:t>3.频率响应：20Hz-20KHz+0.1/-0.3db(1W/8欧)，信噪比：单通道工作，8Ω负载A计权＞98dB；</w:t>
              <w:br/>
              <w:t>4.阻尼系数：300：1,1KHz@8欧，转换速率：40V/us；</w:t>
              <w:br/>
              <w:t>5.输入灵敏度：0.775,1V,1.44V（8欧），输入阻抗：20Kohms平衡输入，10Kohms非平衡输入；</w:t>
              <w:br/>
              <w:t>6.电压增益：61x；</w:t>
              <w:br/>
              <w:t>7.输入连接器：卡隆输入座，输出连接器：音箱专用座；</w:t>
              <w:br/>
              <w:t>8.保护装置：短路，限幅，过热，直流，超音；</w:t>
              <w:br/>
              <w:t>9.冷却系统：智能风冷；</w:t>
              <w:br/>
              <w:t>10.面板指示：保护、失真、信号、电源；</w:t>
              <w:br/>
              <w:t>11.所投产品需提供第三方机构出具带有“CMA”、“CNAS”认证资格印章的检验报告，检验报告提供复印件，并由制造商盖章确认证明；</w:t>
              <w:br/>
              <w:t>12.所投产品需提供国家质量认证中心提供的CQC质量安全证书</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3316"/>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音箱</w:t>
            </w:r>
          </w:p>
        </w:tc>
        <w:tc>
          <w:tcPr>
            <w:tcW w:w="5470"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1.额定功率：≥40W；</w:t>
              <w:br/>
              <w:t>2.最大功率：≥80W；</w:t>
              <w:br/>
              <w:t>3.输入电阻：8Ω；</w:t>
              <w:br/>
              <w:t>4.灵敏度：88±3dB；</w:t>
              <w:br/>
              <w:t>5.频率响应：50Hz-20KHz；</w:t>
              <w:br/>
              <w:t>6.材质：ABS塑壳＋铁质网罩；</w:t>
              <w:br/>
              <w:t>7.喇叭单元：≥8＂*1</w:t>
              <w:br/>
              <w:t>8.防护等级：≥IP4X（提供第三方机构出具的带CNAS印章检测报告，并加盖制造商公章）；</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6</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只</w:t>
            </w:r>
          </w:p>
        </w:tc>
      </w:tr>
      <w:tr>
        <w:trPr>
          <w:trHeight w:val="3316"/>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12路调音台</w:t>
            </w:r>
          </w:p>
        </w:tc>
        <w:tc>
          <w:tcPr>
            <w:tcW w:w="5470"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1.高品质麦克风前置放大器，≥12路调台，带MP3播放；</w:t>
              <w:br/>
              <w:t>2.超宽60分贝增益范围；</w:t>
              <w:br/>
              <w:t>3.128.5dB动态范围；</w:t>
              <w:br/>
              <w:t>4.+22dBu线路输入处理；</w:t>
              <w:br/>
              <w:t>5.失真低于0.0007%(20hz-50khz)；</w:t>
              <w:br/>
              <w:t>6.48V幻像电容麦供电；</w:t>
              <w:br/>
              <w:t>7.防射频干扰线路设计；</w:t>
              <w:br/>
              <w:t>8.高动态线路输入+4/-10操作控制；</w:t>
              <w:br/>
              <w:t>9.单声道≥4段均衡(高，中高，中低，低）设计；</w:t>
              <w:br/>
              <w:t>10.18dB/75赫兹低频过滤麦克风输入通道功能；</w:t>
              <w:br/>
              <w:t>11.≥1辅助发送,独奏和过载/静音led提示；</w:t>
              <w:br/>
              <w:t>12.≥1立体声返回,通道独立输出功能；</w:t>
              <w:br/>
              <w:t>13.≥2编组输出，60行程长寿命设计直滑推子；</w:t>
              <w:br/>
              <w:t>14.内置≥16种DSP高品质效果器；</w:t>
              <w:br/>
              <w:t>15.支持USB声卡播放，支持U盘播放，支持蓝牙播放，支持录音；</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1862"/>
        </w:trPr>
        <w:tc>
          <w:tcPr>
            <w:tcW w:w="515" w:type="dxa"/>
            <w:shd w:val="clear" w:color="auto" w:fill="auto"/>
            <w:noWrap/>
            <w:vAlign w:val="center"/>
          </w:tcPr>
          <w:p>
            <w:pPr>
              <w:pStyle w:val="56"/>
              <w:bidi w:val="0"/>
              <w:rPr>
                <w:rFonts w:eastAsia="方正仿宋_GBK"/>
                <w:sz w:val="21"/>
                <w:szCs w:val="21"/>
              </w:rPr>
            </w:p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全自动</w:t>
              <w:br/>
              <w:t>反馈抑制器</w:t>
            </w:r>
          </w:p>
        </w:tc>
        <w:tc>
          <w:tcPr>
            <w:tcW w:w="5470"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1.超宽频响电路技术，无变音，无金属尾音，强力抑制回声；</w:t>
              <w:br/>
              <w:t>2.数字移频技术，超强防啸叫，声音圆润稳定，无发飘和发干等现象；</w:t>
              <w:br/>
              <w:t>3.超级稳定：内置晶体振荡，软件算法，稳定性能好，受温度和外界干扰很小；</w:t>
              <w:br/>
              <w:t>4.可根据应用场合定制合适音频频谱，从而大幅度提升系统增益；</w:t>
              <w:br/>
              <w:t>5.支持MUSIC音乐模式与VOICE语音模式切换；ACCURATEMODE精准过滤模式与PROCESSFLAT平坦模式切换；ACCURATEMODE精准过滤模式与FASTMODE快速过滤模式切换；</w:t>
              <w:br/>
              <w:t>（提供此功能第三方权威测试机构出具的证书复印件并加盖制造商公章，证书具备CNAS标志）</w:t>
              <w:br/>
              <w:t>6.本产品具有全自动检测现场啸叫点功能，通过DSP系统对声音进行过滤，低音补偿自动混音，智能高速反馈处理；适应声学环境，无需调试，快速校正功能，保证音质，减少延时，高中低三档输入电平选择，防止峰值输入失真少延时，高中低三档输入电平选择，防止峰值输入失真有效增加话筒拾音距离30~100cm；</w:t>
              <w:br/>
              <w:t>（提供此功能第三方权威测试机构出具的证书复印件并加盖制造商公章，证书具备CNAS标志）</w:t>
              <w:br/>
              <w:t>7.音频输入:≥2路XLR和≥2路TRS;</w:t>
              <w:br/>
              <w:t>8.输入阻抗:20KΩ(平衡式)，10KΩ(非平衡式);</w:t>
              <w:br/>
              <w:t>9.模拟输入增益:0-24dB;</w:t>
              <w:br/>
              <w:t>10.音频输出:1路XLR，1路莲花，1路6.35mm接口;</w:t>
              <w:br/>
              <w:t>11.输出阻抗:47Ω;</w:t>
              <w:br/>
              <w:t>12.模拟输出增益:0dB;</w:t>
              <w:br/>
              <w:t>13.频率响应:20Hz-20KHz</w:t>
              <w:br/>
              <w:t>14.信噪比:≥86dB</w:t>
              <w:br/>
              <w:t>15.总谐波失真:0.075%1KHz@15dB中，</w:t>
              <w:br/>
              <w:t>16.反馈抑制增益:0-12dB;</w:t>
              <w:br/>
              <w:t>17.48V幻像电源：1路</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3316"/>
        </w:trPr>
        <w:tc>
          <w:tcPr>
            <w:tcW w:w="515" w:type="dxa"/>
            <w:vMerge w:val="restart"/>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4</w:t>
            </w:r>
          </w:p>
        </w:tc>
        <w:tc>
          <w:tcPr>
            <w:tcW w:w="726" w:type="dxa"/>
            <w:vMerge w:val="restart"/>
            <w:shd w:val="clear" w:color="auto" w:fill="auto"/>
            <w:vAlign w:val="center"/>
          </w:tcPr>
          <w:p>
            <w:pPr>
              <w:pStyle w:val="56"/>
              <w:bidi w:val="0"/>
              <w:rPr>
                <w:rFonts w:eastAsia="方正仿宋_GBK"/>
                <w:sz w:val="21"/>
                <w:szCs w:val="21"/>
              </w:rPr>
            </w:pPr>
            <w:r>
              <w:rPr>
                <w:rFonts w:eastAsia="方正仿宋_GBK"/>
                <w:sz w:val="21"/>
                <w:szCs w:val="21"/>
                <w:lang w:val="en-US" w:eastAsia="zh-CN"/>
              </w:rPr>
              <w:t>控制系统</w:t>
            </w: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智能分析主机</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1.要求主机采用标准≤19英寸机架式安装，前面板采用单键式极简设计，简约实用。</w:t>
              <w:br/>
              <w:t>2.要求主机采用不大于DC12V安全电压供电，低功耗无风扇设计,工作噪音≤21db(A)。</w:t>
              <w:br/>
              <w:t>▲3.要求采用嵌入式架构，内置AIoT智能芯片，支持AI图像跟踪技术，至少5TOPS标准或以上的算力。(投标时须提供具有CNAS标识的检测报告复印件及报告编号在全国认证认可信息公共服务平台的查询截图并加盖制造商公章)</w:t>
              <w:br/>
              <w:t>4.要求集教师跟踪、学生定位、板书定位、学生巡视等导播切换策略于一体。</w:t>
              <w:br/>
              <w:t>5.要求具备≥4路USB接口，支持接入I/O设备，要求具备≥1路HDMI OUT。</w:t>
              <w:br/>
              <w:t>6.要求具备≥1路LAN网络接口，支持网络传输高清视频，对云台摄像机、录播设备的控制采用网络通讯。</w:t>
              <w:br/>
              <w:t>▲7.整机采用耐腐蚀技术处理，需通过符合标准的盐雾试验，试验时间不少于60小时。要求产品通过GB/T 2423.17-2008盐雾实验。(投标时须提供具有CNAS标识的检测报告复印件及报告编号在全国认证认可信息公共服务平台的查询截图并加盖制造商公章)</w:t>
              <w:br/>
              <w:t>▲8.为避免运输过程中出现碰撞导致设备损坏或内部松动，要求产品通过GB/T 2423.5-2019冲击实验。(投标时须提供具有CNAS标识的检测报告复印件及报告编号在全国认证认可信息公共服务平台的查询截图并加盖制造商公章)</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3316"/>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图像跟踪系统</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1.要求支持智能图像分析，结合具体的场景能够实现多个活动过程的跟踪识别，并对现场视频图像进行分析，实现常态化教学下的老师、学生多人跟踪识别。</w:t>
              <w:br/>
              <w:t>2.可快速设定教学有效区域的，光线、场景完全自适应，无论人的正面和侧面都会被准确识别，并能够通过后台查看到多人识别效果。</w:t>
              <w:br/>
              <w:t>3.要求具备身高自适应功能，无论老师、学生挥手，左右晃动，前后仰俯晃动等都不会被误判。</w:t>
              <w:br/>
              <w:t>4.要求具备较强的抗干扰能力，采用领先的防抖动特征跟踪算法，图像识别系统不受外在环境影响。</w:t>
              <w:br/>
              <w:t>5.要求系统结构设计合理，设置简单，可以实现全自动跟踪识别；支持实时定位，可以自动识别目标位置、实时控制摄像头精确定位，实现特写拍摄。</w:t>
              <w:br/>
              <w:t>6.要求系统支持web界面访问，支持预览视频分析状态，可远程操控图像跟踪系统。</w:t>
              <w:br/>
              <w:t>7.要求系统支持摄像机自动跟踪，摄像机自动定位学生起立和教师移动，教师走进学生区域时，实时切换成教室全景画面。</w:t>
              <w:br/>
              <w:t>8.要求系统支持区域聚焦功能，可通过浏览器在监视画面框选出聚焦区域，以该区域作为聚焦参考区域。系统对讲台区域监视画面框选时，聚焦区域包括教师跟踪、黑板跟踪等，确保智能跟踪分析的准确性。</w:t>
              <w:br/>
              <w:t>▲9.要求系统支持焦距守望功能，可通过浏览器对监视画面设置守望点，可同时设置不少于4个守望点相连实现智能跟踪。(投标时须提供具有CNAS标识的检测报告复印件及报告编号在全国认证认可信息公共服务平台的查询截图并加盖制造商公章)</w:t>
              <w:br/>
              <w:t>10.要求系统具备跟踪拍摄和切换拍摄两种模式，两种模式之间支持一键切换。</w:t>
              <w:br/>
              <w:t>▲11.要求系统智能识别教师身体朝向。当教师面朝学生时，智能切换至教师特写；当教师面向黑板时，智能切换至板书特写。板书特写采用伴随跟踪拍摄方式。(投标时须提供具有CNAS标识的检测报告复印件及报告编号在全国认证认可信息公共服务平台的查询截图并加盖制造商公章)</w:t>
              <w:br/>
              <w:t>12.要求支持手势识别功能，可一键开启此功能。教师可以通过手势控制学生摄像机的拍摄。(投标时须提供具有CNAS标识的检测报告复印件及报告编号在全国认证认可信息公共服务平台的查询截图并加盖制造商公章)</w:t>
              <w:br/>
              <w:t>13.要求系统支持TCP、UDP两种传输协议，可以同时获取≥4路IP视频流进行智能图像分析，可对教师全景、板书全景、学生全景、学生巡视等景位进行设置。</w:t>
              <w:br/>
              <w:t>14.要求支持两种跟踪模式：伴随式模式、“特写”与“全景”切换跟踪模式。</w:t>
              <w:br/>
              <w:t>15.具有“模糊防抖”功能，避免人员小幅度活动时引起的摄像机画面抖动现象。</w:t>
              <w:br/>
              <w:t>16.要求支持学生起立跟踪功能，支持当学生起立时学生特写摄像机跟踪拍摄，支持多个学生起立切换为学生全景拍摄。</w:t>
              <w:br/>
              <w:t>17.要求系统支持切换规则定制，可以精确调整切换时间，设置云台速度，速度系数不少于0～99可调。(投标时须提供具有CNAS标识的检测报告复印件及报告编号在全国认证认可信息公共服务平台的查询截图并加盖制造商公章)</w:t>
              <w:br/>
              <w:t>18.要求系统可设置变焦速度，速度系数不少于1～7可调,实现焦距拉伸时间的调节。</w:t>
              <w:br/>
              <w:t>19.要求系统可设置跟踪灵敏度，灵敏度系数不少于0～9000可调。(投标时须提供具有CNAS标识的检测报告复印件及报告编号在全国认证认可信息公共服务平台的查询截图并加盖制造商公章)</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套</w:t>
            </w:r>
          </w:p>
        </w:tc>
      </w:tr>
      <w:tr>
        <w:trPr>
          <w:trHeight w:val="3316"/>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跟踪半球</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 xml:space="preserve">1.传感器类型：≥1/2.8英寸CMOS。 </w:t>
              <w:br/>
              <w:t xml:space="preserve">2.有效像素：≥200万，最大分辨率不低于1920×1080。 </w:t>
              <w:br/>
              <w:t>3.最低照度：0.01Lux(彩色模式)；0.001Lux(黑白模式)；0Lux(补光灯开启)；最大补光距离：至少50m（红外）。</w:t>
              <w:br/>
              <w:t>4.镜头类型：手动变焦；镜头焦距不小于2.8mm~12mm。</w:t>
              <w:br/>
              <w:t>5.视频压缩标准：H.265；H.264；H.264B。</w:t>
              <w:br/>
              <w:t>6.音频输入：1≥路（RCA头）。</w:t>
              <w:br/>
              <w:t>7.音频输出：≥1路（RCA头）。</w:t>
              <w:br/>
              <w:t>8.供电方式：DC12V/POE。</w:t>
              <w:br/>
              <w:t>9.防护等级：不低于IP67。</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2</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1706"/>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智慧讲桌</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1、讲桌采用1.2mm-2.0mm冷轧钢板桌体，整体外观流线型设计，美观大方，具备防火特性，正面中部受到170N的冲击力时不会倾倒。</w:t>
              <w:br/>
              <w:t>2、桌面为抗倍特板材质，具备防水、耐撞击性、耐磨、防火、耐烟灼、防静电，稳定性强、平整又不易变形、无毒无害、绿色环保等特性。</w:t>
              <w:br/>
              <w:t>3、讲桌设计尺寸长X宽X高约为1200mmX650mmX1020mm，根据人体力学设计，讲台桌面高度合适老师放置教学用品，兼顾站立教学或者坐着操作电脑。</w:t>
              <w:br/>
              <w:t>4、桌面内置23.8英寸电容触控屏，并支持10点同时触摸。</w:t>
              <w:br/>
              <w:t>5、电容触控屏具备单独的开关按键，显示屏接口类型为VGA，HDMI，屏幕分辨率支持1920x1080像素，屏幕融合在讲台中，无突出边角，无法在没有工具的情况下拆除。</w:t>
              <w:br/>
              <w:t>6、电容触控屏支持同步显示并能操控交互智能平板的画面，与桌面呈25°角，以最佳视角显示教学内容，教师正面授课，录像效果好，提高教学效率。</w:t>
              <w:br/>
              <w:t>7、讲桌桌面内置弹射式接口面板，包含1个HDMI接口、1个VGA接口、1个USB口、1个网络接口、1个音频接口等，不使用时，可按下与桌面平齐，避免受到撞击，支持笔记本电脑接入。</w:t>
              <w:br/>
              <w:t>8、支持外接PC电脑，可以将PC电脑内容显示在23.8英寸主屏上，支持1路HDMI OUT输出，可外接投影、显示器等多媒体设备。</w:t>
              <w:br/>
              <w:t xml:space="preserve">9、讲桌柜体左侧预留电脑主机观察窗口，无需打开柜体的情况下也能正常开关电脑主机； </w:t>
              <w:br/>
              <w:t>10、讲台设置有2个220V五口电源接口，方便老师接入笔记本电脑等设备。</w:t>
              <w:br/>
              <w:t>11、讲桌设置有键盘抽屉，可放置黑板擦、书写笔、键盘和鼠标等，抽屉内预留4路USB快速充电接口，即使讲桌不开机，依然可以持续充电，可连接键盘鼠标使用,方便教师操作，讲桌桌面留有足够空间放置笔记本、教案等物品。</w:t>
              <w:br/>
              <w:t>12、柜体下方设置有19英寸设备安装机柜，高度10U。</w:t>
              <w:br/>
              <w:t>13、柜体下方预留多处散热孔，可以有效保证讲桌内设备的热量及时散出。</w:t>
              <w:br/>
              <w:t>14、讲桌支持安装地脚，选配增高底座，预留增高底座安装孔位。</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2007"/>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安卓中控屏</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1、采用13.3吋触控屏幕，分辨率1920x1080。</w:t>
              <w:br/>
              <w:t xml:space="preserve">2、1个RS-232接口，3个USB接口，1个网络接口，1个HDMI接口。 </w:t>
              <w:br/>
              <w:t>3、支持控制录播系统的录制、暂停、停止、开启互动等功能。</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个</w:t>
            </w:r>
          </w:p>
        </w:tc>
      </w:tr>
      <w:tr>
        <w:trPr>
          <w:trHeight w:val="866"/>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视频采集卡</w:t>
            </w:r>
          </w:p>
        </w:tc>
        <w:tc>
          <w:tcPr>
            <w:tcW w:w="5470"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4K60hz</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张</w:t>
            </w:r>
          </w:p>
        </w:tc>
      </w:tr>
      <w:tr>
        <w:trPr>
          <w:trHeight w:val="3316"/>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导播键盘</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1、支持网络控制方式，具有独立的IP地址。</w:t>
              <w:br/>
              <w:t>2、采用变速四维摇杆进行控制，扭动摇杆可控制云台摄像机转动，镜头变焦放大缩小。</w:t>
              <w:br/>
              <w:t>3、预置位：对应录播设备的预置位功能，可调用录播设备的预置位，也可通过键盘设置预置位，先点击预置按钮，在通过右上角摇杆，选择合适的画面，再点击预置位数字即可设置成功。</w:t>
              <w:br/>
              <w:t>4、采用自主设计的旋钮功能，具有无极调速功能，可实现云台速度、变倍速度调节。</w:t>
              <w:br/>
              <w:t>5、支持IE浏览器添加前端设备。</w:t>
              <w:br/>
              <w:t>6、支持添加1-6路摄像机ip\端口号，控制几路摄像机，依次填写几路摄像机。</w:t>
              <w:br/>
              <w:t>7、预置位按键≥9，支持每路摄像机添加9个预置位。</w:t>
              <w:br/>
              <w:t>8、布局按键≥5，对录播主机的布局切换。</w:t>
              <w:br/>
              <w:t>9、视频切换按键≥7，切换录播的备播视频。</w:t>
              <w:br/>
              <w:t>10、切换控制按键≥7，切换云台摄像机控制。</w:t>
              <w:br/>
              <w:t>11、导播功能按键≥5，录播\暂停\停止\手自动\直播\VGA锁。</w:t>
              <w:br/>
              <w:t>12、提示音：按键声音提示开/关。</w:t>
              <w:br/>
              <w:t>13、按键：硅胶按键，支持背光。</w:t>
              <w:br/>
              <w:t>14、输出接口：RS422（预留）≥1、RS232（开发口）≥1、LAN≥1。</w:t>
              <w:br/>
              <w:t>15、电源：DC12V-2A/内正外负。</w:t>
              <w:br/>
              <w:t>16、显示屏：TFT LCD ≥800*480</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3316"/>
        </w:trPr>
        <w:tc>
          <w:tcPr>
            <w:tcW w:w="515" w:type="dxa"/>
            <w:vMerge/>
            <w:shd w:val="clear" w:color="auto" w:fill="auto"/>
            <w:noWrap/>
            <w:vAlign w:val="center"/>
          </w:tcPr>
          <w:p/>
        </w:tc>
        <w:tc>
          <w:tcPr>
            <w:tcW w:w="726" w:type="dxa"/>
            <w:vMerge/>
            <w:shd w:val="clear" w:color="auto" w:fill="auto"/>
            <w:vAlign w:val="center"/>
          </w:tcP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AI智能语音电源时序器</w:t>
            </w:r>
          </w:p>
        </w:tc>
        <w:tc>
          <w:tcPr>
            <w:tcW w:w="5470"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1.采用双色数码管显示，电压.电流显示分明，可适时适时电网输入电压，适时动态显示负载用电总电流，整机输出功率一目了然；</w:t>
              <w:br/>
              <w:t>2.支持多台设备级联控制，支持多台设备联机时序，配备RS485接口，支持外部中央控制设备控制；</w:t>
              <w:br/>
              <w:t>3.支持自锁功能按键≥2路，可通过面板自带按键锁定两路输出为常开，满足通讯设备需要常供电需求，真正做到一台电源时序器控制整个机柜的电源；</w:t>
              <w:br/>
              <w:t>4.内置超高灵敏度拾音模块，用于识别控制语音词条，5米以内语音识别率≥95%；</w:t>
              <w:br/>
              <w:t>5.内置高清晰监听喇叭，用于和机器人之间的对话；</w:t>
              <w:br/>
              <w:t>6.标准2U工控机柜式设计，高档铝合金面板，人性化的工艺设计，尽显硬朗高档气质；</w:t>
              <w:br/>
              <w:t>7.可控制电源按顺序开启/关闭，保护电网不受冲击；</w:t>
              <w:br/>
              <w:t>8.可手动控制≥16路电源上断电；也可与定时器.智能控制器相连接，实现自动控制；</w:t>
              <w:br/>
              <w:t>9.≥16路电源插座依次间隔1秒打开或关闭；</w:t>
              <w:br/>
              <w:t>10.单台≥16路万能插座输出，单路最大功放3000W（40A继电器）总输出功率≥6000W，主电缆采用多股≥6平方国标电缆线；</w:t>
              <w:br/>
              <w:t>（提供此功能第三方权威测试机构出具的证书复印件并加盖制造商公章，证书具备CNAS标志）；</w:t>
              <w:br/>
              <w:t>11.具有人机互动语音告示；无需接触设备就可通过人机互动控制设备的启动和关闭；</w:t>
              <w:br/>
              <w:t>（提供此功能第三方权威测试机构出具的证书复印件并加盖制造商公章，证书具备CNAS标志）；</w:t>
              <w:br/>
              <w:t>12.通信速度：9600bps,通信接口：RJ45，通信协议：RS485；</w:t>
              <w:br/>
              <w:t>13.电源控制输入电平：短路(0V),高电平（9-24V）；</w:t>
              <w:br/>
              <w:t>14.输出电源容量：总容量≤60KVA，单路≤3KVA；</w:t>
              <w:br/>
              <w:t>15.功率消耗：≤20W；</w:t>
              <w:br/>
              <w:t>16.所投产品需提供第三方机构出具带有“CMA”、“CNAS”认证资格印章的检验报告，检验报告提供复印件，并由制造商盖章确认证明；</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台</w:t>
            </w:r>
          </w:p>
        </w:tc>
      </w:tr>
      <w:tr>
        <w:trPr>
          <w:trHeight w:val="7477"/>
        </w:trPr>
        <w:tc>
          <w:tcPr>
            <w:tcW w:w="515" w:type="dxa"/>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5</w:t>
            </w:r>
          </w:p>
        </w:tc>
        <w:tc>
          <w:tcPr>
            <w:tcW w:w="726" w:type="dxa"/>
            <w:shd w:val="clear" w:color="auto" w:fill="auto"/>
            <w:vAlign w:val="center"/>
          </w:tcPr>
          <w:p>
            <w:pPr>
              <w:pStyle w:val="56"/>
              <w:bidi w:val="0"/>
              <w:rPr>
                <w:rFonts w:eastAsia="方正仿宋_GBK"/>
                <w:sz w:val="21"/>
                <w:szCs w:val="21"/>
              </w:rPr>
            </w:pPr>
            <w:r>
              <w:rPr>
                <w:rFonts w:eastAsia="方正仿宋_GBK"/>
                <w:sz w:val="21"/>
                <w:szCs w:val="21"/>
                <w:lang w:val="en-US" w:eastAsia="zh-CN"/>
              </w:rPr>
              <w:t>显示屏</w:t>
            </w: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交互智能平板</w:t>
            </w:r>
          </w:p>
        </w:tc>
        <w:tc>
          <w:tcPr>
            <w:tcW w:w="5470" w:type="dxa"/>
            <w:shd w:val="clear" w:color="auto" w:fill="auto"/>
          </w:tcPr>
          <w:p>
            <w:pPr>
              <w:pStyle w:val="56"/>
              <w:bidi w:val="0"/>
              <w:rPr>
                <w:rFonts w:eastAsia="方正仿宋_GBK"/>
                <w:sz w:val="21"/>
                <w:szCs w:val="21"/>
                <w:lang w:val="en-US" w:eastAsia="zh-CN"/>
              </w:rPr>
            </w:pPr>
            <w:r>
              <w:rPr>
                <w:rFonts w:eastAsia="方正仿宋_GBK"/>
                <w:sz w:val="21"/>
                <w:szCs w:val="21"/>
                <w:lang w:val="en-US" w:eastAsia="zh-CN"/>
              </w:rPr>
              <w:t>一、整机设计</w:t>
              <w:br/>
              <w:t>1.整体采用包边设计，表面钢化玻璃在合金边框内，四角圆弧，双重保护，安全抗冲击。</w:t>
              <w:br/>
              <w:t>2.产品具有两个笔槽设计，分别在底部两端，支持触控笔吸附；具有前置挡板设计,保护前置接口及接入的设备。</w:t>
              <w:br/>
              <w:t>3.屏幕尺寸≥98英寸，分辨率≥3840×2160，表面采用耐磨、防眩光、防划伤、高安全系数钢化玻璃，玻璃厚度≥4mm。</w:t>
              <w:br/>
              <w:t>4.设备需支持NFC碰碰传功能：支持带有NFC功能的移动设备靠近NFC标签时可近场感应，能快速将其屏幕传至大屏，实现无线教学。</w:t>
              <w:br/>
              <w:t>5. 整机具备2.1声道音箱，前置2个≥20W中高音音箱，后置1个≥20W低音音箱,额定总功率≥60W，支持单独听功能。</w:t>
              <w:br/>
              <w:t>6.具有不少于8个前置物理按键，至少包含电源键、菜单、主页、信号源、音量等，按键具备明显标识；支持电源按键三合一功能。(具有第三方实验室出具的检测报告，报告编号可在全国认证认可信息公共服务平台查询，提供报告复印件和查询截图并加盖制造商公章)</w:t>
              <w:br/>
              <w:t>▲7.产品采用红外多点触控技术，需支持手指轻触式多点（不少于20点触控）互动体验，触摸免驱动，即插即用，需支持主流多种操作系统。(具有第三方实验室出具的检测报告，报告编号可在全国认证认可信息公共服务平台查询，提供报告复印件和查询截图并加盖制造商公章)</w:t>
              <w:br/>
              <w:t>8.具有触摸防遮挡功能，触摸屏具有防遮挡功能，触摸接收器在单点或单边遮挡后仍能正常触控书写和操作；触控连续响应无间断，有效识别≤2毫米，触控精准度≥32768x32768。</w:t>
              <w:br/>
              <w:t>9.内置无线网络模块，采用全向信号接发设计，支持无线网络连接。</w:t>
              <w:br/>
              <w:t>10.具有五指熄屏功能，支持五指智能手势识别开关产品背光，操作者可在显示区域任意位置，任意信号下，通过五指按压屏幕实现对屏幕的开关，五指触控实现产品背光的关闭与开启。</w:t>
              <w:br/>
              <w:t>▲11.采用智能电子产品一键式设计：同一物理按键完成Android、Windows系统的节能熄屏操作，通过按键实现节能熄屏/唤醒，并可与触摸菜单节能熄屏、遥控器熄屏、五指触控熄屏功能互通互用；产品在任意通道下，支持手势识别调出板擦工具擦除批注内容，支持调整板擦工具的大小。(具有第三方实验室出具的检测报告，报告编号可在全国认证认可信息公共服务平台查询，提供报告复印件和查询截图并加盖制造商公章)</w:t>
              <w:br/>
              <w:t>12.产品处于关机通电状态，外接电脑显示信号通过传输线连接至产品时，产品可智能识别外接电脑设备信号输入并自动开机；产品外接信号源时，支持自动跳转到外接信号源通道。</w:t>
              <w:br/>
              <w:t>13.需支持锁定屏幕触摸，可通过软件菜单（调试菜单）锁定屏幕触摸，锁定应用、锁定USB。</w:t>
              <w:br/>
              <w:t>▲14.内置触摸中控菜单，需支持信号源通道切换、背光、声音等，无须实体按键，在任意显示通道下均可通过手势在屏幕上调取触摸菜单，方便快捷。(具有第三方实验室出具的检测报告，报告编号可在全国认证认可信息公共服务平台查询，提供报告复印件和查询截图并加盖制造商公章)</w:t>
              <w:br/>
              <w:t>15.产品需支持环境感光功能，能感应并自动调节屏幕亮度来达到在不同光照环境下的最佳显示效果；需支持开启护眼模式。</w:t>
              <w:br/>
              <w:t>16. 需支持安卓系统启动后可自动启动内置ops系统，需支持无信号接收状态时能够自动关机，关机时间间隔可选。还支持定时开关机。</w:t>
              <w:br/>
              <w:t>▲17.具有触摸悬浮菜单功能，需支持三指罗盘跟随，可通过三指调用此悬浮菜单到屏幕任意位置，悬浮菜单中需支持输入源选择、截屏、下拉等功能，并可自定义功能菜单，需支持任意通道下无需点击物理按键，可随时调用计算器、日历等小工具，支持拖拽及关闭。(具有第三方实验室出具的检测报告，报告编号可在全国认证认可信息公共服务平台查询，提供报告复印件和查询截图并加盖制造商公章)</w:t>
              <w:br/>
              <w:t>18.内置安卓系统，系统版本不低于14.0，内存不低于4G,存储不低于32G；需支持对内置电脑进行还原操作，可通过前置物理按键对内置电脑系统进行还原。</w:t>
              <w:br/>
              <w:t>19.支持无PC状态下，内置互动白板支持书写及擦除，支持单点书写和多点书写切换。</w:t>
              <w:br/>
              <w:t>20.需支持网络共享功能（双系统单网口上网），单根网线接入产品，即可实现产品安卓系统和内置的电脑同时有线上网。</w:t>
              <w:br/>
              <w:t>▲21.需支持展板、会议功能，可快速完成欢迎界面和会议主题设置，全屏显示，支持不少于12种模板，可对欢迎文字的字体、大小、颜色进行编辑；需支持会议签名功能，并可扫码带走签名及模板。(具有第三方实验室出具的检测报告，报告编号可在全国认证认可信息公共服务平台查询，提供报告复印件和查询截图并加盖制造商公章)</w:t>
              <w:br/>
              <w:t>22.支持设置开机画面/动画，支持更换主题风格，包括会议主题、教育主题、科技主题等。(具有第三方实验室出具的检测报告，报告编号可在全国认证认可信息公共服务平台查询，提供报告复印件和查询截图并加盖制造商公章)</w:t>
              <w:br/>
              <w:t>23.需支持侧边栏功能，支持无操作自动隐藏，侧边栏可设置返回、主页、任务、批注、信号源等功能调用；需支持任意通道下使用，并可设置颜色和画笔大小，可选择二维码分享批注内容。(具有第三方实验室出具的检测报告，报告编号可在全国认证认可信息公共服务平台查询，提供报告复印件和查询截图并加盖制造商公章)</w:t>
              <w:br/>
              <w:t>24.设备内置安卓教学辅助系统，支持安装第三方APP软件并可以正常使用APP软件，支持第三方APP安装阻断功能，可限制未知来源的第三方APP安装。</w:t>
              <w:br/>
              <w:t>25.设备内置安卓教学辅助系统，支持录屏，录制分辨率支持1080P、720P可选。支持设置录制时间，达到指定时间自动停止录制。</w:t>
              <w:br/>
              <w:t>26.要求整机具有纸质护眼模式，包括素描、牛皮纸、宣纸、水彩纸等。</w:t>
              <w:br/>
              <w:t>▲27.整机内置非独立的高清摄像头，摄像头像素≥1300万，视角≥110°，需支持阵列数字音频MIC，支持调用，实现场景音视录制。(具有第三方实验室出具的检测报告，报告编号可在全国认证认可信息公共服务平台查询，提供报告复印件和查询截图并加盖制造商公章)</w:t>
              <w:br/>
              <w:t>28.OPS插拔式电脑：采用插拔式架构，针脚数≥80pin，屏体与插拔式电脑无单独接线；处理器配置不低于Intel Core i5；内存不低于8G；硬盘不低于256G-SSD 固态硬盘；具有独立非外扩展接口：HDMI out≥1个 、Mic in≥1个、 LINE-out≥1个、USB口≥6个，Rj45≥1个；内置有线网卡和无线网卡。</w:t>
              <w:br/>
              <w:br/>
              <w:t>二、白板软件</w:t>
              <w:br/>
              <w:t>备课</w:t>
              <w:br/>
              <w:t>1.备课支持插入本地PPT，并保持原有格式无变化，动效动画无丢失，支持批注，批注可设置保存；支持显示保存在云端的课件信息，可接收或忽略其他用户分享的课件。</w:t>
              <w:br/>
              <w:t>2.支持对课件进行分享、下载、重命名、移动、删除操作，分享可按照手机号码及链接的方式进行分享，链接分享形式支持设置文件有效期（支持不少于永久、30天、7天等）、私密和公开的设置。</w:t>
              <w:br/>
              <w:t>▲3.课件支持自动同步至云端，支持设置课件自动保存时间，至少可设置为1分钟、3分钟、5分钟、10分钟、20分钟、30分钟等。(具有第三方实验室出具的检测报告，报告编号可在全国认证认可信息公共服务平台查询，提供报告复印件和查询截图并加盖制造商公章)</w:t>
              <w:br/>
              <w:t>4.新建课件支持选择课件主题，提供预设课件主题，至少包含学科主题、创意主题，可在编辑课件的过程中更改。</w:t>
              <w:br/>
              <w:t>5.支持同时打开多个课件窗口，支持新建课件页面，可拖动、移动、删除、复制页面；支持课件页面切换，提供淡入、推入、旋转、分割、交换、圆形、揭开等不少于7种形式的特效；支持顺序调整，支持应用到全部。</w:t>
              <w:br/>
              <w:t>6.支持对对象进行复制、剪切、粘贴、删除、置于顶层、置于底层、锁定、设置蒙层等操作。</w:t>
              <w:br/>
              <w:t>7.支持对对象设置元素动画和播放顺序，提供进入（无效果、百叶窗、擦入、浮入、放大、旋转、掉落）、动作（无效果、闪烁、抖动、心跳、旋转、翻转）、退出（无效果、淡出、百叶窗、擦出、浮出、缩小、旋转、飞出）等不少于20种元素动画形式。</w:t>
              <w:br/>
              <w:t>8.支持插入和导出文件，可将制作的课件导出为课件、图片、pdf格式；支持插入文本，可对文本进行字体、字号、颜色、对齐、缩进等多种设置；支持插入本地素材，包括视频、音频、图片、文档等多种格式。</w:t>
              <w:br/>
              <w:t>9.支持插入网页，可选择合适的网页内容，插入后点击可直接进入该网页进行浏览；支持插入表格，可设置表格行列、添加行列，可双击表格输入内容，支持自动换行；支持插入思维导图，提供思维导图、组织结构图、鱼骨图三种形式；支持插入各类预置形状，可对形状进行填充色、边框颜色及粗细、透明度的设置。</w:t>
              <w:br/>
              <w:t>10.支持插入教学资源，可打开预置资源库，按照教材、年级、学科、知识进行筛选，并将选择的资源插入页面中，教师教学时可直接打开使用。</w:t>
              <w:br/>
              <w:t>▲11.支持插入工具，提供汉字、拼音、四线三格、尺规、几何、数学公式、函数、化学方程式、网络画板等学科工具，以及截图、幕布等通用工具。(具有第三方实验室出具的检测报告，报告编号可在全国认证认可信息公共服务平台查询，提供报告复印件和查询截图并加盖制造商公章)</w:t>
              <w:br/>
              <w:t>▲12.支持创建课堂活动，提供分类达人、选词填空、匹配能手等多种互动练习形式，可插入至页面中进行游戏交互练习；支持通过模板制作个人活动，个人活动可保存至云端。(具有第三方实验室出具的检测报告，报告编号可在全国认证认可信息公共服务平台查询，提供报告复印件和查询截图并加盖制造商公章)</w:t>
              <w:br/>
              <w:t>授课</w:t>
              <w:br/>
              <w:t>1.支持从备课状态一键进入授课状态，并可快速返回备课状态；支持交换底部索引栏，教师可根据授课时的站立位置选择与另一侧的按钮进行互换；支持将软件最小化，可将软件缩至状态栏。</w:t>
              <w:br/>
              <w:t>2.工具栏包括菜单、选择、笔、橡皮、工具、学科等功能；云课件支持导出分享功能，支持生成二维码分享，可使用微信扫码可预览、保存课件。</w:t>
              <w:br/>
              <w:t>3.支持对象选择功能，选中的对象可进行形状、角度的调整，可进行置顶、克隆、删除等操作；支持书写功能，可设置硬笔、荧光笔、图章笔、纹理笔，可改变笔迹的粗细和颜色，支持最多十指同时书写。</w:t>
              <w:br/>
              <w:t>4.支持橡皮功能，可擦除书写的笔迹，可设置擦除的面积，可一键清空画布中的笔迹和形状。</w:t>
              <w:br/>
              <w:t>▲5.提供小黑板、截图、录屏、撤销、还原、放大镜、计时器、形状、思维导图、幕布、分屏、漫游等通用工具。(具有第三方实验室出具的检测报告，报告编号可在全国认证认可信息公共服务平台查询，提供报告复印件和查询截图并加盖制造商公章)</w:t>
              <w:br/>
              <w:t>6.支持语文、数学、英语、物理、化学、生物、历史、地理、道德与法治、科学、书法、音乐、美术、体育等不少于14种学科教学工具。(具有第三方实验室出具的检测报告，报告编号可在全国认证认可信息公共服务平台查询，提供报告复印件和查询截图并加盖制造商公章)</w:t>
              <w:br/>
              <w:t>7.语文提供汉字、拼音工具；数学提供数学公式、函数、三角板、直尺、量角器、圆规、平面图形、立体图形工具；英语提供四线三格、音标、字母工具；物理提供公式和实验器具工具；化学提供元素周期表、化学方程式、实验器皿工具；生物提供人体结构、心脏结构、动物细胞图；历史提供中国历史朝代表；地理提供中国地图、世界地图；道德与法治提供礼貌用语、文明用语；科学提供各种动物卡通形象；书法提供兰亭集序、鹡鸰颂、九成宫醴泉铭、书法对联；音乐提供高音谱号、低音谱号、强音记号、弱音记号、升记号、重升记号、重降记号、二分音符、四分音符、八分音符、十六分音符、全音符；美术提供各种世界名画；体育提供各种运动简图。</w:t>
              <w:br/>
              <w:t>▲8.数学画板功能：能在白板中插入在线画板，授课时可以一键打开,方便老师配合课件内容进行讲解；提供不少于500个数学画板资源，覆盖小学、初中、高中学段数学学科主要知识点，并按照知识点分类。(具有第三方实验室出具的检测报告，报告编号可在全国认证认可信息公共服务平台查询，提供报告复印件和查询截图并加盖制造商公章)</w:t>
              <w:br/>
              <w:t>三、同屏软件</w:t>
              <w:br/>
              <w:t>1.支持手机、笔记本电脑等移动端通过自动搜索接收端设备和六位识别码两种方式无线连接到产品。</w:t>
              <w:br/>
              <w:t>▲2.支持不少于6个投屏客户端图像画面对比展示，在产品上可以反向控制操作笔记本电脑上的内容,支持单击、双击、右键控制。(具有第三方实验室出具的检测报告，报告编号可在全国认证认可信息公共服务平台查询，提供报告复印件和查询截图并加盖制造商公章)</w:t>
              <w:br/>
              <w:t>3.支持将手机中的音视频文件无线推送至产品 ,并能进行播放和进行音量大小调节。</w:t>
              <w:br/>
              <w:t>4.支持鼠标遥控器功能,通过软件一键进行鼠标左键、右键、上下滚轮滑动、触摸板操控等功能。</w:t>
              <w:br/>
              <w:t>5.要求产品显示桌面可以实时同步到手机上,手机通过两个手指对产品桌面进行放大、缩小和漫游操作 ,方便手机端对产品进行远程控制。</w:t>
              <w:br/>
              <w:t>▲6.Windows客户端投屏至少支持桌面同步、镜像投屏和拓展投屏功能，点击功能会跳转至对应控制页面；Windows客户端进入控制页面，支持调节投屏清晰度，至少支持超清、高清等标准。(具有第三方实验室出具的检测报告，报告编号可在全国认证认可信息公共服务平台查询，提供报告复印件和查询截图并加盖制造商公章)</w:t>
              <w:br/>
              <w:t>四、微课软件</w:t>
              <w:br/>
              <w:t>▲1.支持对音源、分辨率、录制区域进行设置；录制音源至少支持仅系统、仅麦克风、系统与麦克风。(具有第三方实验室出具的检测报告，报告编号可在全国认证认可信息公共服务平台查询，提供报告复印件和查询截图并加盖制造商公章)</w:t>
              <w:br/>
              <w:t>2.支持打开录课列表窗口，查看文件列表；支持打开云微课窗口，查看云端存储的文件列表。</w:t>
              <w:br/>
              <w:t>▲3.支持倒计时功能，开始录制倒计时3S后开始录制；支持录制过程中，录制工具条不影响录制画面。(具有第三方实验室出具的检测报告，报告编号可在全国认证认可信息公共服务平台查询，提供报告复印件和查询截图并加盖制造商公章)</w:t>
              <w:br/>
              <w:t>4.录制结束后，支持弹出视频预览画面，展示用户录制的整个视频，可任意拖动进度条查看内容，调整音量大小，全屏播放。</w:t>
              <w:br/>
              <w:t>5.支持将录制的视频内容保存至本地硬盘；并可将本地的录制文件上传到个人云端，数据存储更方便、更安全。</w:t>
              <w:br/>
              <w:t>▲6.支持对录制后的视频进行剪辑，剪辑包括视频合并、视频剪切、视频预览、并且可以添加水印；剪辑功能支持添加至少25字文字水印，支持字号选择、透明度调整，支持多种颜色，水印显示位置可选择。(具有第三方实验室出具的检测报告，报告编号可在全国认证认可信息公共服务平台查询，提供报告复印件和查询截图并加盖制造商公章)</w:t>
              <w:br/>
              <w:t>7.支持打开录课列表窗口，查看文件列表，在录课列表的任意目录下对文件或文件夹进行移动、删除、重命名等操作，可新建文件夹，快速搜索文件或文件夹。</w:t>
              <w:br/>
              <w:t>▲8.支持将视频文件上传至云端存储；支持在上传列表查看所有上传中的文件状态，可进行暂停、开始、取消等操作。(具有第三方实验室出具的检测报告，报告编号可在全国认证认可信息公共服务平台查询，提供报告复印件和查询截图并加盖制造商公章)</w:t>
              <w:br/>
              <w:t>9.支持点击录课列表中的视频文件，可预览播放；支持打开云微课窗口，查看云端存储的文件列表；支持在云微课的任意目录下对文件或文件夹进行分享、下载、移动、删除、重命名等操作，可新建文件夹，快速搜索文件或文件夹。</w:t>
              <w:br/>
              <w:t>10.支持将云微课中的视频文件或文件夹下载至本地；支持在下载列表中查看所有下载中的文件状态，可进行暂停、开始、取消等操作；支持分享功能，包含手机号分享和链接分享，被分享用户登录后可打开并查看分享文件。</w:t>
              <w:br/>
              <w:t>五、教学管理软件</w:t>
              <w:br/>
              <w:t>▲1.软件可最小化至任务栏或退出应用，方便老师按照个人习惯使用；需支持组件及应用，默认显示天气组件，并显示我的电脑、白板、传屏、展台、资源中心、我的云盘、文件快传、回收站等；需支持快速调起白板、传屏、展台等应用；需支持将任意路径下的文件一键发送至教学桌面。(具有第三方实验室出具的检测报告，报告编号可在全国认证认可信息公共服务平台查询，提供报告复印件和查询截图并加盖制造商公章)</w:t>
              <w:br/>
              <w:t>2.可快速打开平台查看对应的资源中心及个人云盘；教师的个人云盘存储空间不少于50G，教师可查看自己的个人资源、云微课、云课件；教师可将本地资源进行上传，也可将云端资源下载到本地。</w:t>
              <w:br/>
              <w:t>3.支持查看课程列表，至少包括常规课程、互动课程、直播课程；课表以日历的形式呈现，可直接切换点击日期查看对应的课程数量及列表。</w:t>
              <w:br/>
              <w:t>4.支持常规课程创建，可设置课程名称、上课日期、时间，选择班级、关联课件，设置课件自动打开时间。</w:t>
              <w:br/>
              <w:t>5.支持远程互动课程创建，可设置课程主题、开课日期、时间，设置成员加入课程自动上台、设置成员加入课程自动静音、设置课程密码、设置课程模式。</w:t>
              <w:br/>
              <w:t>6.支持直播课程创建，可在教育专属桌面直接打开平台并创建直播课程，创建完成后，在平台端可观看直播。</w:t>
              <w:br/>
              <w:t>7.支持对云端资源的文件/文件夹的操作，至少包含移动、重命名、分享、下载、删除、新建文件夹、刷新列表、搜索，也可通过文件名、文件更新时间、文件大小进行排序。</w:t>
              <w:br/>
              <w:t>8.支持云微课功能，可自动获取该账号下使用微课软件录制并上传至云端的全部文件列表；支持云课件功能，可自动获取该账号下使用白板软件制作并上传至云端的全部文件列表。</w:t>
              <w:br/>
              <w:t>▲9.支持手机和大屏/电脑之间的文件互传，支持文件快传弹窗，用户可使用app扫码选择上传文件；也可选择电脑/大屏端文件进行下发，选择文件后刷新二维码弹窗，用户扫码带走文件，实现文件共享；支持查看上传的文件列表，查看文件名称、上传者及上传进度，也可打开、删除、取消文件；支持查看下载的文件列表，可查看文件名称、类型、大小、也可打开、删除、取消下载的文件。(具有第三方实验室出具的检测报告，报告编号可在全国认证认可信息公共服务平台查询，提供报告复印件和查询截图并加盖制造商公章)</w:t>
              <w:br/>
              <w:t>▲10.支持查看Windows内的应用列表，可自动获取Windows系统内的应用，按名称由A-Z进行排列，可任意添加、移除应用到教学桌面上；支持预置多种桌面组件，包含推荐应用、天气、课表、日历、每日一言、时钟、欢迎语、我的云盘、资源中心、我的电脑、回收站、文件快传、白板、传屏、微课。可任意添加或移除组件，已添加到桌面上的组件可任意拖动改变位置。(具有第三方实验室出具的检测报告，报告编号可在全国认证认可信息公共服务平台查询，提供报告复印件和查询截图并加盖制造商公章)</w:t>
              <w:br/>
              <w:t>11.支持查看多个桌面列表，可任意增加/删除桌面，并对桌面进行命名，点击桌面可快速定位到桌面；支持基础信息设置，可设置桌面背景、欢迎语、数据同步、开机自启等设置；支持设置欢迎语，展示在桌面顶部，可设置文本内容、颜色、字体、字号、下划线、加粗、斜体等。(具有第三方实验室出具的检测报告，报告编号可在全国认证认可信息公共服务平台查询，提供报告复印件和查询截图并加盖制造商公章)</w:t>
              <w:br/>
              <w:t>▲12.支持设置开启/关闭数据同步，开启后，所有数据均会自动上传至云端，异地登录后也可选择下载并覆盖原有数据；支持设置开启/关闭开机自启；开启后，设备开机则会直接打开教学桌面；关闭后，设备开机则不会打开教学桌面，用户可以选择通过点击图标再打开。(具有第三方实验室出具的检测报告，报告编号可在全国认证认可信息公共服务平台查询，提供报告复印件和查询截图并加盖制造商公章)</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2</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套</w:t>
            </w:r>
          </w:p>
        </w:tc>
      </w:tr>
      <w:tr>
        <w:trPr>
          <w:trHeight w:val="1186"/>
        </w:trPr>
        <w:tc>
          <w:tcPr>
            <w:tcW w:w="515" w:type="dxa"/>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6</w:t>
            </w:r>
          </w:p>
        </w:tc>
        <w:tc>
          <w:tcPr>
            <w:tcW w:w="726" w:type="dxa"/>
            <w:shd w:val="clear" w:color="auto" w:fill="auto"/>
            <w:vAlign w:val="center"/>
          </w:tcPr>
          <w:p>
            <w:pPr>
              <w:pStyle w:val="56"/>
              <w:bidi w:val="0"/>
              <w:rPr>
                <w:rFonts w:eastAsia="方正仿宋_GBK"/>
                <w:sz w:val="21"/>
                <w:szCs w:val="21"/>
              </w:rPr>
            </w:pPr>
            <w:r>
              <w:rPr>
                <w:rFonts w:eastAsia="方正仿宋_GBK"/>
                <w:sz w:val="21"/>
                <w:szCs w:val="21"/>
                <w:lang w:val="en-US" w:eastAsia="zh-CN"/>
              </w:rPr>
              <w:t>系统集成</w:t>
            </w:r>
          </w:p>
        </w:tc>
        <w:tc>
          <w:tcPr>
            <w:tcW w:w="1176"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系统集成</w:t>
            </w:r>
          </w:p>
        </w:tc>
        <w:tc>
          <w:tcPr>
            <w:tcW w:w="5470"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包含设备的安装、调试、测试及所有线缆辅材、插线板、分配器等</w:t>
            </w:r>
          </w:p>
        </w:tc>
        <w:tc>
          <w:tcPr>
            <w:tcW w:w="484"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1</w:t>
            </w:r>
          </w:p>
        </w:tc>
        <w:tc>
          <w:tcPr>
            <w:tcW w:w="729" w:type="dxa"/>
            <w:shd w:val="clear" w:color="auto" w:fill="auto"/>
            <w:vAlign w:val="center"/>
          </w:tcPr>
          <w:p>
            <w:pPr>
              <w:pStyle w:val="56"/>
              <w:bidi w:val="0"/>
              <w:rPr>
                <w:rFonts w:eastAsia="方正仿宋_GBK"/>
                <w:sz w:val="21"/>
                <w:szCs w:val="21"/>
                <w:lang w:val="en-US" w:eastAsia="zh-CN"/>
              </w:rPr>
            </w:pPr>
            <w:r>
              <w:rPr>
                <w:rFonts w:eastAsia="方正仿宋_GBK"/>
                <w:sz w:val="21"/>
                <w:szCs w:val="21"/>
                <w:lang w:val="en-US" w:eastAsia="zh-CN"/>
              </w:rPr>
              <w:t>项</w:t>
            </w:r>
          </w:p>
        </w:tc>
      </w:tr>
    </w:tbl>
    <w:p>
      <w:pPr>
        <w:pStyle w:val="56"/>
        <w:bidi w:val="0"/>
        <w:rPr>
          <w:rFonts w:eastAsia="方正仿宋_GBK"/>
          <w:sz w:val="21"/>
          <w:szCs w:val="21"/>
          <w:lang w:val="en-US" w:eastAsia="zh-CN"/>
        </w:rPr>
        <w:sectPr>
          <w:footerReference w:type="default" r:id="rId2"/>
          <w:footerReference w:type="even" r:id="rId3"/>
          <w:pgSz w:w="11906" w:h="16838"/>
          <w:pgMar w:top="1440" w:right="1800" w:bottom="1440" w:left="1800" w:header="851" w:footer="992" w:gutter="0"/>
          <w:docGrid w:type="lines" w:linePitch="312" w:charSpace="0"/>
        </w:sectPr>
      </w:pPr>
    </w:p>
    <w:tbl>
      <w:tblPr>
        <w:jc w:val="left"/>
        <w:tblInd w:w="91" w:type="dxa"/>
        <w:tblW w:w="8723" w:type="dxa"/>
        <w:tblBorders>
          <w:top w:val="none" w:sz="0" w:space="0" w:color="auto"/>
          <w:left w:val="none" w:sz="0" w:space="0" w:color="auto"/>
          <w:bottom w:val="none" w:sz="0" w:space="0" w:color="auto"/>
          <w:right w:val="none" w:sz="0" w:space="0" w:color="auto"/>
        </w:tblBorders>
        <w:shd w:val="clear" w:color="auto" w:fill="auto"/>
        <w:tblCellMar>
          <w:top w:w="0" w:type="dxa"/>
          <w:left w:w="108" w:type="dxa"/>
          <w:bottom w:w="0" w:type="dxa"/>
          <w:right w:w="108" w:type="dxa"/>
        </w:tblCellMar>
      </w:tblPr>
      <w:tblGrid>
        <w:gridCol w:w="1056"/>
        <w:gridCol w:w="636"/>
        <w:gridCol w:w="1896"/>
        <w:gridCol w:w="2591"/>
        <w:gridCol w:w="636"/>
        <w:gridCol w:w="636"/>
        <w:gridCol w:w="636"/>
        <w:gridCol w:w="637"/>
      </w:tblGrid>
      <w:tr>
        <w:trPr>
          <w:trHeight w:val="667"/>
        </w:trPr>
        <w:tc>
          <w:tcPr>
            <w:tcW w:w="8723"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pPr>
              <w:pStyle w:val="56"/>
              <w:bidi w:val="0"/>
              <w:jc w:val="center"/>
              <w:rPr>
                <w:rFonts w:eastAsia="方正仿宋_GBK"/>
                <w:sz w:val="21"/>
                <w:szCs w:val="21"/>
              </w:rPr>
            </w:pPr>
            <w:r>
              <w:rPr>
                <w:rFonts w:eastAsia="方正仿宋_GBK"/>
                <w:sz w:val="28"/>
                <w:szCs w:val="28"/>
                <w:lang w:val="en-US" w:eastAsia="zh-CN"/>
              </w:rPr>
              <w:t>培训桌面终端</w:t>
            </w:r>
          </w:p>
        </w:tc>
      </w:tr>
      <w:tr>
        <w:trPr>
          <w:trHeight w:val="411"/>
        </w:trPr>
        <w:tc>
          <w:tcPr>
            <w:tcW w:w="10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p>
        </w:tc>
        <w:tc>
          <w:tcPr>
            <w:tcW w:w="6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序号</w:t>
            </w: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设备名称</w:t>
            </w:r>
          </w:p>
        </w:tc>
        <w:tc>
          <w:tcPr>
            <w:tcW w:w="25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参数说明</w:t>
            </w:r>
          </w:p>
        </w:tc>
        <w:tc>
          <w:tcPr>
            <w:tcW w:w="6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单位</w:t>
            </w:r>
          </w:p>
        </w:tc>
        <w:tc>
          <w:tcPr>
            <w:tcW w:w="6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数量</w:t>
            </w:r>
          </w:p>
        </w:tc>
        <w:tc>
          <w:tcPr>
            <w:tcW w:w="6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功能</w:t>
            </w:r>
          </w:p>
        </w:tc>
        <w:tc>
          <w:tcPr>
            <w:tcW w:w="6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备注</w:t>
            </w:r>
          </w:p>
        </w:tc>
      </w:tr>
      <w:tr>
        <w:trPr>
          <w:trHeight w:val="798"/>
        </w:trPr>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6"/>
              <w:bidi w:val="0"/>
              <w:rPr>
                <w:rFonts w:eastAsia="方正仿宋_GBK"/>
                <w:sz w:val="21"/>
                <w:szCs w:val="21"/>
              </w:rPr>
            </w:pPr>
            <w:r>
              <w:rPr>
                <w:rFonts w:eastAsia="方正仿宋_GBK"/>
                <w:sz w:val="21"/>
                <w:szCs w:val="21"/>
                <w:lang w:val="en-US" w:eastAsia="zh-CN"/>
              </w:rPr>
              <w:t>无纸化会议系统</w:t>
            </w:r>
          </w:p>
        </w:tc>
        <w:tc>
          <w:tcPr>
            <w:tcW w:w="6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1</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6"/>
              <w:bidi w:val="0"/>
              <w:rPr>
                <w:rFonts w:eastAsia="方正仿宋_GBK"/>
                <w:sz w:val="21"/>
                <w:szCs w:val="21"/>
              </w:rPr>
            </w:pPr>
            <w:r>
              <w:rPr>
                <w:rFonts w:eastAsia="方正仿宋_GBK"/>
                <w:sz w:val="21"/>
                <w:szCs w:val="21"/>
                <w:lang w:val="en-US" w:eastAsia="zh-CN"/>
              </w:rPr>
              <w:t>15.6寸桌面式无纸化带背屏会议终端</w:t>
            </w:r>
          </w:p>
        </w:tc>
        <w:tc>
          <w:tcPr>
            <w:tcW w:w="259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6"/>
              <w:bidi w:val="0"/>
              <w:rPr>
                <w:rFonts w:eastAsia="方正仿宋_GBK"/>
                <w:sz w:val="21"/>
                <w:szCs w:val="21"/>
              </w:rPr>
            </w:pPr>
            <w:r>
              <w:rPr>
                <w:rFonts w:eastAsia="方正仿宋_GBK"/>
                <w:sz w:val="21"/>
                <w:szCs w:val="21"/>
                <w:lang w:val="en-US" w:eastAsia="zh-CN"/>
              </w:rPr>
              <w:t xml:space="preserve">1.工业级设计，军工品质。            </w:t>
              <w:br/>
              <w:t>2.桌面一体化设计，超薄屏幕，会议终端系统主机采用一体式设计，集成度高，抗干扰能力强。既摆既用，使用于各类会议室场景，无需更改原有系统及家具配套。</w:t>
              <w:br/>
              <w:t>3.显示屏采用防爆的钢化玻璃面板,耐磨损、高透光率。</w:t>
              <w:br/>
              <w:t xml:space="preserve">★会议桌不需要开孔不用破坏桌面，直接即摆即用。                                                                                                                                               </w:t>
              <w:br/>
              <w:t xml:space="preserve">★全铝合金阳极氧化一体CNC成型外壳。                                                                                                                                                     </w:t>
              <w:br/>
              <w:t xml:space="preserve">★前屏可以0~90度自由偏转，副屏已可以0~90度偏转                                                                                                                                                  </w:t>
              <w:br/>
              <w:t xml:space="preserve">★双屏可收藏折叠起来。 </w:t>
              <w:br/>
              <w:t xml:space="preserve">★屏幕采用15.6寸 高清IPS屏 分辨率达到1920*1080 含10点电容触控屏                                                                         </w:t>
              <w:br/>
              <w:t>★硬件配置 CPU采用：主机技术参数：处理器:支持国产兆芯KC6000-U6580</w:t>
              <w:br/>
              <w:t>主板尺寸：170mm（L）*170mm（W）*28mm（H）</w:t>
              <w:br/>
              <w:t>电源：1*DC_IN、1*DC_ATX（4Pin）</w:t>
              <w:br/>
              <w:t>运行内存：8G</w:t>
              <w:br/>
              <w:t>存储：128G</w:t>
              <w:br/>
              <w:t>运行环境：工作温度：-20</w:t>
            </w:r>
            <w:r>
              <w:rPr>
                <w:rFonts w:ascii="方正仿宋_GBK" w:eastAsia="方正仿宋_GBK" w:hint="eastAsia"/>
                <w:sz w:val="21"/>
                <w:szCs w:val="21"/>
                <w:lang w:val="en-US" w:eastAsia="zh-CN"/>
              </w:rPr>
              <w:t>℃</w:t>
            </w:r>
            <w:r>
              <w:rPr>
                <w:rFonts w:eastAsia="方正仿宋_GBK"/>
                <w:sz w:val="21"/>
                <w:szCs w:val="21"/>
                <w:lang w:val="en-US" w:eastAsia="zh-CN"/>
              </w:rPr>
              <w:t>~60</w:t>
            </w:r>
            <w:r>
              <w:rPr>
                <w:rFonts w:ascii="方正仿宋_GBK" w:eastAsia="方正仿宋_GBK" w:hint="eastAsia"/>
                <w:sz w:val="21"/>
                <w:szCs w:val="21"/>
                <w:lang w:val="en-US" w:eastAsia="zh-CN"/>
              </w:rPr>
              <w:t>℃</w:t>
            </w:r>
            <w:r>
              <w:rPr>
                <w:rFonts w:eastAsia="方正仿宋_GBK"/>
                <w:sz w:val="21"/>
                <w:szCs w:val="21"/>
                <w:lang w:val="en-US" w:eastAsia="zh-CN"/>
              </w:rPr>
              <w:t xml:space="preserve">；      </w:t>
              <w:br/>
              <w:t>工作湿度：5%~95%相对湿度，无冷凝</w:t>
              <w:br/>
              <w:t>BIOS：</w:t>
              <w:br/>
              <w:t>操作系统：支持麒麟系统</w:t>
              <w:br/>
              <w:t>显卡：集成ZX C960 DX11超核心显卡，支持单显、双显/三显复制、双显/三显扩展；★提供售后服务承诺书；</w:t>
            </w:r>
          </w:p>
        </w:tc>
        <w:tc>
          <w:tcPr>
            <w:tcW w:w="6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台</w:t>
            </w:r>
          </w:p>
        </w:tc>
        <w:tc>
          <w:tcPr>
            <w:tcW w:w="6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32</w:t>
            </w:r>
          </w:p>
        </w:tc>
        <w:tc>
          <w:tcPr>
            <w:tcW w:w="6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56"/>
              <w:bidi w:val="0"/>
              <w:rPr>
                <w:rFonts w:eastAsia="方正仿宋_GBK"/>
                <w:sz w:val="21"/>
                <w:szCs w:val="21"/>
              </w:rPr>
            </w:pPr>
            <w:r>
              <w:rPr>
                <w:rFonts w:eastAsia="方正仿宋_GBK"/>
                <w:sz w:val="21"/>
                <w:szCs w:val="21"/>
                <w:lang w:val="en-US" w:eastAsia="zh-CN"/>
              </w:rPr>
              <w:t>必选</w:t>
            </w:r>
          </w:p>
        </w:tc>
        <w:tc>
          <w:tcPr>
            <w:tcW w:w="63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6"/>
              <w:bidi w:val="0"/>
              <w:rPr>
                <w:rFonts w:eastAsia="方正仿宋_GBK"/>
                <w:sz w:val="21"/>
                <w:szCs w:val="21"/>
              </w:rPr>
            </w:pPr>
            <w:r>
              <w:rPr>
                <w:rFonts w:eastAsia="方正仿宋_GBK"/>
                <w:sz w:val="21"/>
                <w:szCs w:val="21"/>
                <w:lang w:val="en-US" w:eastAsia="zh-CN"/>
              </w:rPr>
              <w:t>国产兆芯，预装麒麟系统</w:t>
              <w:br/>
              <w:t>不带背屏</w:t>
            </w:r>
          </w:p>
        </w:tc>
      </w:tr>
    </w:tbl>
    <w:p>
      <w:pPr>
        <w:pStyle w:val="56"/>
        <w:bidi w:val="0"/>
        <w:rPr>
          <w:rFonts w:eastAsia="方正仿宋_GBK"/>
          <w:sz w:val="21"/>
          <w:szCs w:val="21"/>
          <w:lang w:val="en-US" w:eastAsia="zh-CN"/>
        </w:rPr>
      </w:pPr>
    </w:p>
    <w:p>
      <w:pPr>
        <w:pStyle w:val="53"/>
        <w:rPr>
          <w:rFonts w:eastAsia="方正仿宋_GBK"/>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小标宋_GBK">
    <w:panose1 w:val="02000000000000000000"/>
    <w:charset w:val="86"/>
    <w:family w:val="auto"/>
    <w:pitch w:val="variable"/>
    <w:sig w:usb0="A00002BF" w:usb1="38CF7CFA" w:usb2="00082016" w:usb3="00000000" w:csb0="00040001" w:csb1="00000000"/>
  </w:font>
  <w:font w:name="方正仿宋_GBK">
    <w:panose1 w:val="02000000000000000000"/>
    <w:charset w:val="86"/>
    <w:family w:val="auto"/>
    <w:pitch w:val="variable"/>
    <w:sig w:usb0="A00002BF" w:usb1="38CF7CFA" w:usb2="00082016" w:usb3="00000000" w:csb0="00040001" w:csb1="00000000"/>
  </w:font>
  <w:font w:name="方正黑体_GBK">
    <w:altName w:val="微软雅黑"/>
    <w:panose1 w:val="03000509000000000000"/>
    <w:charset w:val="86"/>
    <w:family w:val="auto"/>
    <w:pitch w:val="variable"/>
    <w:sig w:usb0="00000000" w:usb1="0000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auto"/>
    <w:pitch w:val="variable"/>
    <w:sig w:usb0="E00002FF" w:usb1="4000ACFF" w:usb2="00000001" w:usb3="00000000" w:csb0="2000019F" w:csb1="00000000"/>
  </w:font>
  <w:font w:name="Arial">
    <w:panose1 w:val="020B0604020202020204"/>
    <w:charset w:val="00"/>
    <w:family w:val="auto"/>
    <w:pitch w:val="variable"/>
    <w:sig w:usb0="00007A87" w:usb1="80000000" w:usb2="00000008" w:usb3="00000000" w:csb0="400001FF" w:csb1="FFFF0000"/>
  </w:font>
  <w:font w:name="Cambria">
    <w:panose1 w:val="02040503050406030204"/>
    <w:charset w:val="00"/>
    <w:family w:val="auto"/>
    <w:pitch w:val="variable"/>
    <w:sig w:usb0="E00002FF" w:usb1="400004FF" w:usb2="00000000" w:usb3="00000000" w:csb0="2000019F" w:csb1="00000000"/>
  </w:font>
  <w:font w:name="仿宋">
    <w:panose1 w:val="02010609060101010101"/>
    <w:charset w:val="86"/>
    <w:family w:val="modern"/>
    <w:pitch w:val="variable"/>
    <w:sig w:usb0="800002BF" w:usb1="38CF7CFA" w:usb2="00000016" w:usb3="00000000" w:csb0="00040001" w:csb1="00000000"/>
  </w:font>
  <w:font w:name="楷体_GB2312">
    <w:altName w:val="楷体"/>
    <w:panose1 w:val="00000000000000000000"/>
    <w:charset w:val="00"/>
    <w:family w:val="auto"/>
    <w:pitch w:val="variable"/>
    <w:sig w:usb0="00000000" w:usb1="00000000" w:usb2="00000000" w:usb3="00000000" w:csb0="0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54"/>
      <w:framePr w:w="0" w:hRule="auto" w:wrap="around" w:vAnchor="text" w:hAnchor="margin" w:xAlign="outside" w:y="1" w:anchorLock="0"/>
      <w:tabs>
        <w:tab w:val="clear" w:pos="8307"/>
        <w:tab w:val="center" w:pos="4153"/>
        <w:tab w:val="right" w:pos="8306"/>
      </w:tabs>
      <w:rPr>
        <w:rFonts w:ascii="宋体"/>
        <w:sz w:val="28"/>
        <w:szCs w:val="28"/>
      </w:rPr>
    </w:pPr>
    <w:r>
      <w:rPr>
        <w:rStyle w:val="42"/>
        <w:rFonts w:ascii="宋体" w:hint="eastAsia"/>
        <w:sz w:val="28"/>
        <w:szCs w:val="28"/>
      </w:rPr>
      <w:fldChar w:fldCharType="begin"/>
    </w:r>
    <w:r>
      <w:rPr>
        <w:rStyle w:val="42"/>
        <w:rFonts w:ascii="宋体" w:hint="eastAsia"/>
        <w:sz w:val="28"/>
        <w:szCs w:val="28"/>
      </w:rPr>
      <w:instrText>Page</w:instrText>
    </w:r>
    <w:r>
      <w:rPr>
        <w:rStyle w:val="42"/>
        <w:rFonts w:ascii="宋体" w:hint="eastAsia"/>
        <w:sz w:val="28"/>
        <w:szCs w:val="28"/>
      </w:rPr>
      <w:fldChar w:fldCharType="separate"/>
    </w:r>
    <w:r>
      <w:rPr>
        <w:rStyle w:val="42"/>
        <w:rFonts w:ascii="宋体"/>
        <w:sz w:val="28"/>
        <w:szCs w:val="28"/>
      </w:rPr>
      <w:t>- 3 -</w:t>
    </w:r>
    <w:r>
      <w:rPr>
        <w:rStyle w:val="42"/>
        <w:rFonts w:ascii="宋体" w:hint="eastAsia"/>
        <w:sz w:val="28"/>
        <w:szCs w:val="28"/>
      </w:rPr>
      <w:fldChar w:fldCharType="end"/>
    </w:r>
  </w:p>
  <w:p>
    <w:pPr>
      <w:pStyle w:val="55"/>
      <w:tabs>
        <w:tab w:val="center" w:pos="4153"/>
        <w:tab w:val="right" w:pos="8306"/>
      </w:tabs>
      <w:ind w:right="360" w:firstLineChars="0" w:firstLine="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framePr w:w="0" w:hRule="auto" w:wrap="around" w:vAnchor="text" w:hAnchor="margin" w:xAlign="outside" w:y="1" w:anchorLock="0"/>
      <w:tabs>
        <w:tab w:val="center" w:pos="4153"/>
        <w:tab w:val="right" w:pos="8307"/>
      </w:tabs>
    </w:pPr>
    <w:r>
      <w:rPr>
        <w:rStyle w:val="42"/>
      </w:rPr>
      <w:fldChar w:fldCharType="begin"/>
    </w:r>
    <w:r>
      <w:rPr>
        <w:rStyle w:val="42"/>
      </w:rPr>
      <w:instrText>Page</w:instrText>
    </w:r>
    <w:r>
      <w:rPr>
        <w:rStyle w:val="42"/>
      </w:rPr>
      <w:fldChar w:fldCharType="separate"/>
    </w:r>
    <w:r>
      <w:rPr>
        <w:rStyle w:val="42"/>
      </w:rPr>
      <w:t>0</w:t>
    </w:r>
    <w:r>
      <w:rPr>
        <w:rStyle w:val="42"/>
      </w:rPr>
      <w:fldChar w:fldCharType="end"/>
    </w:r>
  </w:p>
  <w:p>
    <w:pPr>
      <w:pStyle w:val="15"/>
      <w:tabs>
        <w:tab w:val="center" w:pos="4153"/>
        <w:tab w:val="right" w:pos="8307"/>
      </w:tabs>
      <w:ind w:right="360" w:firstLineChars="0" w:firstLine="360"/>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F21B6DCA"/>
    <w:multiLevelType w:val="multilevel"/>
    <w:tmpl w:val="FCC34904"/>
    <w:lvl w:ilvl="0">
      <w:start w:val="1"/>
      <w:numFmt w:val="chineseCountingThousand"/>
      <w:lvlRestart w:val="0"/>
      <w:lvlText w:val="%1、"/>
      <w:lvlJc w:val="left"/>
      <w:pPr>
        <w:ind w:left="425" w:hanging="425"/>
      </w:pPr>
      <w:rPr>
        <w:rFonts w:hint="eastAsia"/>
      </w:rPr>
    </w:lvl>
    <w:lvl w:ilvl="1">
      <w:start w:val="1"/>
      <w:numFmt w:val="decimal"/>
      <w:isLgl/>
      <w:suff w:val="space"/>
      <w:lvlText w:val="%1.%2"/>
      <w:lvlJc w:val="left"/>
      <w:pPr>
        <w:ind w:left="992" w:hanging="567"/>
      </w:pPr>
      <w:rPr>
        <w:rFonts w:hint="eastAsia"/>
      </w:rPr>
    </w:lvl>
    <w:lvl w:ilvl="2">
      <w:start w:val="1"/>
      <w:numFmt w:val="decimal"/>
      <w:pStyle w:val="3"/>
      <w:isLgl/>
      <w:lvlText w:val="%1.%2.%3"/>
      <w:lvlJc w:val="left"/>
      <w:pPr>
        <w:ind w:left="1658" w:hanging="567"/>
      </w:pPr>
      <w:rPr>
        <w:rFonts w:ascii="宋体" w:hAnsi="宋体" w:eastAsia="宋体" w:cs="宋体" w:hint="eastAsia"/>
      </w:rPr>
    </w:lvl>
    <w:lvl w:ilvl="3">
      <w:start w:val="1"/>
      <w:numFmt w:val="decimal"/>
      <w:pStyle w:val="4"/>
      <w:isLgl/>
      <w:lvlText w:val="%1.%2.%3.%4"/>
      <w:lvlJc w:val="left"/>
      <w:pPr>
        <w:ind w:left="1984" w:hanging="708"/>
      </w:pPr>
      <w:rPr>
        <w:rFonts w:ascii="宋体" w:hAnsi="宋体" w:eastAsia="宋体" w:cs="Times New Roman" w:hint="eastAsia"/>
        <w:i w:val="0"/>
        <w:iCs w:val="0"/>
        <w:caps w:val="0"/>
        <w:smallCaps w:val="0"/>
        <w:strike w:val="0"/>
        <w:dstrike w:val="0"/>
        <w:vanish w:val="0"/>
        <w:spacing w:val="0"/>
        <w:position w:val="0"/>
        <w:u w:val="none"/>
        <w:vertAlign w:val="baseline"/>
      </w:rPr>
    </w:lvl>
    <w:lvl w:ilvl="4">
      <w:start w:val="1"/>
      <w:numFmt w:val="decimal"/>
      <w:lvlText w:val="%1.%2.%3.%4.%5"/>
      <w:lvlJc w:val="left"/>
      <w:pPr>
        <w:ind w:left="2551" w:hanging="850"/>
      </w:pPr>
      <w:rPr>
        <w:rFonts w:ascii="宋体" w:hAnsi="宋体" w:eastAsia="宋体"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80"/>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1"/>
      <w:lang w:val="en-US" w:eastAsia="zh-CN" w:bidi="ar-SA"/>
    </w:rPr>
  </w:style>
  <w:style w:type="paragraph" w:styleId="3">
    <w:name w:val="heading 3"/>
    <w:next w:val="0"/>
    <w:pPr>
      <w:keepNext/>
      <w:keepLines/>
      <w:widowControl w:val="0"/>
      <w:numPr>
        <w:ilvl w:val="2"/>
        <w:numId w:val="1"/>
      </w:numPr>
      <w:spacing w:before="340" w:after="330" w:line="360" w:lineRule="auto"/>
      <w:ind w:left="0" w:firstLine="0"/>
      <w:outlineLvl w:val="2"/>
    </w:pPr>
    <w:rPr>
      <w:rFonts w:ascii="Calibri" w:eastAsia="宋体" w:cs="Arial" w:hAnsi="Calibri"/>
      <w:bCs/>
      <w:kern w:val="44"/>
      <w:sz w:val="30"/>
      <w:szCs w:val="32"/>
      <w:lang w:val="en-US" w:eastAsia="zh-CN" w:bidi="ar-SA"/>
    </w:rPr>
  </w:style>
  <w:style w:type="paragraph" w:styleId="4">
    <w:name w:val="heading 4"/>
    <w:next w:val="15"/>
    <w:pPr>
      <w:keepNext/>
      <w:keepLines/>
      <w:widowControl w:val="0"/>
      <w:numPr>
        <w:ilvl w:val="3"/>
        <w:numId w:val="1"/>
      </w:numPr>
      <w:spacing w:before="280" w:after="290" w:line="377" w:lineRule="auto"/>
      <w:ind w:left="0" w:firstLine="0"/>
      <w:outlineLvl w:val="3"/>
    </w:pPr>
    <w:rPr>
      <w:rFonts w:ascii="Cambria" w:eastAsia="宋体" w:cs="Arial" w:hAnsi="Cambria"/>
      <w:kern w:val="44"/>
      <w:sz w:val="28"/>
      <w:szCs w:val="28"/>
      <w:lang w:val="en-US" w:eastAsia="zh-CN" w:bidi="ar-SA"/>
    </w:rPr>
  </w:style>
  <w:style w:type="character" w:default="1" w:styleId="10">
    <w:name w:val="Default Paragraph Font"/>
  </w:style>
  <w:style w:type="paragraph" w:styleId="15">
    <w:name w:val="footer"/>
    <w:next w:val="20"/>
    <w:pPr>
      <w:widowControl w:val="0"/>
      <w:tabs>
        <w:tab w:val="center" w:pos="4153"/>
        <w:tab w:val="right" w:pos="8307"/>
      </w:tabs>
      <w:snapToGrid w:val="0"/>
      <w:spacing w:line="360" w:lineRule="auto"/>
      <w:ind w:firstLineChars="200" w:firstLine="200"/>
      <w:jc w:val="left"/>
    </w:pPr>
    <w:rPr>
      <w:rFonts w:ascii="Calibri" w:eastAsia="宋体" w:cs="Arial" w:hAnsi="Calibri"/>
      <w:kern w:val="2"/>
      <w:sz w:val="18"/>
      <w:szCs w:val="18"/>
      <w:lang w:val="en-US" w:eastAsia="zh-CN" w:bidi="ar-SA"/>
    </w:rPr>
  </w:style>
  <w:style w:type="paragraph" w:styleId="16">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spacing w:line="240" w:lineRule="auto"/>
      <w:jc w:val="both"/>
      <w:outlineLvl w:val="9"/>
    </w:pPr>
    <w:rPr>
      <w:sz w:val="18"/>
    </w:rPr>
  </w:style>
  <w:style w:type="paragraph" w:styleId="17">
    <w:name w:val="footnote text"/>
    <w:basedOn w:val="0"/>
    <w:pPr>
      <w:snapToGrid w:val="0"/>
      <w:jc w:val="left"/>
    </w:pPr>
    <w:rPr>
      <w:sz w:val="18"/>
      <w:szCs w:val="18"/>
    </w:rPr>
  </w:style>
  <w:style w:type="paragraph" w:styleId="18">
    <w:name w:val="index 9"/>
    <w:basedOn w:val="0"/>
    <w:autoRedefine/>
    <w:next w:val="0"/>
    <w:pPr>
      <w:ind w:leftChars="1600" w:left="1600"/>
    </w:pPr>
  </w:style>
  <w:style w:type="paragraph" w:customStyle="1" w:styleId="19">
    <w:name w:val="样式 12 10 磅"/>
    <w:basedOn w:val="0"/>
  </w:style>
  <w:style w:type="paragraph" w:customStyle="1" w:styleId="20">
    <w:name w:val="样式 3 小四"/>
    <w:basedOn w:val="0"/>
    <w:pPr>
      <w:keepNext/>
      <w:keepLines/>
      <w:widowControl w:val="0"/>
      <w:spacing w:line="360" w:lineRule="auto"/>
      <w:outlineLvl w:val="2"/>
    </w:pPr>
    <w:rPr>
      <w:rFonts w:eastAsia="仿宋"/>
      <w:b/>
      <w:bCs/>
      <w:sz w:val="24"/>
      <w:szCs w:val="24"/>
    </w:rPr>
  </w:style>
  <w:style w:type="paragraph" w:customStyle="1" w:styleId="21">
    <w:name w:val="样式 71 10 磅"/>
    <w:basedOn w:val="0"/>
  </w:style>
  <w:style w:type="paragraph" w:customStyle="1" w:styleId="22">
    <w:name w:val="样式 58 10 磅"/>
    <w:basedOn w:val="0"/>
  </w:style>
  <w:style w:type="paragraph" w:customStyle="1" w:styleId="23">
    <w:name w:val="样式 1 10 磅"/>
    <w:basedOn w:val="0"/>
  </w:style>
  <w:style w:type="paragraph" w:customStyle="1" w:styleId="24">
    <w:name w:val="样式 28 10 磅"/>
    <w:basedOn w:val="0"/>
    <w:pPr>
      <w:autoSpaceDE w:val="0"/>
      <w:autoSpaceDN w:val="0"/>
      <w:adjustRightInd w:val="0"/>
      <w:jc w:val="left"/>
    </w:pPr>
    <w:rPr>
      <w:kern w:val="0"/>
    </w:rPr>
  </w:style>
  <w:style w:type="paragraph" w:customStyle="1" w:styleId="25">
    <w:name w:val="样式 27 10 磅"/>
    <w:basedOn w:val="0"/>
    <w:pPr>
      <w:autoSpaceDE w:val="0"/>
      <w:autoSpaceDN w:val="0"/>
      <w:adjustRightInd w:val="0"/>
      <w:jc w:val="left"/>
    </w:pPr>
    <w:rPr>
      <w:kern w:val="0"/>
    </w:rPr>
  </w:style>
  <w:style w:type="paragraph" w:customStyle="1" w:styleId="26">
    <w:name w:val="样式 9 10 磅"/>
    <w:basedOn w:val="0"/>
  </w:style>
  <w:style w:type="paragraph" w:customStyle="1" w:styleId="27">
    <w:name w:val="样式 26 10 磅"/>
    <w:basedOn w:val="0"/>
  </w:style>
  <w:style w:type="paragraph" w:customStyle="1" w:styleId="28">
    <w:name w:val="样式 6 10 磅"/>
    <w:basedOn w:val="0"/>
  </w:style>
  <w:style w:type="paragraph" w:customStyle="1" w:styleId="29">
    <w:name w:val="样式 23 10 磅"/>
    <w:basedOn w:val="0"/>
  </w:style>
  <w:style w:type="paragraph" w:customStyle="1" w:styleId="30">
    <w:name w:val="样式 55 10 磅"/>
    <w:basedOn w:val="0"/>
  </w:style>
  <w:style w:type="paragraph" w:customStyle="1" w:styleId="31">
    <w:name w:val="样式 2 10 磅"/>
    <w:basedOn w:val="0"/>
    <w:next w:val="0"/>
  </w:style>
  <w:style w:type="paragraph" w:customStyle="1" w:styleId="32">
    <w:name w:val="样式 3 10 磅"/>
    <w:basedOn w:val="0"/>
    <w:next w:val="0"/>
  </w:style>
  <w:style w:type="paragraph" w:customStyle="1" w:styleId="33">
    <w:name w:val="样式 10 磅"/>
    <w:basedOn w:val="0"/>
    <w:next w:val="18"/>
  </w:style>
  <w:style w:type="paragraph" w:customStyle="1" w:styleId="34">
    <w:name w:val="样式 4 10 磅"/>
    <w:basedOn w:val="0"/>
    <w:next w:val="0"/>
  </w:style>
  <w:style w:type="paragraph" w:customStyle="1" w:styleId="35">
    <w:name w:val="样式 70 10 磅"/>
    <w:basedOn w:val="0"/>
  </w:style>
  <w:style w:type="paragraph" w:customStyle="1" w:styleId="36">
    <w:name w:val="样式 163 10 磅"/>
    <w:basedOn w:val="0"/>
    <w:next w:val="17"/>
  </w:style>
  <w:style w:type="paragraph" w:customStyle="1" w:styleId="37">
    <w:name w:val="样式 8 10 磅"/>
    <w:basedOn w:val="0"/>
  </w:style>
  <w:style w:type="character" w:customStyle="1" w:styleId="38">
    <w:name w:val="font71"/>
    <w:basedOn w:val="10"/>
    <w:rPr>
      <w:rFonts w:ascii="仿宋" w:eastAsia="仿宋" w:cs="仿宋"/>
      <w:color w:val="000000"/>
      <w:sz w:val="24"/>
      <w:szCs w:val="24"/>
      <w:u w:val="none"/>
    </w:rPr>
  </w:style>
  <w:style w:type="character" w:customStyle="1" w:styleId="39">
    <w:name w:val="font101"/>
    <w:basedOn w:val="10"/>
    <w:rPr>
      <w:rFonts w:ascii="仿宋" w:eastAsia="仿宋" w:cs="仿宋"/>
      <w:color w:val="FF0000"/>
      <w:sz w:val="24"/>
      <w:szCs w:val="24"/>
      <w:u w:val="none"/>
    </w:rPr>
  </w:style>
  <w:style w:type="paragraph" w:customStyle="1" w:styleId="40">
    <w:name w:val="样式 5 10 磅"/>
    <w:pPr>
      <w:widowControl w:val="0"/>
      <w:jc w:val="both"/>
    </w:pPr>
    <w:rPr>
      <w:rFonts w:ascii="Times New Roman" w:eastAsia="宋体" w:cs="Times New Roman" w:hAnsi="Times New Roman"/>
      <w:kern w:val="2"/>
      <w:sz w:val="21"/>
      <w:szCs w:val="21"/>
      <w:lang w:val="en-US" w:eastAsia="zh-CN" w:bidi="ar-SA"/>
    </w:rPr>
  </w:style>
  <w:style w:type="paragraph" w:customStyle="1" w:styleId="41">
    <w:name w:val="样式 7 10 磅"/>
    <w:pPr>
      <w:widowControl w:val="0"/>
      <w:jc w:val="both"/>
    </w:pPr>
    <w:rPr>
      <w:rFonts w:ascii="Times New Roman" w:eastAsia="宋体" w:cs="Times New Roman" w:hAnsi="Times New Roman"/>
      <w:kern w:val="2"/>
      <w:sz w:val="21"/>
      <w:szCs w:val="21"/>
      <w:lang w:val="en-US" w:eastAsia="zh-CN" w:bidi="ar-SA"/>
    </w:rPr>
  </w:style>
  <w:style w:type="character" w:styleId="42">
    <w:name w:val="page number"/>
  </w:style>
  <w:style w:type="paragraph" w:styleId="43">
    <w:name w:val="Body Text First Indent"/>
    <w:next w:val="0"/>
    <w:pPr>
      <w:widowControl w:val="0"/>
      <w:adjustRightInd w:val="0"/>
      <w:spacing w:line="360" w:lineRule="auto"/>
      <w:ind w:firstLineChars="100" w:firstLine="100"/>
      <w:textAlignment w:val="baseline"/>
    </w:pPr>
    <w:rPr>
      <w:rFonts w:ascii="楷体_GB2312" w:eastAsia="楷体_GB2312" w:cs="Arial"/>
      <w:sz w:val="28"/>
      <w:lang w:val="en-US" w:eastAsia="zh-CN" w:bidi="ar-SA"/>
    </w:rPr>
  </w:style>
  <w:style w:type="paragraph" w:styleId="44">
    <w:name w:val="Body Text First Indent 2"/>
    <w:next w:val="24"/>
    <w:pPr>
      <w:widowControl w:val="0"/>
      <w:spacing w:after="120" w:line="360" w:lineRule="auto"/>
      <w:ind w:leftChars="200" w:left="200" w:firstLineChars="200" w:firstLine="200"/>
      <w:jc w:val="both"/>
    </w:pPr>
    <w:rPr>
      <w:rFonts w:ascii="Calibri" w:eastAsia="宋体" w:cs="Arial" w:hAnsi="Calibri"/>
      <w:b/>
      <w:sz w:val="28"/>
      <w:szCs w:val="24"/>
      <w:lang w:val="en-US" w:eastAsia="zh-CN" w:bidi="ar-SA"/>
    </w:rPr>
  </w:style>
  <w:style w:type="paragraph" w:customStyle="1" w:styleId="45">
    <w:name w:val="样式 10 10 磅"/>
    <w:pPr>
      <w:widowControl w:val="0"/>
      <w:jc w:val="both"/>
    </w:pPr>
    <w:rPr>
      <w:rFonts w:ascii="Times New Roman" w:eastAsia="宋体" w:cs="Times New Roman" w:hAnsi="Times New Roman"/>
      <w:kern w:val="2"/>
      <w:sz w:val="21"/>
      <w:szCs w:val="21"/>
      <w:lang w:val="en-US" w:eastAsia="zh-CN" w:bidi="ar-SA"/>
    </w:rPr>
  </w:style>
  <w:style w:type="paragraph" w:customStyle="1" w:styleId="46">
    <w:name w:val="样式 11 10 磅"/>
    <w:pPr>
      <w:widowControl w:val="0"/>
      <w:jc w:val="both"/>
    </w:pPr>
    <w:rPr>
      <w:rFonts w:ascii="Times New Roman" w:eastAsia="宋体" w:cs="Times New Roman" w:hAnsi="Times New Roman"/>
      <w:kern w:val="2"/>
      <w:sz w:val="21"/>
      <w:szCs w:val="21"/>
      <w:lang w:val="en-US" w:eastAsia="zh-CN" w:bidi="ar-SA"/>
    </w:rPr>
  </w:style>
  <w:style w:type="paragraph" w:customStyle="1" w:styleId="47">
    <w:name w:val="样式 四号"/>
    <w:pPr>
      <w:widowControl w:val="0"/>
      <w:spacing w:line="360" w:lineRule="auto"/>
      <w:ind w:firstLineChars="200" w:firstLine="200"/>
      <w:jc w:val="both"/>
    </w:pPr>
    <w:rPr>
      <w:rFonts w:ascii="Calibri" w:eastAsia="宋体" w:cs="Arial" w:hAnsi="Calibri"/>
      <w:kern w:val="2"/>
      <w:sz w:val="28"/>
      <w:szCs w:val="24"/>
      <w:lang w:val="en-US" w:eastAsia="zh-CN" w:bidi="ar-SA"/>
    </w:rPr>
  </w:style>
  <w:style w:type="paragraph" w:customStyle="1" w:styleId="48">
    <w:name w:val="样式 2 四号"/>
    <w:next w:val="18"/>
    <w:pPr>
      <w:widowControl w:val="0"/>
      <w:spacing w:line="360" w:lineRule="auto"/>
      <w:ind w:firstLineChars="200" w:firstLine="200"/>
      <w:jc w:val="both"/>
    </w:pPr>
    <w:rPr>
      <w:rFonts w:ascii="Calibri" w:eastAsia="宋体" w:cs="Arial" w:hAnsi="Calibri"/>
      <w:kern w:val="2"/>
      <w:sz w:val="28"/>
      <w:szCs w:val="24"/>
      <w:lang w:val="en-US" w:eastAsia="zh-CN" w:bidi="ar-SA"/>
    </w:rPr>
  </w:style>
  <w:style w:type="paragraph" w:customStyle="1" w:styleId="49">
    <w:name w:val="样式 1 四号"/>
    <w:pPr>
      <w:widowControl w:val="0"/>
      <w:spacing w:line="360" w:lineRule="auto"/>
      <w:ind w:firstLineChars="200" w:firstLine="200"/>
      <w:jc w:val="both"/>
    </w:pPr>
    <w:rPr>
      <w:rFonts w:ascii="Calibri" w:eastAsia="宋体" w:cs="Arial" w:hAnsi="Calibri"/>
      <w:kern w:val="2"/>
      <w:sz w:val="28"/>
      <w:szCs w:val="24"/>
      <w:lang w:val="en-US" w:eastAsia="zh-CN" w:bidi="ar-SA"/>
    </w:rPr>
  </w:style>
  <w:style w:type="paragraph" w:customStyle="1" w:styleId="50">
    <w:name w:val="样式 3 四号"/>
    <w:pPr>
      <w:keepNext/>
      <w:keepLines/>
      <w:widowControl w:val="0"/>
      <w:spacing w:before="280" w:after="290" w:line="377" w:lineRule="auto"/>
      <w:outlineLvl w:val="3"/>
    </w:pPr>
    <w:rPr>
      <w:rFonts w:ascii="Cambria" w:eastAsia="宋体" w:cs="Arial" w:hAnsi="Cambria"/>
      <w:kern w:val="44"/>
      <w:sz w:val="28"/>
      <w:szCs w:val="28"/>
      <w:lang w:val="en-US" w:eastAsia="zh-CN" w:bidi="ar-SA"/>
    </w:rPr>
  </w:style>
  <w:style w:type="paragraph" w:customStyle="1" w:styleId="51">
    <w:name w:val="样式 4 四号"/>
    <w:pPr>
      <w:widowControl w:val="0"/>
      <w:spacing w:line="360" w:lineRule="auto"/>
      <w:ind w:firstLineChars="200" w:firstLine="200"/>
      <w:jc w:val="both"/>
    </w:pPr>
    <w:rPr>
      <w:rFonts w:ascii="Calibri" w:eastAsia="宋体" w:cs="Arial" w:hAnsi="Calibri"/>
      <w:kern w:val="2"/>
      <w:sz w:val="28"/>
      <w:szCs w:val="24"/>
      <w:lang w:val="en-US" w:eastAsia="zh-CN" w:bidi="ar-SA"/>
    </w:rPr>
  </w:style>
  <w:style w:type="paragraph" w:customStyle="1" w:styleId="52">
    <w:name w:val="样式 9 四号"/>
    <w:next w:val="19"/>
    <w:pPr>
      <w:widowControl w:val="0"/>
      <w:spacing w:line="360" w:lineRule="auto"/>
      <w:ind w:firstLineChars="200" w:firstLine="200"/>
      <w:jc w:val="both"/>
    </w:pPr>
    <w:rPr>
      <w:rFonts w:ascii="Calibri" w:eastAsia="宋体" w:cs="Arial" w:hAnsi="Calibri"/>
      <w:kern w:val="2"/>
      <w:sz w:val="28"/>
      <w:szCs w:val="24"/>
      <w:lang w:val="en-US" w:eastAsia="zh-CN" w:bidi="ar-SA"/>
    </w:rPr>
  </w:style>
  <w:style w:type="paragraph" w:customStyle="1" w:styleId="53">
    <w:name w:val="样式 13 10 磅"/>
    <w:pPr>
      <w:widowControl w:val="0"/>
      <w:jc w:val="both"/>
    </w:pPr>
    <w:rPr>
      <w:rFonts w:ascii="Times New Roman" w:eastAsia="宋体" w:cs="Times New Roman" w:hAnsi="Times New Roman"/>
      <w:kern w:val="2"/>
      <w:sz w:val="21"/>
      <w:szCs w:val="21"/>
      <w:lang w:val="en-US" w:eastAsia="zh-CN" w:bidi="ar-SA"/>
    </w:rPr>
  </w:style>
  <w:style w:type="paragraph" w:customStyle="1" w:styleId="54">
    <w:name w:val="样式 小五"/>
    <w:pPr>
      <w:widowControl w:val="0"/>
      <w:tabs>
        <w:tab w:val="center" w:pos="4153"/>
        <w:tab w:val="right" w:pos="8307"/>
      </w:tabs>
      <w:snapToGrid w:val="0"/>
      <w:spacing w:line="360" w:lineRule="auto"/>
      <w:ind w:firstLineChars="200" w:firstLine="200"/>
      <w:jc w:val="left"/>
    </w:pPr>
    <w:rPr>
      <w:rFonts w:ascii="Calibri" w:eastAsia="宋体" w:cs="Arial" w:hAnsi="Calibri"/>
      <w:kern w:val="2"/>
      <w:sz w:val="18"/>
      <w:szCs w:val="18"/>
      <w:lang w:val="en-US" w:eastAsia="zh-CN" w:bidi="ar-SA"/>
    </w:rPr>
  </w:style>
  <w:style w:type="paragraph" w:customStyle="1" w:styleId="55">
    <w:name w:val="样式 1 小五"/>
    <w:pPr>
      <w:widowControl w:val="0"/>
      <w:tabs>
        <w:tab w:val="center" w:pos="4153"/>
        <w:tab w:val="right" w:pos="8306"/>
      </w:tabs>
      <w:snapToGrid w:val="0"/>
      <w:spacing w:line="360" w:lineRule="auto"/>
      <w:ind w:firstLineChars="200" w:firstLine="200"/>
    </w:pPr>
    <w:rPr>
      <w:rFonts w:ascii="Calibri" w:eastAsia="宋体" w:cs="Arial" w:hAnsi="Calibri"/>
      <w:kern w:val="2"/>
      <w:sz w:val="18"/>
      <w:szCs w:val="24"/>
      <w:lang w:val="en-US" w:eastAsia="zh-CN" w:bidi="ar-SA"/>
    </w:rPr>
  </w:style>
  <w:style w:type="paragraph" w:customStyle="1" w:styleId="56">
    <w:name w:val="样式 14 10 磅"/>
    <w:pPr>
      <w:widowControl w:val="0"/>
      <w:jc w:val="both"/>
    </w:pPr>
    <w:rPr>
      <w:rFonts w:ascii="Times New Roman" w:eastAsia="宋体" w:cs="Times New Roman" w:hAnsi="Times New Roman"/>
      <w:kern w:val="2"/>
      <w:sz w:val="21"/>
      <w:szCs w:val="21"/>
      <w:lang w:val="en-US" w:eastAsia="zh-CN" w:bidi="ar-SA"/>
    </w:rPr>
  </w:style>
  <w:style w:type="paragraph" w:customStyle="1" w:styleId="57">
    <w:name w:val="样式 15 10 磅"/>
    <w:pPr>
      <w:widowControl w:val="0"/>
      <w:jc w:val="both"/>
    </w:pPr>
    <w:rPr>
      <w:rFonts w:ascii="Times New Roman" w:eastAsia="宋体" w:cs="Times New Roman" w:hAnsi="Times New Roman"/>
      <w:kern w:val="2"/>
      <w:sz w:val="21"/>
      <w:szCs w:val="21"/>
      <w:lang w:val="en-US" w:eastAsia="zh-CN" w:bidi="ar-SA"/>
    </w:rPr>
  </w:style>
  <w:style w:type="paragraph" w:customStyle="1" w:styleId="58">
    <w:name w:val="样式 16 10 磅"/>
    <w:pPr>
      <w:widowControl w:val="0"/>
      <w:jc w:val="both"/>
    </w:pPr>
    <w:rPr>
      <w:rFonts w:ascii="Times New Roman" w:eastAsia="宋体" w:cs="Times New Roman" w:hAnsi="Times New Roman"/>
      <w:kern w:val="2"/>
      <w:sz w:val="21"/>
      <w:szCs w:val="21"/>
      <w:lang w:val="en-US" w:eastAsia="zh-CN" w:bidi="ar-SA"/>
    </w:rPr>
  </w:style>
  <w:style w:type="paragraph" w:customStyle="1" w:styleId="59">
    <w:name w:val="样式 17 10 磅"/>
    <w:pPr>
      <w:widowControl w:val="0"/>
      <w:jc w:val="both"/>
    </w:pPr>
    <w:rPr>
      <w:rFonts w:ascii="Times New Roman" w:eastAsia="宋体" w:cs="Times New Roman" w:hAnsi="Times New Roman"/>
      <w:kern w:val="2"/>
      <w:sz w:val="21"/>
      <w:szCs w:val="21"/>
      <w:lang w:val="en-US" w:eastAsia="zh-CN" w:bidi="ar-SA"/>
    </w:rPr>
  </w:style>
  <w:style w:type="paragraph" w:customStyle="1" w:styleId="60">
    <w:name w:val="样式 18 10 磅"/>
    <w:pPr>
      <w:widowControl w:val="0"/>
      <w:jc w:val="both"/>
    </w:pPr>
    <w:rPr>
      <w:rFonts w:ascii="Times New Roman" w:eastAsia="宋体" w:cs="Times New Roman" w:hAnsi="Times New Roman"/>
      <w:kern w:val="2"/>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image" Target="media/2.png"/><Relationship Id="rId5" Type="http://schemas.openxmlformats.org/officeDocument/2006/relationships/image" Target="media/2.png"/><Relationship Id="rId6" Type="http://schemas.openxmlformats.org/officeDocument/2006/relationships/image" Target="media/2.png"/><Relationship Id="rId7" Type="http://schemas.openxmlformats.org/officeDocument/2006/relationships/image" Target="media/2.png"/><Relationship Id="rId8" Type="http://schemas.openxmlformats.org/officeDocument/2006/relationships/image" Target="media/2.png"/><Relationship Id="rId9" Type="http://schemas.openxmlformats.org/officeDocument/2006/relationships/image" Target="media/2.png"/><Relationship Id="rId10" Type="http://schemas.openxmlformats.org/officeDocument/2006/relationships/image" Target="media/2.png"/><Relationship Id="rId11" Type="http://schemas.openxmlformats.org/officeDocument/2006/relationships/image" Target="media/2.png"/><Relationship Id="rId12" Type="http://schemas.openxmlformats.org/officeDocument/2006/relationships/image" Target="media/2.png"/><Relationship Id="rId13" Type="http://schemas.openxmlformats.org/officeDocument/2006/relationships/image" Target="media/2.png"/><Relationship Id="rId14" Type="http://schemas.openxmlformats.org/officeDocument/2006/relationships/image" Target="media/2.png"/><Relationship Id="rId15" Type="http://schemas.openxmlformats.org/officeDocument/2006/relationships/image" Target="media/2.png"/><Relationship Id="rId16" Type="http://schemas.openxmlformats.org/officeDocument/2006/relationships/image" Target="media/2.png"/><Relationship Id="rId17" Type="http://schemas.openxmlformats.org/officeDocument/2006/relationships/image" Target="media/2.png"/><Relationship Id="rId18" Type="http://schemas.openxmlformats.org/officeDocument/2006/relationships/image" Target="media/2.png"/><Relationship Id="rId19" Type="http://schemas.openxmlformats.org/officeDocument/2006/relationships/image" Target="media/2.png"/><Relationship Id="rId20" Type="http://schemas.openxmlformats.org/officeDocument/2006/relationships/image" Target="media/2.png"/><Relationship Id="rId21" Type="http://schemas.openxmlformats.org/officeDocument/2006/relationships/image" Target="media/2.png"/><Relationship Id="rId22" Type="http://schemas.openxmlformats.org/officeDocument/2006/relationships/image" Target="media/2.png"/><Relationship Id="rId23" Type="http://schemas.openxmlformats.org/officeDocument/2006/relationships/image" Target="media/2.png"/><Relationship Id="rId24" Type="http://schemas.openxmlformats.org/officeDocument/2006/relationships/image" Target="media/2.png"/><Relationship Id="rId25" Type="http://schemas.openxmlformats.org/officeDocument/2006/relationships/image" Target="media/2.png"/><Relationship Id="rId26" Type="http://schemas.openxmlformats.org/officeDocument/2006/relationships/image" Target="media/2.png"/><Relationship Id="rId27" Type="http://schemas.openxmlformats.org/officeDocument/2006/relationships/image" Target="media/2.png"/><Relationship Id="rId28" Type="http://schemas.openxmlformats.org/officeDocument/2006/relationships/image" Target="media/2.png"/><Relationship Id="rId29" Type="http://schemas.openxmlformats.org/officeDocument/2006/relationships/image" Target="media/2.png"/><Relationship Id="rId30" Type="http://schemas.openxmlformats.org/officeDocument/2006/relationships/image" Target="media/2.png"/><Relationship Id="rId31" Type="http://schemas.openxmlformats.org/officeDocument/2006/relationships/image" Target="media/2.png"/><Relationship Id="rId32" Type="http://schemas.openxmlformats.org/officeDocument/2006/relationships/image" Target="media/2.png"/><Relationship Id="rId33" Type="http://schemas.openxmlformats.org/officeDocument/2006/relationships/image" Target="media/2.png"/><Relationship Id="rId34" Type="http://schemas.openxmlformats.org/officeDocument/2006/relationships/image" Target="media/2.png"/><Relationship Id="rId35" Type="http://schemas.openxmlformats.org/officeDocument/2006/relationships/image" Target="media/2.png"/><Relationship Id="rId36" Type="http://schemas.openxmlformats.org/officeDocument/2006/relationships/styles" Target="styles.xml"/><Relationship Id="rId37" Type="http://schemas.openxmlformats.org/officeDocument/2006/relationships/numbering" Target="numbering.xml"/><Relationship Id="rId38" Type="http://schemas.openxmlformats.org/officeDocument/2006/relationships/fontTable" Target="fontTable.xml"/></Relationships>
</file>

<file path=docProps/app.xml><?xml version="1.0" encoding="utf-8"?>
<Properties xmlns="http://schemas.openxmlformats.org/officeDocument/2006/extended-properties">
  <Template>Normal.eit</Template>
  <TotalTime>133</TotalTime>
  <Application>Yozo_Office</Application>
  <Pages>26</Pages>
  <Words>20139</Words>
  <Characters>22287</Characters>
  <Lines>1188</Lines>
  <Paragraphs>173</Paragraphs>
  <CharactersWithSpaces>23241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_User</dc:creator>
  <cp:lastModifiedBy>user</cp:lastModifiedBy>
  <cp:revision>4</cp:revision>
  <dcterms:created xsi:type="dcterms:W3CDTF">2025-11-29T14:03:00Z</dcterms:created>
  <dcterms:modified xsi:type="dcterms:W3CDTF">2025-12-13T09:14:47Z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eyJoZGlkIjoiZTUzZDBmMTM3YjdlZDQ0YzZjYWY4OTdiZjY1NDFhNDAiLCJ1c2VySWQiOiIxMDEwNjU3MzcyIn0=</vt:lpwstr>
  </property>
  <property fmtid="{D5CDD505-2E9C-101B-9397-08002B2CF9AE}" pid="3" name="KSOProductBuildVer">
    <vt:lpwstr>2052-12.1.0.23542</vt:lpwstr>
  </property>
  <property fmtid="{D5CDD505-2E9C-101B-9397-08002B2CF9AE}" pid="4" name="ICV">
    <vt:lpwstr>DE543547E33942C9A7E9F2723BBDDB8C_13</vt:lpwstr>
  </property>
</Properties>
</file>