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480" w:lineRule="exact"/>
        <w:jc w:val="center"/>
        <w:rPr>
          <w:rFonts w:ascii="方正小标宋_GBK" w:eastAsia="方正小标宋_GBK" w:cs="宋体" w:hint="eastAsia"/>
          <w:sz w:val="44"/>
          <w:szCs w:val="44"/>
        </w:rPr>
      </w:pPr>
      <w:r>
        <w:rPr>
          <w:rFonts w:ascii="方正小标宋_GBK" w:eastAsia="方正小标宋_GBK" w:cs="宋体" w:hint="eastAsia"/>
          <w:sz w:val="44"/>
          <w:szCs w:val="44"/>
        </w:rPr>
        <w:t>汕头海关南澳办公区2026年上半年食堂食材配送服务项目评分表</w:t>
      </w:r>
    </w:p>
    <w:tbl>
      <w:tblPr>
        <w:tblpPr w:leftFromText="180" w:rightFromText="180" w:vertAnchor="text" w:horzAnchor="page" w:tblpX="1071" w:tblpY="161"/>
        <w:tblOverlap w:val="never"/>
        <w:tblW w:w="986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tblGrid>
        <w:gridCol w:w="1362"/>
        <w:gridCol w:w="1785"/>
        <w:gridCol w:w="6720"/>
      </w:tblGrid>
      <w:tr>
        <w:tc>
          <w:tcPr>
            <w:tcW w:w="9867" w:type="dxa"/>
            <w:gridSpan w:val="3"/>
            <w:tcBorders>
              <w:top w:val="single" w:sz="2" w:space="0" w:color="auto"/>
              <w:left w:val="single" w:sz="2" w:space="0" w:color="auto"/>
              <w:bottom w:val="single" w:sz="2" w:space="0" w:color="auto"/>
              <w:right w:val="single" w:sz="2" w:space="0" w:color="auto"/>
            </w:tcBorders>
            <w:vAlign w:val="center"/>
          </w:tcPr>
          <w:p>
            <w:pPr>
              <w:pStyle w:val="40"/>
              <w:spacing w:line="420" w:lineRule="exact"/>
              <w:jc w:val="center"/>
              <w:rPr>
                <w:rFonts w:ascii="方正黑体_GBK" w:eastAsia="方正黑体_GBK" w:cs="Times New Roman" w:hint="eastAsia"/>
                <w:sz w:val="21"/>
                <w:szCs w:val="21"/>
              </w:rPr>
            </w:pPr>
            <w:r>
              <w:rPr>
                <w:rFonts w:ascii="方正黑体_GBK" w:eastAsia="方正黑体_GBK" w:cs="Times New Roman" w:hint="eastAsia"/>
                <w:sz w:val="21"/>
                <w:szCs w:val="21"/>
              </w:rPr>
              <w:t>评审标准</w:t>
            </w:r>
          </w:p>
        </w:tc>
      </w:tr>
      <w:tr>
        <w:trPr>
          <w:trHeight w:val="826"/>
        </w:trPr>
        <w:tc>
          <w:tcPr>
            <w:tcW w:w="1362" w:type="dxa"/>
            <w:tcBorders>
              <w:top w:val="single" w:sz="2" w:space="0" w:color="auto"/>
              <w:left w:val="single" w:sz="2" w:space="0" w:color="auto"/>
              <w:bottom w:val="single" w:sz="2" w:space="0" w:color="auto"/>
              <w:right w:val="single" w:sz="2" w:space="0" w:color="auto"/>
            </w:tcBorders>
            <w:vAlign w:val="center"/>
          </w:tcPr>
          <w:p>
            <w:pPr>
              <w:pStyle w:val="42"/>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评审因素</w:t>
            </w:r>
          </w:p>
        </w:tc>
        <w:tc>
          <w:tcPr>
            <w:tcW w:w="8505" w:type="dxa"/>
            <w:gridSpan w:val="2"/>
            <w:tcBorders>
              <w:top w:val="single" w:sz="2" w:space="0" w:color="auto"/>
              <w:left w:val="single" w:sz="2" w:space="0" w:color="auto"/>
              <w:bottom w:val="single" w:sz="2" w:space="0" w:color="auto"/>
              <w:right w:val="single" w:sz="2" w:space="0" w:color="auto"/>
            </w:tcBorders>
            <w:vAlign w:val="center"/>
          </w:tcPr>
          <w:p>
            <w:pPr>
              <w:pStyle w:val="43"/>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评审标准</w:t>
            </w:r>
          </w:p>
        </w:tc>
      </w:tr>
      <w:tr>
        <w:tc>
          <w:tcPr>
            <w:tcW w:w="1362" w:type="dxa"/>
            <w:tcBorders>
              <w:top w:val="single" w:sz="2" w:space="0" w:color="auto"/>
              <w:left w:val="single" w:sz="2" w:space="0" w:color="auto"/>
              <w:bottom w:val="single" w:sz="2" w:space="0" w:color="auto"/>
              <w:right w:val="single" w:sz="2" w:space="0" w:color="auto"/>
            </w:tcBorders>
            <w:vAlign w:val="center"/>
          </w:tcPr>
          <w:p>
            <w:pPr>
              <w:pStyle w:val="44"/>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分值构成</w:t>
            </w:r>
          </w:p>
        </w:tc>
        <w:tc>
          <w:tcPr>
            <w:tcW w:w="8505" w:type="dxa"/>
            <w:gridSpan w:val="2"/>
            <w:tcBorders>
              <w:top w:val="single" w:sz="2" w:space="0" w:color="auto"/>
              <w:left w:val="single" w:sz="2" w:space="0" w:color="auto"/>
              <w:bottom w:val="single" w:sz="2" w:space="0" w:color="auto"/>
              <w:right w:val="single" w:sz="2" w:space="0" w:color="auto"/>
            </w:tcBorders>
            <w:vAlign w:val="center"/>
          </w:tcPr>
          <w:p>
            <w:pPr>
              <w:pStyle w:val="4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商务部分50.0分</w:t>
            </w:r>
          </w:p>
          <w:p>
            <w:pPr>
              <w:pStyle w:val="4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技术部分40.0分</w:t>
            </w:r>
          </w:p>
          <w:p>
            <w:pPr>
              <w:pStyle w:val="4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报价得分10.0分</w:t>
            </w:r>
          </w:p>
        </w:tc>
      </w:tr>
      <w:tr>
        <w:trPr>
          <w:trHeight w:val="1430"/>
        </w:trPr>
        <w:tc>
          <w:tcPr>
            <w:tcW w:w="1362" w:type="dxa"/>
            <w:vMerge w:val="restart"/>
            <w:tcBorders>
              <w:top w:val="single" w:sz="2" w:space="0" w:color="auto"/>
              <w:left w:val="single" w:sz="2" w:space="0" w:color="auto"/>
              <w:right w:val="single" w:sz="2" w:space="0" w:color="auto"/>
            </w:tcBorders>
            <w:vAlign w:val="center"/>
          </w:tcPr>
          <w:p>
            <w:pPr>
              <w:pStyle w:val="46"/>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技术部分</w:t>
            </w:r>
          </w:p>
        </w:tc>
        <w:tc>
          <w:tcPr>
            <w:tcW w:w="1785" w:type="dxa"/>
            <w:tcBorders>
              <w:top w:val="single" w:sz="2" w:space="0" w:color="auto"/>
              <w:left w:val="single" w:sz="2" w:space="0" w:color="auto"/>
              <w:bottom w:val="single" w:sz="2" w:space="0" w:color="auto"/>
              <w:right w:val="single" w:sz="2" w:space="0" w:color="auto"/>
            </w:tcBorders>
            <w:vAlign w:val="center"/>
          </w:tcPr>
          <w:p>
            <w:pPr>
              <w:pStyle w:val="47"/>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食品采购方案</w:t>
              <w:br/>
              <w:t>（20分）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48"/>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主要包括但不限于食品采购的来源、采购、运输、验收、入库、存储、采购人员配备、食品溯源等内容提供方案：</w:t>
            </w:r>
          </w:p>
          <w:p>
            <w:pPr>
              <w:pStyle w:val="48"/>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1.方案详细、合理、科学、能最大程度保证产品的新鲜度，确保供应来源稳定及安全，优于采购文件要求的，得10分；</w:t>
            </w:r>
          </w:p>
          <w:p>
            <w:pPr>
              <w:pStyle w:val="48"/>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2.方案详细、合理、科学、能保证产品的新鲜度，确保供应来源稳定及安全，满足采购文件要求的，得6分；</w:t>
            </w:r>
          </w:p>
          <w:p>
            <w:pPr>
              <w:pStyle w:val="48"/>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3.方案不详细，不够合理和科学，基本保证产品的新鲜度，确保供应来源稳定及安全，基本满足招标文件要求，得4分；</w:t>
            </w:r>
          </w:p>
          <w:p>
            <w:pPr>
              <w:pStyle w:val="48"/>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4.无提供不得分</w:t>
            </w:r>
          </w:p>
        </w:tc>
      </w:tr>
      <w:tr>
        <w:trPr>
          <w:trHeight w:val="2226"/>
        </w:trPr>
        <w:tc>
          <w:tcPr>
            <w:tcW w:w="1216"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pStyle w:val="49"/>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食品安全检测能力</w:t>
              <w:br/>
              <w:t>（20分）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50"/>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供应商须提供关于本项目食品安全检测相关方案，方案内容包括但不限于非食用化学物质、滥用食品添加剂、农药残留、兽药残留重金属、抗生素类残留、激素类残留、毒素类残留、化学类残留等食品安全检测能力。</w:t>
            </w:r>
          </w:p>
          <w:p>
            <w:pPr>
              <w:pStyle w:val="50"/>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1.具备较强的检测能力（包括但不限于检测类别、设备配置、检测人员能力等）得10分；</w:t>
            </w:r>
          </w:p>
          <w:p>
            <w:pPr>
              <w:pStyle w:val="50"/>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2.检测能力基本满足要求（包括但不限于检测类别、设备配置、检测人员能力等）。得7分；</w:t>
            </w:r>
          </w:p>
          <w:p>
            <w:pPr>
              <w:pStyle w:val="50"/>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3.检测能力一般，无法完全满足要求（包括但不限于检测类别、设备配置、检测人员能力等）。得3分；</w:t>
            </w:r>
          </w:p>
          <w:p>
            <w:pPr>
              <w:pStyle w:val="50"/>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4.无提供不得分。</w:t>
            </w:r>
          </w:p>
        </w:tc>
      </w:tr>
      <w:tr>
        <w:trPr>
          <w:trHeight w:val="1066"/>
        </w:trPr>
        <w:tc>
          <w:tcPr>
            <w:tcW w:w="1362" w:type="dxa"/>
            <w:vMerge w:val="restart"/>
            <w:tcBorders>
              <w:top w:val="single" w:sz="2" w:space="0" w:color="auto"/>
              <w:left w:val="single" w:sz="2" w:space="0" w:color="auto"/>
              <w:right w:val="single" w:sz="2" w:space="0" w:color="auto"/>
            </w:tcBorders>
            <w:vAlign w:val="center"/>
          </w:tcPr>
          <w:p>
            <w:pPr>
              <w:pStyle w:val="51"/>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商务部分</w:t>
            </w:r>
          </w:p>
        </w:tc>
        <w:tc>
          <w:tcPr>
            <w:tcW w:w="1785" w:type="dxa"/>
            <w:tcBorders>
              <w:top w:val="single" w:sz="2" w:space="0" w:color="auto"/>
              <w:left w:val="single" w:sz="2" w:space="0" w:color="auto"/>
              <w:bottom w:val="single" w:sz="2" w:space="0" w:color="auto"/>
              <w:right w:val="single" w:sz="2" w:space="0" w:color="auto"/>
            </w:tcBorders>
            <w:vAlign w:val="center"/>
          </w:tcPr>
          <w:p>
            <w:pPr>
              <w:pStyle w:val="52"/>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管理体系认证情况</w:t>
              <w:br/>
              <w:t>（12分）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53"/>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供应商具备质量管理体系认证证书、食品安全管理体系认证证书、餐饮企业现场管理评价认证证书每项证书得4分，最高得12分。</w:t>
            </w:r>
          </w:p>
          <w:p>
            <w:pPr>
              <w:pStyle w:val="53"/>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注：提供有效期内认证证书或证明材料复印件加盖公章，同时提供在认监委网站对体系证书的信息查询截图作为评审依据。</w:t>
            </w:r>
          </w:p>
        </w:tc>
      </w:tr>
      <w:tr>
        <w:tc>
          <w:tcPr>
            <w:tcW w:w="1216"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pStyle w:val="54"/>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配送能力（12分）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1.供应商自有冷链车，每提供1辆，得2分，最高得6分；</w:t>
            </w:r>
          </w:p>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供应商租用冷链车，每提供1辆，得1分，最高得3分；</w:t>
            </w:r>
          </w:p>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本小项最高得6分。</w:t>
            </w:r>
          </w:p>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2.供应商自有配送车每提供1辆，得2分，最高得6分；</w:t>
            </w:r>
          </w:p>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供应商租用配送车，每提供1辆，得1分，最高得3分；</w:t>
            </w:r>
          </w:p>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本小项最高得6分；</w:t>
            </w:r>
          </w:p>
          <w:p>
            <w:pPr>
              <w:pStyle w:val="55"/>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注：</w:t>
            </w:r>
            <w:r>
              <w:rPr>
                <w:rFonts w:ascii="方正仿宋_GBK" w:eastAsia="方正仿宋_GBK" w:cs="Times New Roman" w:hint="eastAsia"/>
                <w:sz w:val="21"/>
                <w:szCs w:val="21"/>
              </w:rPr>
              <w:t>①</w:t>
            </w:r>
            <w:r>
              <w:rPr>
                <w:rFonts w:ascii="Times New Roman" w:eastAsia="方正仿宋_GBK" w:cs="Times New Roman" w:hAnsi="Times New Roman"/>
                <w:sz w:val="21"/>
                <w:szCs w:val="21"/>
              </w:rPr>
              <w:t>自有车辆须提供有效产权证明复印件加盖公章，无提供不得分；</w:t>
            </w:r>
            <w:r>
              <w:rPr>
                <w:rFonts w:ascii="方正仿宋_GBK" w:eastAsia="方正仿宋_GBK" w:cs="Times New Roman" w:hint="eastAsia"/>
                <w:sz w:val="21"/>
                <w:szCs w:val="21"/>
              </w:rPr>
              <w:t>②</w:t>
            </w:r>
            <w:r>
              <w:rPr>
                <w:rFonts w:ascii="Times New Roman" w:eastAsia="方正仿宋_GBK" w:cs="Times New Roman" w:hAnsi="Times New Roman"/>
                <w:sz w:val="21"/>
                <w:szCs w:val="21"/>
              </w:rPr>
              <w:t>租赁车辆提供合同复印件、租赁发票加盖公章，无提供不得分。（如租赁合同未覆盖至本项目服务期限的，则需提供能覆盖本项目周期的运输车辆投入承诺函并加盖公章。）</w:t>
            </w:r>
          </w:p>
        </w:tc>
      </w:tr>
      <w:tr>
        <w:tc>
          <w:tcPr>
            <w:tcW w:w="1216"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pStyle w:val="56"/>
              <w:spacing w:line="420" w:lineRule="exact"/>
              <w:jc w:val="center"/>
              <w:rPr>
                <w:rFonts w:ascii="Times New Roman" w:eastAsia="方正仿宋_GBK" w:cs="Times New Roman" w:hAnsi="Times New Roman"/>
                <w:sz w:val="21"/>
                <w:szCs w:val="21"/>
                <w:highlight w:val="green"/>
              </w:rPr>
            </w:pPr>
            <w:r>
              <w:rPr>
                <w:rFonts w:ascii="Times New Roman" w:eastAsia="方正仿宋_GBK" w:cs="Times New Roman" w:hAnsi="Times New Roman"/>
                <w:sz w:val="21"/>
                <w:szCs w:val="21"/>
              </w:rPr>
              <w:t>供应能力保障（16分）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1.供应商自有种植基地的，每提供1个得2分，最高得6分；供应商与第三方种植基地合作的，每提供1个得1分，最高得4分；</w:t>
            </w:r>
          </w:p>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本小项最高得4分。</w:t>
            </w:r>
          </w:p>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2.供应商自有养殖基地的，每提供1个得2分，最高得6分；供应商与第三方养殖基地合作的，每提供1个得1分，最高得4分；</w:t>
            </w:r>
          </w:p>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本小项最高得6分。</w:t>
            </w:r>
          </w:p>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注：</w:t>
            </w:r>
          </w:p>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1.自有基地需同时提供覆盖本项目服务期的产权证明原件扫描件、对应基地的图片、对应产品近半年检测/检疫合格证明并加盖投标人公章。不提供或缺少材料的不得分。</w:t>
            </w:r>
          </w:p>
          <w:p>
            <w:pPr>
              <w:pStyle w:val="57"/>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2.与第三方基地合作的，需同时提供覆盖本项目服务期的合作协议原件扫描件、对应基地的图片、对应产品近半年检测/检疫合格证明并加盖投标人公章，不提供或缺少材料的不得分。</w:t>
            </w:r>
          </w:p>
        </w:tc>
      </w:tr>
      <w:tr>
        <w:tc>
          <w:tcPr>
            <w:tcW w:w="1216"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pStyle w:val="58"/>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食品安全责任 （10分）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59"/>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供应商在本项目采购公告发布日之前购买了食品安全责任险且保险单于开标当天仍在有效保险期限内，单个保险单保额:</w:t>
            </w:r>
          </w:p>
          <w:p>
            <w:pPr>
              <w:pStyle w:val="59"/>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1.食品安全责任保险保额1000万（含）以上，得10分；</w:t>
            </w:r>
          </w:p>
          <w:p>
            <w:pPr>
              <w:pStyle w:val="59"/>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2.食品安全责任保险保额500万（含）至1000万，得5分；</w:t>
            </w:r>
          </w:p>
          <w:p>
            <w:pPr>
              <w:pStyle w:val="59"/>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3.食品安全责任保险保额100万（含）至500万，得3分。</w:t>
            </w:r>
          </w:p>
          <w:p>
            <w:pPr>
              <w:pStyle w:val="59"/>
              <w:spacing w:line="420" w:lineRule="exact"/>
              <w:rPr>
                <w:rFonts w:ascii="Times New Roman" w:eastAsia="方正仿宋_GBK" w:cs="Times New Roman" w:hAnsi="Times New Roman"/>
                <w:sz w:val="21"/>
                <w:szCs w:val="21"/>
              </w:rPr>
            </w:pPr>
            <w:bookmarkStart w:id="0" w:name="_GoBack"/>
            <w:bookmarkEnd w:id="0"/>
            <w:r>
              <w:rPr>
                <w:rFonts w:ascii="Times New Roman" w:eastAsia="方正仿宋_GBK" w:cs="Times New Roman" w:hAnsi="Times New Roman"/>
                <w:sz w:val="21"/>
                <w:szCs w:val="21"/>
              </w:rPr>
              <w:t>4.食品安全责任保险保额100万以下的，不得分。</w:t>
            </w:r>
          </w:p>
          <w:p>
            <w:pPr>
              <w:pStyle w:val="59"/>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注：提供有效期内保险投保单复印件及发票复印件，并加盖公章。</w:t>
            </w:r>
          </w:p>
        </w:tc>
      </w:tr>
      <w:tr>
        <w:trPr>
          <w:trHeight w:val="1043"/>
        </w:trPr>
        <w:tc>
          <w:tcPr>
            <w:tcW w:w="1362" w:type="dxa"/>
            <w:tcBorders>
              <w:top w:val="single" w:sz="2" w:space="0" w:color="auto"/>
              <w:left w:val="single" w:sz="2" w:space="0" w:color="auto"/>
              <w:bottom w:val="single" w:sz="2" w:space="0" w:color="auto"/>
              <w:right w:val="single" w:sz="2" w:space="0" w:color="auto"/>
            </w:tcBorders>
            <w:vAlign w:val="center"/>
          </w:tcPr>
          <w:p>
            <w:pPr>
              <w:pStyle w:val="60"/>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投标报价</w:t>
            </w:r>
          </w:p>
        </w:tc>
        <w:tc>
          <w:tcPr>
            <w:tcW w:w="1785" w:type="dxa"/>
            <w:tcBorders>
              <w:top w:val="single" w:sz="2" w:space="0" w:color="auto"/>
              <w:left w:val="single" w:sz="2" w:space="0" w:color="auto"/>
              <w:bottom w:val="single" w:sz="2" w:space="0" w:color="auto"/>
              <w:right w:val="single" w:sz="2" w:space="0" w:color="auto"/>
            </w:tcBorders>
            <w:vAlign w:val="center"/>
          </w:tcPr>
          <w:p>
            <w:pPr>
              <w:pStyle w:val="61"/>
              <w:spacing w:line="420" w:lineRule="exact"/>
              <w:jc w:val="center"/>
              <w:rPr>
                <w:rFonts w:ascii="Times New Roman" w:eastAsia="方正仿宋_GBK" w:cs="Times New Roman" w:hAnsi="Times New Roman"/>
                <w:sz w:val="21"/>
                <w:szCs w:val="21"/>
              </w:rPr>
            </w:pPr>
            <w:r>
              <w:rPr>
                <w:rFonts w:ascii="Times New Roman" w:eastAsia="方正仿宋_GBK" w:cs="Times New Roman" w:hAnsi="Times New Roman"/>
                <w:sz w:val="21"/>
                <w:szCs w:val="21"/>
              </w:rPr>
              <w:t>投标报价得分 (10.0分)</w:t>
            </w:r>
          </w:p>
        </w:tc>
        <w:tc>
          <w:tcPr>
            <w:tcW w:w="6719" w:type="dxa"/>
            <w:tcBorders>
              <w:top w:val="single" w:sz="2" w:space="0" w:color="auto"/>
              <w:left w:val="single" w:sz="2" w:space="0" w:color="auto"/>
              <w:bottom w:val="single" w:sz="2" w:space="0" w:color="auto"/>
              <w:right w:val="single" w:sz="2" w:space="0" w:color="auto"/>
            </w:tcBorders>
            <w:vAlign w:val="center"/>
          </w:tcPr>
          <w:p>
            <w:pPr>
              <w:pStyle w:val="62"/>
              <w:spacing w:line="420" w:lineRule="exact"/>
              <w:rPr>
                <w:rFonts w:ascii="Times New Roman" w:eastAsia="方正仿宋_GBK" w:cs="Times New Roman" w:hAnsi="Times New Roman"/>
                <w:sz w:val="21"/>
                <w:szCs w:val="21"/>
              </w:rPr>
            </w:pPr>
            <w:r>
              <w:rPr>
                <w:rFonts w:ascii="Times New Roman" w:eastAsia="方正仿宋_GBK" w:cs="Times New Roman" w:hAnsi="Times New Roman"/>
                <w:sz w:val="21"/>
                <w:szCs w:val="21"/>
              </w:rPr>
              <w:t>投标报价得分＝（评标基准价/投标报价）×价格分值【注：满足招标文件要求且投标价格最低的投标报价为评标基准价。】</w:t>
            </w:r>
          </w:p>
        </w:tc>
      </w:tr>
    </w:tbl>
    <w:p/>
    <w:sectPr>
      <w:footerReference w:type="default" r:id="rId2"/>
      <w:footerReference w:type="even" r:id="rId3"/>
      <w:pgSz w:w="11907" w:h="16839"/>
      <w:pgMar w:top="998"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auto"/>
    <w:pitch w:val="variable"/>
    <w:sig w:usb0="E00002FF" w:usb1="4000ACFF" w:usb2="00000001" w:usb3="00000000" w:csb0="2000019F" w:csb1="0000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6"/>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27"/>
      </w:rPr>
      <w:fldChar w:fldCharType="begin"/>
    </w:r>
    <w:r>
      <w:rPr>
        <w:rStyle w:val="27"/>
      </w:rPr>
      <w:instrText>Page</w:instrText>
    </w:r>
    <w:r>
      <w:rPr>
        <w:rStyle w:val="27"/>
      </w:rPr>
      <w:fldChar w:fldCharType="separate"/>
    </w:r>
    <w:r>
      <w:rPr>
        <w:rStyle w:val="27"/>
      </w:rPr>
      <w:t>1</w:t>
    </w:r>
    <w:r>
      <w:rPr>
        <w:rStyle w:val="27"/>
      </w:rPr>
      <w:fldChar w:fldCharType="end"/>
    </w:r>
  </w:p>
  <w:p>
    <w:pPr>
      <w:pStyle w:val="26"/>
      <w:tabs>
        <w:tab w:val="center" w:pos="4153"/>
        <w:tab w:val="right" w:pos="8307"/>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6"/>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27"/>
      </w:rPr>
      <w:fldChar w:fldCharType="begin"/>
    </w:r>
    <w:r>
      <w:rPr>
        <w:rStyle w:val="27"/>
      </w:rPr>
      <w:instrText>Page</w:instrText>
    </w:r>
    <w:r>
      <w:rPr>
        <w:rStyle w:val="27"/>
      </w:rPr>
      <w:fldChar w:fldCharType="separate"/>
    </w:r>
    <w:r>
      <w:rPr>
        <w:rStyle w:val="27"/>
      </w:rPr>
      <w:t>1</w:t>
    </w:r>
    <w:r>
      <w:rPr>
        <w:rStyle w:val="27"/>
      </w:rPr>
      <w:fldChar w:fldCharType="end"/>
    </w:r>
  </w:p>
  <w:p>
    <w:pPr>
      <w:pStyle w:val="26"/>
      <w:tabs>
        <w:tab w:val="center" w:pos="4153"/>
        <w:tab w:val="right" w:pos="8307"/>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FFFFF83"/>
    <w:multiLevelType w:val="singleLevel"/>
    <w:tmpl w:val="00000000"/>
    <w:lvl w:ilvl="0">
      <w:start w:val="1"/>
      <w:numFmt w:val="bullet"/>
      <w:lvlRestart w:val="0"/>
      <w:pStyle w:val="31"/>
      <w:lvlText w:val=""/>
      <w:lvlJc w:val="left"/>
      <w:pPr>
        <w:tabs>
          <w:tab w:val="num" w:pos="780"/>
        </w:tabs>
        <w:ind w:left="780" w:hanging="360"/>
      </w:pPr>
      <w:rPr>
        <w:rFonts w:ascii="Wingdings" w:hAnsi="Wingdings" w:hint="default"/>
      </w:rPr>
    </w:lvl>
  </w:abstractNum>
  <w:abstractNum w:abstractNumId="1">
    <w:nsid w:val="0FFFFF7E"/>
    <w:multiLevelType w:val="singleLevel"/>
    <w:tmpl w:val="00000000"/>
    <w:lvl w:ilvl="0">
      <w:start w:val="1"/>
      <w:numFmt w:val="decimal"/>
      <w:lvlRestart w:val="0"/>
      <w:lvlText w:val="%1."/>
      <w:lvlJc w:val="left"/>
      <w:pPr>
        <w:tabs>
          <w:tab w:val="num" w:pos="1200"/>
        </w:tabs>
        <w:ind w:left="1200" w:hanging="360"/>
      </w:pPr>
    </w:lvl>
  </w:abstractNum>
  <w:abstractNum w:abstractNumId="2">
    <w:nsid w:val="0FFFFF7D"/>
    <w:multiLevelType w:val="singleLevel"/>
    <w:tmpl w:val="00000000"/>
    <w:lvl w:ilvl="0">
      <w:start w:val="1"/>
      <w:numFmt w:val="decimal"/>
      <w:lvlRestart w:val="0"/>
      <w:pStyle w:val="33"/>
      <w:lvlText w:val="%1."/>
      <w:lvlJc w:val="left"/>
      <w:pPr>
        <w:tabs>
          <w:tab w:val="num" w:pos="1620"/>
        </w:tabs>
        <w:ind w:left="1620" w:hanging="360"/>
      </w:pPr>
    </w:lvl>
  </w:abstractNum>
  <w:abstractNum w:abstractNumId="3">
    <w:nsid w:val="0FFFFF7C"/>
    <w:multiLevelType w:val="singleLevel"/>
    <w:tmpl w:val="00000000"/>
    <w:lvl w:ilvl="0">
      <w:start w:val="1"/>
      <w:numFmt w:val="decimal"/>
      <w:lvlRestart w:val="0"/>
      <w:pStyle w:val="34"/>
      <w:lvlText w:val="%1."/>
      <w:lvlJc w:val="left"/>
      <w:pPr>
        <w:tabs>
          <w:tab w:val="num" w:pos="2040"/>
        </w:tabs>
        <w:ind w:left="2040" w:hanging="36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cs="Times New Roman" w:hAnsi="Times New Roman"/>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index 5"/>
    <w:basedOn w:val="0"/>
    <w:autoRedefine/>
    <w:next w:val="0"/>
    <w:pPr>
      <w:ind w:left="1680"/>
    </w:pPr>
  </w:style>
  <w:style w:type="paragraph" w:styleId="16">
    <w:name w:val="index 7"/>
    <w:basedOn w:val="0"/>
    <w:autoRedefine/>
    <w:next w:val="0"/>
    <w:pPr>
      <w:ind w:left="2520"/>
    </w:pPr>
  </w:style>
  <w:style w:type="paragraph" w:styleId="17">
    <w:name w:val="index 8"/>
    <w:basedOn w:val="0"/>
    <w:autoRedefine/>
    <w:next w:val="0"/>
    <w:pPr>
      <w:ind w:left="2940"/>
    </w:pPr>
  </w:style>
  <w:style w:type="paragraph" w:styleId="18">
    <w:name w:val="index 9"/>
    <w:basedOn w:val="0"/>
    <w:autoRedefine/>
    <w:next w:val="0"/>
    <w:pPr>
      <w:ind w:left="3360"/>
    </w:pPr>
  </w:style>
  <w:style w:type="paragraph" w:styleId="19">
    <w:name w:val="toc 1"/>
    <w:basedOn w:val="0"/>
    <w:autoRedefine/>
    <w:next w:val="0"/>
  </w:style>
  <w:style w:type="paragraph" w:styleId="20">
    <w:name w:val="toc 2"/>
    <w:basedOn w:val="0"/>
    <w:autoRedefine/>
    <w:next w:val="0"/>
    <w:pPr>
      <w:ind w:left="420"/>
    </w:pPr>
  </w:style>
  <w:style w:type="paragraph" w:styleId="21">
    <w:name w:val="toc 3"/>
    <w:basedOn w:val="0"/>
    <w:autoRedefine/>
    <w:next w:val="0"/>
    <w:pPr>
      <w:ind w:left="840"/>
    </w:pPr>
  </w:style>
  <w:style w:type="paragraph" w:styleId="22">
    <w:name w:val="toc 4"/>
    <w:basedOn w:val="0"/>
    <w:autoRedefine/>
    <w:next w:val="0"/>
    <w:pPr>
      <w:ind w:left="1260"/>
    </w:pPr>
  </w:style>
  <w:style w:type="paragraph" w:styleId="23">
    <w:name w:val="toc 5"/>
    <w:basedOn w:val="0"/>
    <w:autoRedefine/>
    <w:next w:val="0"/>
    <w:pPr>
      <w:ind w:left="1680"/>
    </w:pPr>
  </w:style>
  <w:style w:type="paragraph" w:styleId="24">
    <w:name w:val="toc 6"/>
    <w:basedOn w:val="0"/>
    <w:autoRedefine/>
    <w:next w:val="0"/>
    <w:pPr>
      <w:ind w:left="2100"/>
    </w:pPr>
  </w:style>
  <w:style w:type="paragraph" w:styleId="25">
    <w:name w:val="header"/>
    <w:basedOn w:val="0"/>
    <w:pPr>
      <w:pBdr>
        <w:bottom w:val="single" w:sz="6" w:space="1" w:color="auto"/>
      </w:pBdr>
      <w:tabs>
        <w:tab w:val="center" w:pos="4153"/>
        <w:tab w:val="right" w:pos="8307"/>
      </w:tabs>
      <w:snapToGrid w:val="0"/>
      <w:jc w:val="center"/>
    </w:pPr>
    <w:rPr>
      <w:sz w:val="18"/>
      <w:szCs w:val="18"/>
    </w:rPr>
  </w:style>
  <w:style w:type="paragraph" w:styleId="26">
    <w:name w:val="footer"/>
    <w:basedOn w:val="0"/>
    <w:pPr>
      <w:tabs>
        <w:tab w:val="center" w:pos="4153"/>
        <w:tab w:val="right" w:pos="8307"/>
      </w:tabs>
      <w:snapToGrid w:val="0"/>
      <w:jc w:val="left"/>
    </w:pPr>
    <w:rPr>
      <w:sz w:val="18"/>
      <w:szCs w:val="18"/>
    </w:rPr>
  </w:style>
  <w:style w:type="character" w:styleId="27">
    <w:name w:val="page number"/>
    <w:basedOn w:val="10"/>
  </w:style>
  <w:style w:type="paragraph" w:styleId="28">
    <w:name w:val="List 2"/>
    <w:basedOn w:val="0"/>
    <w:pPr>
      <w:ind w:left="840" w:hanging="420"/>
    </w:pPr>
  </w:style>
  <w:style w:type="paragraph" w:styleId="29">
    <w:name w:val="List 3"/>
    <w:basedOn w:val="0"/>
    <w:pPr>
      <w:ind w:left="1260" w:hanging="420"/>
    </w:pPr>
  </w:style>
  <w:style w:type="paragraph" w:styleId="30">
    <w:name w:val="List 4"/>
    <w:basedOn w:val="0"/>
    <w:pPr>
      <w:ind w:left="1680" w:hanging="420"/>
    </w:pPr>
  </w:style>
  <w:style w:type="paragraph" w:styleId="31">
    <w:name w:val="List 5"/>
    <w:basedOn w:val="0"/>
    <w:pPr>
      <w:ind w:left="2100" w:hanging="420"/>
    </w:pPr>
  </w:style>
  <w:style w:type="paragraph" w:styleId="32">
    <w:name w:val="List Bullet 2"/>
    <w:basedOn w:val="0"/>
    <w:pPr>
      <w:numPr>
        <w:ilvl w:val="0"/>
        <w:numId w:val="1"/>
      </w:numPr>
    </w:pPr>
  </w:style>
  <w:style w:type="paragraph" w:styleId="33">
    <w:name w:val="List Number 3"/>
    <w:basedOn w:val="0"/>
    <w:pPr>
      <w:numPr>
        <w:ilvl w:val="0"/>
        <w:numId w:val="2"/>
      </w:numPr>
    </w:pPr>
  </w:style>
  <w:style w:type="paragraph" w:styleId="34">
    <w:name w:val="List Number 4"/>
    <w:basedOn w:val="0"/>
    <w:pPr>
      <w:numPr>
        <w:ilvl w:val="0"/>
        <w:numId w:val="3"/>
      </w:numPr>
    </w:pPr>
  </w:style>
  <w:style w:type="paragraph" w:styleId="35">
    <w:name w:val="List Number 5"/>
    <w:basedOn w:val="0"/>
    <w:pPr>
      <w:numPr>
        <w:ilvl w:val="0"/>
        <w:numId w:val="4"/>
      </w:numPr>
    </w:pPr>
  </w:style>
  <w:style w:type="paragraph" w:styleId="36">
    <w:name w:val="Title"/>
    <w:basedOn w:val="0"/>
    <w:pPr>
      <w:spacing w:before="240" w:after="60"/>
      <w:jc w:val="center"/>
      <w:outlineLvl w:val="0"/>
    </w:pPr>
    <w:rPr>
      <w:rFonts w:ascii="Arial" w:hAnsi="Arial"/>
      <w:b/>
      <w:bCs/>
      <w:sz w:val="32"/>
      <w:szCs w:val="32"/>
    </w:rPr>
  </w:style>
  <w:style w:type="paragraph" w:styleId="37">
    <w:name w:val="Closing"/>
    <w:basedOn w:val="0"/>
    <w:pPr>
      <w:ind w:left="4320"/>
    </w:pPr>
  </w:style>
  <w:style w:type="paragraph" w:styleId="38">
    <w:name w:val="Signature"/>
    <w:basedOn w:val="0"/>
    <w:pPr>
      <w:ind w:left="4320"/>
    </w:pPr>
  </w:style>
  <w:style w:type="paragraph" w:customStyle="1" w:styleId="39">
    <w:name w:val="样式 10 磅"/>
    <w:next w:val="18"/>
    <w:pPr>
      <w:widowControl w:val="0"/>
      <w:jc w:val="both"/>
    </w:pPr>
    <w:rPr>
      <w:rFonts w:ascii="Times New Roman" w:eastAsia="宋体" w:cs="Times New Roman" w:hAnsi="Times New Roman"/>
      <w:kern w:val="2"/>
      <w:sz w:val="21"/>
      <w:szCs w:val="21"/>
      <w:lang w:val="en-US" w:eastAsia="zh-CN" w:bidi="ar-SA"/>
    </w:rPr>
  </w:style>
  <w:style w:type="paragraph" w:customStyle="1" w:styleId="40">
    <w:name w:val="null3"/>
    <w:next w:val="15"/>
    <w:rPr>
      <w:rFonts w:ascii="Calibri" w:eastAsia="宋体" w:cs="Arial" w:hAnsi="Calibri"/>
      <w:lang w:val="en-US" w:eastAsia="zh-CN" w:bidi="ar-SA"/>
    </w:rPr>
  </w:style>
  <w:style w:type="paragraph" w:customStyle="1" w:styleId="41">
    <w:name w:val="样式 1 10 磅"/>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42">
    <w:name w:val="样式 38 "/>
    <w:next w:val="32"/>
    <w:rPr>
      <w:rFonts w:ascii="Calibri" w:eastAsia="宋体" w:cs="Arial" w:hAnsi="Calibri"/>
      <w:lang w:val="en-US" w:eastAsia="zh-CN" w:bidi="ar-SA"/>
    </w:rPr>
  </w:style>
  <w:style w:type="paragraph" w:customStyle="1" w:styleId="43">
    <w:name w:val="样式 37 "/>
    <w:next w:val="31"/>
    <w:rPr>
      <w:rFonts w:ascii="Calibri" w:eastAsia="宋体" w:cs="Arial" w:hAnsi="Calibri"/>
      <w:lang w:val="en-US" w:eastAsia="zh-CN" w:bidi="ar-SA"/>
    </w:rPr>
  </w:style>
  <w:style w:type="paragraph" w:customStyle="1" w:styleId="44">
    <w:name w:val="样式 36 "/>
    <w:next w:val="30"/>
    <w:rPr>
      <w:rFonts w:ascii="Calibri" w:eastAsia="宋体" w:cs="Arial" w:hAnsi="Calibri"/>
      <w:lang w:val="en-US" w:eastAsia="zh-CN" w:bidi="ar-SA"/>
    </w:rPr>
  </w:style>
  <w:style w:type="paragraph" w:customStyle="1" w:styleId="45">
    <w:name w:val="样式 35 "/>
    <w:next w:val="29"/>
    <w:rPr>
      <w:rFonts w:ascii="Calibri" w:eastAsia="宋体" w:cs="Arial" w:hAnsi="Calibri"/>
      <w:lang w:val="en-US" w:eastAsia="zh-CN" w:bidi="ar-SA"/>
    </w:rPr>
  </w:style>
  <w:style w:type="paragraph" w:customStyle="1" w:styleId="46">
    <w:name w:val="样式 34 "/>
    <w:next w:val="28"/>
    <w:rPr>
      <w:rFonts w:ascii="Calibri" w:eastAsia="宋体" w:cs="Arial" w:hAnsi="Calibri"/>
      <w:lang w:val="en-US" w:eastAsia="zh-CN" w:bidi="ar-SA"/>
    </w:rPr>
  </w:style>
  <w:style w:type="paragraph" w:customStyle="1" w:styleId="47">
    <w:name w:val="样式 47 "/>
    <w:next w:val="37"/>
    <w:rPr>
      <w:rFonts w:ascii="Calibri" w:eastAsia="宋体" w:cs="Arial" w:hAnsi="Calibri"/>
      <w:lang w:val="en-US" w:eastAsia="zh-CN" w:bidi="ar-SA"/>
    </w:rPr>
  </w:style>
  <w:style w:type="paragraph" w:customStyle="1" w:styleId="48">
    <w:name w:val="样式 48 "/>
    <w:next w:val="38"/>
    <w:rPr>
      <w:rFonts w:ascii="Calibri" w:eastAsia="宋体" w:cs="Arial" w:hAnsi="Calibri"/>
      <w:lang w:val="en-US" w:eastAsia="zh-CN" w:bidi="ar-SA"/>
    </w:rPr>
  </w:style>
  <w:style w:type="paragraph" w:customStyle="1" w:styleId="49">
    <w:name w:val="样式 43 "/>
    <w:next w:val="33"/>
    <w:rPr>
      <w:rFonts w:ascii="Calibri" w:eastAsia="宋体" w:cs="Arial" w:hAnsi="Calibri"/>
      <w:lang w:val="en-US" w:eastAsia="zh-CN" w:bidi="ar-SA"/>
    </w:rPr>
  </w:style>
  <w:style w:type="paragraph" w:customStyle="1" w:styleId="50">
    <w:name w:val="样式 44 "/>
    <w:next w:val="34"/>
    <w:rPr>
      <w:rFonts w:ascii="Calibri" w:eastAsia="宋体" w:cs="Arial" w:hAnsi="Calibri"/>
      <w:lang w:val="en-US" w:eastAsia="zh-CN" w:bidi="ar-SA"/>
    </w:rPr>
  </w:style>
  <w:style w:type="paragraph" w:customStyle="1" w:styleId="51">
    <w:name w:val="样式 15 "/>
    <w:next w:val="25"/>
    <w:rPr>
      <w:rFonts w:ascii="Calibri" w:eastAsia="宋体" w:cs="Arial" w:hAnsi="Calibri"/>
      <w:lang w:val="en-US" w:eastAsia="zh-CN" w:bidi="ar-SA"/>
    </w:rPr>
  </w:style>
  <w:style w:type="paragraph" w:customStyle="1" w:styleId="52">
    <w:name w:val="样式 45 "/>
    <w:next w:val="35"/>
    <w:rPr>
      <w:rFonts w:ascii="Calibri" w:eastAsia="宋体" w:cs="Arial" w:hAnsi="Calibri"/>
      <w:lang w:val="en-US" w:eastAsia="zh-CN" w:bidi="ar-SA"/>
    </w:rPr>
  </w:style>
  <w:style w:type="paragraph" w:customStyle="1" w:styleId="53">
    <w:name w:val="样式 46 "/>
    <w:next w:val="36"/>
    <w:rPr>
      <w:rFonts w:ascii="Calibri" w:eastAsia="宋体" w:cs="Arial" w:hAnsi="Calibri"/>
      <w:lang w:val="en-US" w:eastAsia="zh-CN" w:bidi="ar-SA"/>
    </w:rPr>
  </w:style>
  <w:style w:type="paragraph" w:customStyle="1" w:styleId="54">
    <w:name w:val="样式 8 "/>
    <w:next w:val="24"/>
    <w:rPr>
      <w:rFonts w:ascii="Calibri" w:eastAsia="宋体" w:cs="Arial" w:hAnsi="Calibri"/>
      <w:lang w:val="en-US" w:eastAsia="zh-CN" w:bidi="ar-SA"/>
    </w:rPr>
  </w:style>
  <w:style w:type="paragraph" w:customStyle="1" w:styleId="55">
    <w:name w:val="样式 7 "/>
    <w:next w:val="23"/>
    <w:rPr>
      <w:rFonts w:ascii="Calibri" w:eastAsia="宋体" w:cs="Arial" w:hAnsi="Calibri"/>
      <w:lang w:val="en-US" w:eastAsia="zh-CN" w:bidi="ar-SA"/>
    </w:rPr>
  </w:style>
  <w:style w:type="paragraph" w:customStyle="1" w:styleId="56">
    <w:name w:val="样式 6 "/>
    <w:next w:val="22"/>
    <w:rPr>
      <w:rFonts w:ascii="Calibri" w:eastAsia="宋体" w:cs="Arial" w:hAnsi="Calibri"/>
      <w:lang w:val="en-US" w:eastAsia="zh-CN" w:bidi="ar-SA"/>
    </w:rPr>
  </w:style>
  <w:style w:type="paragraph" w:customStyle="1" w:styleId="57">
    <w:name w:val="样式 5 "/>
    <w:next w:val="21"/>
    <w:rPr>
      <w:rFonts w:ascii="Calibri" w:eastAsia="宋体" w:cs="Arial" w:hAnsi="Calibri"/>
      <w:lang w:val="en-US" w:eastAsia="zh-CN" w:bidi="ar-SA"/>
    </w:rPr>
  </w:style>
  <w:style w:type="paragraph" w:customStyle="1" w:styleId="58">
    <w:name w:val="样式 4 "/>
    <w:next w:val="20"/>
    <w:rPr>
      <w:rFonts w:ascii="Calibri" w:eastAsia="宋体" w:cs="Arial" w:hAnsi="Calibri"/>
      <w:lang w:val="en-US" w:eastAsia="zh-CN" w:bidi="ar-SA"/>
    </w:rPr>
  </w:style>
  <w:style w:type="paragraph" w:customStyle="1" w:styleId="59">
    <w:name w:val="样式 3 "/>
    <w:next w:val="19"/>
    <w:rPr>
      <w:rFonts w:ascii="Calibri" w:eastAsia="宋体" w:cs="Arial" w:hAnsi="Calibri"/>
      <w:lang w:val="en-US" w:eastAsia="zh-CN" w:bidi="ar-SA"/>
    </w:rPr>
  </w:style>
  <w:style w:type="paragraph" w:customStyle="1" w:styleId="60">
    <w:name w:val="样式 2 "/>
    <w:next w:val="18"/>
    <w:rPr>
      <w:rFonts w:ascii="Calibri" w:eastAsia="宋体" w:cs="Arial" w:hAnsi="Calibri"/>
      <w:lang w:val="en-US" w:eastAsia="zh-CN" w:bidi="ar-SA"/>
    </w:rPr>
  </w:style>
  <w:style w:type="paragraph" w:customStyle="1" w:styleId="61">
    <w:name w:val="样式 1 "/>
    <w:next w:val="17"/>
    <w:rPr>
      <w:rFonts w:ascii="Calibri" w:eastAsia="宋体" w:cs="Arial" w:hAnsi="Calibri"/>
      <w:lang w:val="en-US" w:eastAsia="zh-CN" w:bidi="ar-SA"/>
    </w:rPr>
  </w:style>
  <w:style w:type="paragraph" w:customStyle="1" w:styleId="62">
    <w:name w:val="样式 "/>
    <w:next w:val="16"/>
    <w:rPr>
      <w:rFonts w:ascii="Calibri" w:eastAsia="宋体" w:cs="Arial" w:hAnsi="Calibri"/>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20</TotalTime>
  <Application>Yozo_Office</Application>
  <Pages>2</Pages>
  <Words>1440</Words>
  <Characters>1498</Characters>
  <Lines>74</Lines>
  <Paragraphs>51</Paragraphs>
  <CharactersWithSpaces>1503</CharactersWithSpaces>
  <Company>HG</Company>
</Properties>
</file>

<file path=docProps/core.xml><?xml version="1.0" encoding="utf-8"?>
<cp:coreProperties xmlns:cp="http://schemas.openxmlformats.org/package/2006/metadata/core-properties" xmlns:dc="http://purl.org/dc/elements/1.1/" xmlns:dcterms="http://purl.org/dc/terms/" xmlns:xsi="http://www.w3.org/2001/XMLSchema-instance">
  <dc:creator>林聚虹</dc:creator>
  <cp:lastModifiedBy>郑业瀚</cp:lastModifiedBy>
  <cp:revision>1</cp:revision>
  <dcterms:created xsi:type="dcterms:W3CDTF">2025-04-10T07:40:30Z</dcterms:created>
  <dcterms:modified xsi:type="dcterms:W3CDTF">2025-12-09T06:45:18Z</dcterms:modified>
</cp:coreProperties>
</file>