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4"/>
        <w:spacing w:before="0" w:after="120" w:line="360" w:lineRule="exact"/>
        <w:jc w:val="center"/>
        <w:rPr>
          <w:rFonts w:ascii="方正小标宋_GBK" w:eastAsia="方正小标宋_GBK" w:cs="宋体" w:hint="eastAsia"/>
          <w:b w:val="0"/>
          <w:spacing w:val="-40"/>
          <w:sz w:val="32"/>
          <w:szCs w:val="32"/>
        </w:rPr>
      </w:pPr>
      <w:bookmarkStart w:id="0" w:name="_GoBack"/>
      <w:bookmarkEnd w:id="0"/>
      <w:r>
        <w:rPr>
          <w:rFonts w:ascii="方正小标宋_GBK" w:eastAsia="方正小标宋_GBK" w:cs="宋体" w:hint="eastAsia"/>
          <w:b w:val="0"/>
          <w:spacing w:val="-40"/>
          <w:sz w:val="32"/>
          <w:szCs w:val="32"/>
          <w:lang w:bidi="ar-SA"/>
        </w:rPr>
        <w:t>技术参数响应表</w:t>
      </w:r>
    </w:p>
    <w:tbl>
      <w:tblPr>
        <w:jc w:val="center"/>
        <w:tblW w:w="142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1410"/>
        <w:gridCol w:w="6239"/>
        <w:gridCol w:w="3611"/>
        <w:gridCol w:w="1413"/>
        <w:gridCol w:w="868"/>
      </w:tblGrid>
      <w:tr>
        <w:trPr>
          <w:trHeight w:val="1145"/>
        </w:trPr>
        <w:tc>
          <w:tcPr>
            <w:tcW w:w="703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 w:hint="eastAsia"/>
                <w:spacing w:val="-40"/>
                <w:szCs w:val="21"/>
                <w:lang w:bidi="ar-SA"/>
              </w:rPr>
            </w:pPr>
            <w:r>
              <w:rPr>
                <w:rFonts w:ascii="宋体" w:cs="宋体" w:hint="eastAsia"/>
                <w:spacing w:val="-40"/>
                <w:szCs w:val="21"/>
                <w:lang w:bidi="ar-SA"/>
              </w:rPr>
              <w:t>序号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pacing w:val="-40"/>
                <w:szCs w:val="21"/>
                <w:lang w:bidi="ar-SA"/>
              </w:rPr>
            </w:pPr>
            <w:r>
              <w:rPr>
                <w:rFonts w:ascii="宋体" w:cs="宋体"/>
                <w:spacing w:val="-40"/>
                <w:szCs w:val="21"/>
                <w:lang w:bidi="ar-SA"/>
              </w:rPr>
              <w:t>配件名称</w:t>
            </w:r>
          </w:p>
        </w:tc>
        <w:tc>
          <w:tcPr>
            <w:tcW w:w="623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 w:hint="eastAsia"/>
                <w:spacing w:val="-40"/>
                <w:szCs w:val="21"/>
                <w:lang w:bidi="ar-SA"/>
              </w:rPr>
            </w:pPr>
            <w:r>
              <w:rPr>
                <w:rFonts w:ascii="宋体" w:cs="宋体"/>
                <w:spacing w:val="-40"/>
                <w:szCs w:val="21"/>
                <w:lang w:bidi="ar-SA"/>
              </w:rPr>
              <w:t>技术参数及</w:t>
            </w:r>
            <w:r>
              <w:rPr>
                <w:rFonts w:ascii="宋体" w:cs="宋体" w:hint="eastAsia"/>
                <w:spacing w:val="-40"/>
                <w:szCs w:val="21"/>
                <w:lang w:bidi="ar-SA"/>
              </w:rPr>
              <w:t>要求</w:t>
            </w:r>
          </w:p>
        </w:tc>
        <w:tc>
          <w:tcPr>
            <w:tcW w:w="361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 w:hint="eastAsia"/>
                <w:spacing w:val="-40"/>
                <w:szCs w:val="21"/>
                <w:lang w:bidi="ar-SA"/>
              </w:rPr>
            </w:pPr>
            <w:r>
              <w:rPr>
                <w:rFonts w:ascii="宋体" w:cs="宋体" w:hint="eastAsia"/>
                <w:spacing w:val="-40"/>
                <w:szCs w:val="21"/>
                <w:lang w:bidi="ar-SA"/>
              </w:rPr>
              <w:t>响应实际参数</w:t>
            </w:r>
            <w:r>
              <w:rPr>
                <w:rFonts w:ascii="宋体" w:cs="宋体" w:hint="eastAsia"/>
                <w:bCs/>
                <w:spacing w:val="-40"/>
                <w:szCs w:val="21"/>
                <w:lang w:bidi="ar-SA"/>
              </w:rPr>
              <w:t>(按响应货物实际数据填写)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 w:hint="eastAsia"/>
                <w:spacing w:val="-40"/>
                <w:szCs w:val="21"/>
                <w:lang w:bidi="ar-SA"/>
              </w:rPr>
            </w:pPr>
            <w:r>
              <w:rPr>
                <w:rFonts w:ascii="宋体" w:cs="宋体" w:hint="eastAsia"/>
                <w:spacing w:val="-40"/>
                <w:szCs w:val="21"/>
                <w:lang w:bidi="ar-SA"/>
              </w:rPr>
              <w:t>是否偏离（无偏离/正偏离/负偏离）</w:t>
            </w:r>
          </w:p>
        </w:tc>
        <w:tc>
          <w:tcPr>
            <w:tcW w:w="868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 w:hint="eastAsia"/>
                <w:spacing w:val="-40"/>
                <w:szCs w:val="21"/>
                <w:lang w:bidi="ar-SA"/>
              </w:rPr>
            </w:pPr>
            <w:r>
              <w:rPr>
                <w:rFonts w:ascii="宋体" w:cs="宋体" w:hint="eastAsia"/>
                <w:spacing w:val="-40"/>
                <w:szCs w:val="21"/>
                <w:lang w:bidi="ar-SA"/>
              </w:rPr>
              <w:t>偏离简述</w:t>
            </w:r>
          </w:p>
        </w:tc>
      </w:tr>
      <w:tr>
        <w:trPr>
          <w:trHeight w:val="388"/>
        </w:trPr>
        <w:tc>
          <w:tcPr>
            <w:tcW w:w="703" w:type="dxa"/>
            <w:tcBorders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rFonts w:ascii="宋体" w:cs="宋体" w:hint="eastAsia"/>
                <w:spacing w:val="-40"/>
                <w:sz w:val="24"/>
                <w:lang w:bidi="ar-SA"/>
              </w:rPr>
            </w:pPr>
            <w:r>
              <w:rPr>
                <w:rFonts w:ascii="宋体" w:cs="宋体" w:hint="eastAsia"/>
                <w:spacing w:val="-40"/>
                <w:sz w:val="24"/>
                <w:lang w:bidi="ar-SA"/>
              </w:rPr>
              <w:t>1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宋体" w:cs="宋体" w:hint="eastAsia"/>
                <w:spacing w:val="-40"/>
                <w:szCs w:val="21"/>
              </w:rPr>
            </w:pPr>
            <w:r>
              <w:rPr>
                <w:rFonts w:ascii="宋体" w:cs="宋体" w:hint="eastAsia"/>
                <w:spacing w:val="-40"/>
                <w:szCs w:val="21"/>
              </w:rPr>
              <w:t>固态硬盘</w:t>
            </w:r>
          </w:p>
        </w:tc>
        <w:tc>
          <w:tcPr>
            <w:tcW w:w="6239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宋体" w:cs="宋体" w:hint="eastAsia"/>
                <w:spacing w:val="-40"/>
                <w:sz w:val="18"/>
                <w:szCs w:val="18"/>
              </w:rPr>
            </w:pPr>
            <w:r>
              <w:rPr>
                <w:rFonts w:ascii="宋体" w:cs="宋体" w:hint="eastAsia"/>
                <w:spacing w:val="-40"/>
                <w:sz w:val="18"/>
                <w:szCs w:val="18"/>
              </w:rPr>
              <w:t>★尺寸：2.5英寸★接口：SATA 3.0接口★容量：960G★顺序读写速度≥550/500 MB/s★4K随机读取IOPS≥90,000★耐用性指标(DWPD)≥0.6 或总写入量(TBW)≥800TB ★必须支持断电保护(PLP)及全路径数据校验</w:t>
              <w:br/>
              <w:t>★需适用于深信服aServer2305、VDS-P-G620、VDS-P-G630、VDS-G-H565等服务器。★供货需为全新配件，提供一年以上质保期</w:t>
            </w:r>
          </w:p>
        </w:tc>
        <w:tc>
          <w:tcPr>
            <w:tcW w:w="3611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  <w:tc>
          <w:tcPr>
            <w:tcW w:w="1413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  <w:tc>
          <w:tcPr>
            <w:tcW w:w="868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</w:tr>
      <w:tr>
        <w:trPr>
          <w:trHeight w:val="369"/>
        </w:trPr>
        <w:tc>
          <w:tcPr>
            <w:tcW w:w="703" w:type="dxa"/>
            <w:tcBorders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rFonts w:ascii="宋体" w:cs="宋体" w:hint="eastAsia"/>
                <w:spacing w:val="-40"/>
                <w:sz w:val="24"/>
                <w:lang w:bidi="ar-SA"/>
              </w:rPr>
            </w:pPr>
            <w:r>
              <w:rPr>
                <w:rFonts w:ascii="宋体" w:cs="宋体" w:hint="eastAsia"/>
                <w:spacing w:val="-40"/>
                <w:sz w:val="24"/>
                <w:lang w:bidi="ar-SA"/>
              </w:rPr>
              <w:t>2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宋体" w:cs="宋体" w:hint="eastAsia"/>
                <w:spacing w:val="-40"/>
                <w:szCs w:val="21"/>
              </w:rPr>
            </w:pPr>
            <w:r>
              <w:rPr>
                <w:rFonts w:ascii="宋体" w:cs="宋体" w:hint="eastAsia"/>
                <w:spacing w:val="-40"/>
                <w:szCs w:val="21"/>
              </w:rPr>
              <w:t>固态硬盘</w:t>
            </w:r>
          </w:p>
        </w:tc>
        <w:tc>
          <w:tcPr>
            <w:tcW w:w="6239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宋体" w:cs="宋体" w:hint="eastAsia"/>
                <w:spacing w:val="-40"/>
                <w:sz w:val="18"/>
                <w:szCs w:val="18"/>
              </w:rPr>
            </w:pPr>
            <w:r>
              <w:rPr>
                <w:rFonts w:ascii="宋体" w:cs="宋体" w:hint="eastAsia"/>
                <w:spacing w:val="-40"/>
                <w:sz w:val="18"/>
                <w:szCs w:val="18"/>
              </w:rPr>
              <w:t>★尺寸：2.5英寸★接口：SATA 3.0接口★容量：1.92T★顺序读写速度≥550/500 MB/s★4K随机读取IOPS≥90,000★耐用性指标(DWPD)≥0.6 或总写入量(TBW)≥800TB ★必须支持断电保护(PLP)及全路径数据校验</w:t>
              <w:br/>
              <w:t>★需适用于深信服aServer2305、VDS-P-G620、VDS-P-G630、VDS-G-H565等服务器。★供货需为全新配件，提供一年以上质保期</w:t>
            </w:r>
          </w:p>
        </w:tc>
        <w:tc>
          <w:tcPr>
            <w:tcW w:w="3611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  <w:tc>
          <w:tcPr>
            <w:tcW w:w="1413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  <w:tc>
          <w:tcPr>
            <w:tcW w:w="868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</w:tr>
      <w:tr>
        <w:trPr>
          <w:trHeight w:val="388"/>
        </w:trPr>
        <w:tc>
          <w:tcPr>
            <w:tcW w:w="703" w:type="dxa"/>
            <w:tcBorders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rFonts w:ascii="宋体" w:cs="宋体" w:hint="eastAsia"/>
                <w:spacing w:val="-40"/>
                <w:sz w:val="24"/>
                <w:lang w:bidi="ar-SA"/>
              </w:rPr>
            </w:pPr>
            <w:r>
              <w:rPr>
                <w:rFonts w:ascii="宋体" w:cs="宋体" w:hint="eastAsia"/>
                <w:spacing w:val="-40"/>
                <w:sz w:val="24"/>
                <w:lang w:bidi="ar-SA"/>
              </w:rPr>
              <w:t>3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宋体" w:cs="宋体" w:hint="eastAsia"/>
                <w:spacing w:val="-40"/>
                <w:szCs w:val="21"/>
              </w:rPr>
            </w:pPr>
            <w:r>
              <w:rPr>
                <w:rFonts w:ascii="宋体" w:cs="宋体" w:hint="eastAsia"/>
                <w:spacing w:val="-40"/>
                <w:szCs w:val="21"/>
              </w:rPr>
              <w:t>机械硬盘</w:t>
            </w:r>
          </w:p>
        </w:tc>
        <w:tc>
          <w:tcPr>
            <w:tcW w:w="6239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宋体" w:cs="宋体" w:hint="eastAsia"/>
                <w:spacing w:val="-40"/>
                <w:sz w:val="18"/>
                <w:szCs w:val="18"/>
              </w:rPr>
            </w:pPr>
            <w:r>
              <w:rPr>
                <w:rFonts w:ascii="宋体" w:cs="宋体" w:hint="eastAsia"/>
                <w:spacing w:val="-40"/>
                <w:sz w:val="18"/>
                <w:szCs w:val="18"/>
              </w:rPr>
              <w:t>★尺寸：3.5英寸★单盘容量≥10TB且必须为CMR传统磁记录技术（严禁SMR叠瓦）★转速7200 RPM，缓存≥256MB，接口SATA 6Gb/s★年写入负载评级≥550TB/年，MTBF≥200万小时，支持7×24小时不间断运行</w:t>
              <w:br/>
              <w:t>★需适用于深信服aServer2305、VDS-P-G620、VDS-P-G630、VDS-G-H565等服务器。★供货需为全新配件，提供一年以上质保期</w:t>
            </w:r>
          </w:p>
        </w:tc>
        <w:tc>
          <w:tcPr>
            <w:tcW w:w="3611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  <w:tc>
          <w:tcPr>
            <w:tcW w:w="1413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  <w:tc>
          <w:tcPr>
            <w:tcW w:w="868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</w:tr>
      <w:tr>
        <w:trPr>
          <w:trHeight w:val="369"/>
        </w:trPr>
        <w:tc>
          <w:tcPr>
            <w:tcW w:w="703" w:type="dxa"/>
            <w:tcBorders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rFonts w:ascii="宋体" w:cs="宋体" w:hint="eastAsia"/>
                <w:spacing w:val="-40"/>
                <w:sz w:val="24"/>
                <w:lang w:bidi="ar-SA"/>
              </w:rPr>
            </w:pPr>
            <w:r>
              <w:rPr>
                <w:rFonts w:ascii="宋体" w:cs="宋体" w:hint="eastAsia"/>
                <w:spacing w:val="-40"/>
                <w:sz w:val="24"/>
                <w:lang w:bidi="ar-SA"/>
              </w:rPr>
              <w:t>4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宋体" w:cs="宋体" w:hint="eastAsia"/>
                <w:spacing w:val="-40"/>
                <w:szCs w:val="21"/>
              </w:rPr>
            </w:pPr>
            <w:r>
              <w:rPr>
                <w:rFonts w:ascii="宋体" w:cs="宋体" w:hint="eastAsia"/>
                <w:spacing w:val="-40"/>
                <w:szCs w:val="21"/>
              </w:rPr>
              <w:t>HBA卡</w:t>
            </w:r>
          </w:p>
        </w:tc>
        <w:tc>
          <w:tcPr>
            <w:tcW w:w="6239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宋体" w:cs="宋体" w:hint="eastAsia"/>
                <w:spacing w:val="-40"/>
                <w:sz w:val="18"/>
                <w:szCs w:val="18"/>
              </w:rPr>
            </w:pPr>
            <w:r>
              <w:rPr>
                <w:rFonts w:ascii="宋体" w:cs="宋体" w:hint="eastAsia"/>
                <w:spacing w:val="-40"/>
                <w:sz w:val="18"/>
                <w:szCs w:val="18"/>
              </w:rPr>
              <w:t>★单端口速率支持 32/16/8/4 Gb/s 自适应，双口并发带宽≥64Gb/s，接口类型为 SFP+；★需适用于深信服VDS-G-H565。★需由原厂工程师提供在线虚拟机迁移和配件安装服务，安装环境为3台服务器构成的虚拟集群，在线运行虚拟机40台。★供货需为全新配件，提供一年以上质保期</w:t>
            </w:r>
          </w:p>
        </w:tc>
        <w:tc>
          <w:tcPr>
            <w:tcW w:w="3611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  <w:tc>
          <w:tcPr>
            <w:tcW w:w="1413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  <w:tc>
          <w:tcPr>
            <w:tcW w:w="868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</w:tr>
    </w:tbl>
    <w:p>
      <w:pPr>
        <w:spacing w:after="120" w:line="360" w:lineRule="exact"/>
        <w:ind w:left="0" w:firstLine="0"/>
        <w:rPr>
          <w:rFonts w:ascii="宋体" w:cs="宋体" w:hint="eastAsia"/>
          <w:spacing w:val="-40"/>
          <w:szCs w:val="21"/>
          <w:lang w:bidi="ar-SA"/>
        </w:rPr>
      </w:pPr>
      <w:r>
        <w:rPr>
          <w:rFonts w:ascii="宋体" w:cs="宋体" w:hint="eastAsia"/>
          <w:spacing w:val="-40"/>
          <w:szCs w:val="21"/>
          <w:lang w:bidi="ar-SA"/>
        </w:rPr>
        <w:t>注：</w:t>
      </w:r>
    </w:p>
    <w:p>
      <w:pPr>
        <w:spacing w:after="120" w:line="360" w:lineRule="exact"/>
        <w:ind w:firstLine="0"/>
        <w:rPr>
          <w:rFonts w:ascii="宋体" w:cs="宋体" w:hint="eastAsia"/>
          <w:spacing w:val="-40"/>
          <w:szCs w:val="21"/>
          <w:lang w:val="en-GB" w:eastAsia="en-GB" w:bidi="ar-SA"/>
        </w:rPr>
      </w:pPr>
      <w:r>
        <w:rPr>
          <w:rFonts w:ascii="宋体" w:cs="宋体" w:hint="eastAsia"/>
          <w:spacing w:val="-40"/>
          <w:szCs w:val="21"/>
          <w:lang w:bidi="ar-SA"/>
        </w:rPr>
        <w:t>1.</w:t>
      </w:r>
      <w:r>
        <w:rPr>
          <w:rFonts w:ascii="宋体" w:cs="宋体"/>
          <w:spacing w:val="-40"/>
          <w:szCs w:val="21"/>
          <w:lang w:bidi="ar-SA"/>
        </w:rPr>
        <w:t>投标人对</w:t>
      </w:r>
      <w:r>
        <w:rPr>
          <w:rFonts w:ascii="宋体" w:cs="宋体" w:hint="eastAsia"/>
          <w:bCs/>
          <w:spacing w:val="-40"/>
          <w:lang w:bidi="ar-SA"/>
        </w:rPr>
        <w:t>“★”条款</w:t>
      </w:r>
      <w:r>
        <w:rPr>
          <w:rFonts w:ascii="宋体" w:cs="宋体" w:hint="eastAsia"/>
          <w:spacing w:val="-40"/>
          <w:szCs w:val="21"/>
          <w:lang w:bidi="ar-SA"/>
        </w:rPr>
        <w:t>内容逐条响应。如有缺漏，缺漏项视同不符合采购要求。</w:t>
      </w:r>
    </w:p>
    <w:p>
      <w:pPr>
        <w:spacing w:after="120" w:line="360" w:lineRule="exact"/>
        <w:rPr>
          <w:rFonts w:ascii="宋体" w:cs="宋体" w:hint="eastAsia"/>
          <w:spacing w:val="-40"/>
          <w:szCs w:val="21"/>
          <w:lang w:bidi="ar-SA"/>
        </w:rPr>
      </w:pPr>
      <w:r>
        <w:rPr>
          <w:rFonts w:ascii="宋体" w:cs="宋体" w:hint="eastAsia"/>
          <w:spacing w:val="-40"/>
          <w:szCs w:val="21"/>
          <w:lang w:val="en-GB" w:eastAsia="en-GB" w:bidi="ar-SA"/>
        </w:rPr>
        <w:t>2.</w:t>
      </w:r>
      <w:r>
        <w:rPr>
          <w:rFonts w:ascii="宋体" w:cs="宋体"/>
          <w:spacing w:val="-40"/>
          <w:szCs w:val="21"/>
          <w:lang w:bidi="ar-SA"/>
        </w:rPr>
        <w:t>投标</w:t>
      </w:r>
      <w:r>
        <w:rPr>
          <w:rFonts w:ascii="宋体" w:cs="宋体" w:hint="eastAsia"/>
          <w:spacing w:val="-40"/>
          <w:szCs w:val="21"/>
          <w:lang w:bidi="ar-SA"/>
        </w:rPr>
        <w:t>人响应</w:t>
      </w:r>
      <w:r>
        <w:rPr>
          <w:rFonts w:ascii="宋体" w:cs="宋体"/>
          <w:spacing w:val="-40"/>
          <w:szCs w:val="21"/>
          <w:lang w:bidi="ar-SA"/>
        </w:rPr>
        <w:t>实际参数</w:t>
      </w:r>
      <w:r>
        <w:rPr>
          <w:rFonts w:ascii="宋体" w:cs="宋体" w:hint="eastAsia"/>
          <w:spacing w:val="-40"/>
          <w:szCs w:val="21"/>
          <w:lang w:bidi="ar-SA"/>
        </w:rPr>
        <w:t>应具体、明确，含糊不清、不确切的按照不完全响应或者完全不响应处理。</w:t>
      </w:r>
    </w:p>
    <w:p>
      <w:pPr>
        <w:adjustRightInd w:val="0"/>
        <w:snapToGrid w:val="0"/>
        <w:spacing w:line="360" w:lineRule="exact"/>
        <w:rPr>
          <w:rFonts w:ascii="宋体" w:cs="宋体" w:hint="eastAsia"/>
          <w:spacing w:val="-40"/>
          <w:szCs w:val="21"/>
          <w:u w:val="single"/>
        </w:rPr>
      </w:pPr>
      <w:r>
        <w:rPr>
          <w:rFonts w:ascii="宋体" w:cs="宋体" w:hint="eastAsia"/>
          <w:spacing w:val="-40"/>
          <w:szCs w:val="21"/>
          <w:lang w:bidi="ar-SA"/>
        </w:rPr>
        <w:t>报</w:t>
      </w:r>
      <w:r>
        <w:rPr>
          <w:rFonts w:ascii="宋体" w:cs="宋体"/>
          <w:spacing w:val="-40"/>
          <w:szCs w:val="21"/>
          <w:lang w:bidi="ar-SA"/>
        </w:rPr>
        <w:t>标</w:t>
      </w:r>
      <w:r>
        <w:rPr>
          <w:rFonts w:ascii="宋体" w:cs="宋体" w:hint="eastAsia"/>
          <w:spacing w:val="-40"/>
          <w:szCs w:val="21"/>
          <w:lang w:bidi="ar-SA"/>
        </w:rPr>
        <w:t>人名称（</w:t>
      </w:r>
      <w:r>
        <w:rPr>
          <w:rFonts w:ascii="宋体" w:cs="宋体"/>
          <w:spacing w:val="-40"/>
          <w:szCs w:val="21"/>
          <w:lang w:bidi="ar-SA"/>
        </w:rPr>
        <w:t>盖</w:t>
      </w:r>
      <w:r>
        <w:rPr>
          <w:rFonts w:ascii="宋体" w:cs="宋体" w:hint="eastAsia"/>
          <w:spacing w:val="-40"/>
          <w:szCs w:val="21"/>
          <w:lang w:bidi="ar-SA"/>
        </w:rPr>
        <w:t>章）：</w:t>
      </w:r>
      <w:r>
        <w:rPr>
          <w:rFonts w:ascii="宋体" w:cs="宋体" w:hint="eastAsia"/>
          <w:spacing w:val="-40"/>
          <w:szCs w:val="21"/>
          <w:u w:val="single"/>
          <w:lang w:bidi="ar-SA"/>
        </w:rPr>
        <w:t xml:space="preserve">                </w:t>
      </w:r>
      <w:r>
        <w:rPr>
          <w:rFonts w:ascii="宋体" w:cs="宋体"/>
          <w:spacing w:val="-40"/>
          <w:szCs w:val="21"/>
          <w:u w:val="single"/>
          <w:lang w:bidi="ar-SA"/>
        </w:rPr>
        <w:t xml:space="preserve">        </w:t>
      </w:r>
      <w:r>
        <w:rPr>
          <w:rFonts w:ascii="宋体" w:cs="宋体" w:hint="eastAsia"/>
          <w:spacing w:val="-40"/>
          <w:szCs w:val="21"/>
          <w:u w:val="single"/>
          <w:lang w:bidi="ar-SA"/>
        </w:rPr>
        <w:t xml:space="preserve">        </w:t>
      </w:r>
    </w:p>
    <w:sectPr>
      <w:pgSz w:w="16840" w:h="11907" w:orient="landscape"/>
      <w:pgMar w:top="1134" w:right="1134" w:bottom="1134" w:left="1134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048C4E73"/>
    <w:multiLevelType w:val="multilevel"/>
    <w:tmpl w:val="535778F6"/>
    <w:lvl w:ilvl="0">
      <w:start w:val="1"/>
      <w:numFmt w:val="chineseCountingThousand"/>
      <w:lvlRestart w:val="0"/>
      <w:suff w:val="nothing"/>
      <w:lvlText w:val="%1、"/>
      <w:lvlJc w:val="left"/>
      <w:pPr>
        <w:ind w:left="0" w:hanging="0"/>
      </w:pPr>
      <w:rPr>
        <w:rFonts w:hint="eastAsia"/>
        <w:b/>
        <w:i w:val="0"/>
        <w:sz w:val="24"/>
      </w:rPr>
    </w:lvl>
    <w:lvl w:ilvl="1">
      <w:start w:val="1"/>
      <w:numFmt w:val="decimal"/>
      <w:suff w:val="nothing"/>
      <w:lvlText w:val="%2. "/>
      <w:lvlJc w:val="left"/>
      <w:pPr>
        <w:ind w:left="0" w:hanging="0"/>
      </w:pPr>
      <w:rPr>
        <w:rFonts w:hint="eastAsia"/>
        <w:b w:val="0"/>
        <w:i w:val="0"/>
        <w:sz w:val="24"/>
      </w:rPr>
    </w:lvl>
    <w:lvl w:ilvl="2">
      <w:start w:val="1"/>
      <w:numFmt w:val="none"/>
      <w:suff w:val="nothing"/>
      <w:lvlJc w:val="left"/>
      <w:pPr>
        <w:ind w:left="0" w:hanging="0"/>
      </w:pPr>
      <w:rPr>
        <w:rFonts w:hint="eastAsia"/>
      </w:rPr>
    </w:lvl>
    <w:lvl w:ilvl="3">
      <w:start w:val="1"/>
      <w:numFmt w:val="none"/>
      <w:suff w:val="nothing"/>
      <w:lvlJc w:val="left"/>
      <w:pPr>
        <w:ind w:left="0" w:hanging="0"/>
      </w:pPr>
      <w:rPr>
        <w:rFonts w:hint="eastAsia"/>
      </w:rPr>
    </w:lvl>
    <w:lvl w:ilvl="4">
      <w:start w:val="1"/>
      <w:numFmt w:val="none"/>
      <w:suff w:val="nothing"/>
      <w:lvlJc w:val="left"/>
      <w:pPr>
        <w:ind w:left="0" w:hanging="0"/>
      </w:pPr>
      <w:rPr>
        <w:rFonts w:hint="eastAsia"/>
      </w:rPr>
    </w:lvl>
    <w:lvl w:ilvl="5">
      <w:start w:val="1"/>
      <w:numFmt w:val="none"/>
      <w:suff w:val="nothing"/>
      <w:lvlJc w:val="left"/>
      <w:pPr>
        <w:ind w:left="0" w:hanging="0"/>
      </w:pPr>
      <w:rPr>
        <w:rFonts w:hint="eastAsia"/>
      </w:rPr>
    </w:lvl>
    <w:lvl w:ilvl="6">
      <w:start w:val="1"/>
      <w:numFmt w:val="none"/>
      <w:suff w:val="nothing"/>
      <w:lvlJc w:val="left"/>
      <w:pPr>
        <w:ind w:left="0" w:hanging="0"/>
      </w:pPr>
      <w:rPr>
        <w:rFonts w:hint="eastAsia"/>
      </w:rPr>
    </w:lvl>
    <w:lvl w:ilvl="7">
      <w:start w:val="1"/>
      <w:numFmt w:val="none"/>
      <w:suff w:val="nothing"/>
      <w:lvlJc w:val="left"/>
      <w:pPr>
        <w:ind w:left="0" w:hanging="0"/>
      </w:pPr>
      <w:rPr>
        <w:rFonts w:hint="eastAsia"/>
      </w:rPr>
    </w:lvl>
    <w:lvl w:ilvl="8">
      <w:start w:val="1"/>
      <w:numFmt w:val="none"/>
      <w:suff w:val="nothing"/>
      <w:lvlJc w:val="left"/>
      <w:pPr>
        <w:ind w:left="0" w:hanging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3"/>
  <w:doNotDisplayPageBoundaries/>
  <w:displayBackgroundShape/>
  <w:bordersDoNotSurroundHeader/>
  <w:bordersDoNotSurroundFooter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2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paragraph" w:styleId="4">
    <w:name w:val="heading 4"/>
    <w:next w:val="0"/>
    <w:pPr>
      <w:keepNext/>
      <w:keepLines/>
      <w:widowControl w:val="0"/>
      <w:numPr>
        <w:ilvl w:val="3"/>
        <w:numId w:val="1"/>
      </w:numPr>
      <w:spacing w:before="280" w:after="290" w:line="377" w:lineRule="auto"/>
      <w:jc w:val="both"/>
      <w:outlineLvl w:val="3"/>
    </w:pPr>
    <w:rPr>
      <w:rFonts w:ascii="Arial" w:eastAsia="黑体" w:cs="Times New Roman" w:hAnsi="Arial"/>
      <w:b/>
      <w:kern w:val="2"/>
      <w:sz w:val="28"/>
      <w:szCs w:val="20"/>
      <w:lang w:val="en-US" w:eastAsia="zh-CN" w:bidi="ar-SA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6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17">
    <w:name w:val="toc 5"/>
    <w:basedOn w:val="0"/>
    <w:autoRedefine/>
    <w:next w:val="0"/>
    <w:pPr>
      <w:ind w:left="1680"/>
    </w:pPr>
  </w:style>
  <w:style w:type="paragraph" w:customStyle="1" w:styleId="18">
    <w:name w:val="样式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9">
    <w:name w:val="样式 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">
    <w:name w:val="样式 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1">
    <w:name w:val="样式 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2">
    <w:name w:val="样式 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3">
    <w:name w:val="样式 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24</TotalTime>
  <Application>Yozo_Office</Application>
  <Pages>1</Pages>
  <Words>622</Words>
  <Characters>899</Characters>
  <Lines>59</Lines>
  <Paragraphs>23</Paragraphs>
  <CharactersWithSpaces>948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梁华丽</dc:creator>
  <cp:lastModifiedBy>董晓洁</cp:lastModifiedBy>
  <cp:revision>1</cp:revision>
  <cp:lastPrinted>2026-03-20T02:46:43Z</cp:lastPrinted>
  <dcterms:created xsi:type="dcterms:W3CDTF">2026-01-22T03:45:39Z</dcterms:created>
  <dcterms:modified xsi:type="dcterms:W3CDTF">2026-03-20T02:46:51Z</dcterms:modified>
</cp:coreProperties>
</file>