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rPr>
          <w:rFonts w:ascii="方正黑体_GBK" w:eastAsia="方正黑体_GBK" w:cs="Times New Roman"/>
          <w:sz w:val="32"/>
          <w:szCs w:val="32"/>
          <w:shd w:val="clear" w:color="auto" w:fill="auto"/>
        </w:rPr>
      </w:pPr>
      <w:r>
        <w:rPr>
          <w:rFonts w:ascii="方正黑体_GBK" w:eastAsia="方正黑体_GBK" w:cs="Times New Roman"/>
          <w:sz w:val="32"/>
          <w:szCs w:val="32"/>
          <w:shd w:val="clear" w:color="auto" w:fill="auto"/>
        </w:rPr>
        <w:t>附件3</w:t>
      </w:r>
    </w:p>
    <w:p>
      <w:pPr>
        <w:spacing w:line="560" w:lineRule="exact"/>
        <w:rPr>
          <w:rFonts w:ascii="方正小标宋_GBK" w:eastAsia="方正小标宋_GBK" w:cs="Times New Roman" w:hint="eastAsia"/>
          <w:sz w:val="44"/>
          <w:szCs w:val="44"/>
          <w:shd w:val="clear" w:color="auto" w:fill="auto"/>
        </w:rPr>
      </w:pPr>
    </w:p>
    <w:p>
      <w:pPr>
        <w:spacing w:line="560" w:lineRule="exact"/>
        <w:jc w:val="center"/>
        <w:rPr>
          <w:rFonts w:ascii="方正小标宋_GBK" w:eastAsia="方正小标宋_GBK" w:cs="Times New Roman" w:hint="eastAsia"/>
          <w:sz w:val="44"/>
          <w:szCs w:val="44"/>
          <w:shd w:val="clear" w:color="auto" w:fill="auto"/>
        </w:rPr>
      </w:pPr>
      <w:r>
        <w:rPr>
          <w:rFonts w:ascii="方正小标宋_GBK" w:eastAsia="方正小标宋_GBK" w:cs="Times New Roman" w:hint="eastAsia"/>
          <w:sz w:val="44"/>
          <w:szCs w:val="44"/>
          <w:shd w:val="clear" w:color="auto" w:fill="auto"/>
        </w:rPr>
        <w:t>评分标准</w:t>
      </w:r>
    </w:p>
    <w:tbl>
      <w:tblPr>
        <w:jc w:val="left"/>
        <w:tblInd w:w="0" w:type="dxa"/>
        <w:tblW w:w="99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2" w:space="0" w:color="DEE0E3"/>
          <w:insideV w:val="single" w:sz="2" w:space="0" w:color="DEE0E3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5"/>
        <w:gridCol w:w="1260"/>
        <w:gridCol w:w="6912"/>
        <w:gridCol w:w="945"/>
      </w:tblGrid>
      <w:t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snapToGrid w:val="0"/>
              <w:ind w:left="0"/>
              <w:jc w:val="center"/>
            </w:pPr>
            <w:r>
              <w:rPr>
                <w:rFonts w:ascii="Arial" w:eastAsia="等线" w:cs="Arial" w:hAnsi="Arial"/>
                <w:sz w:val="22"/>
              </w:rPr>
              <w:t>序号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snapToGrid w:val="0"/>
              <w:ind w:left="0"/>
              <w:jc w:val="center"/>
            </w:pPr>
            <w:r>
              <w:rPr>
                <w:rFonts w:ascii="Arial" w:eastAsia="等线" w:cs="Arial" w:hAnsi="Arial"/>
                <w:sz w:val="22"/>
              </w:rPr>
              <w:t>评分内容</w:t>
            </w:r>
          </w:p>
        </w:tc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snapToGrid w:val="0"/>
              <w:ind w:left="0"/>
              <w:jc w:val="center"/>
            </w:pPr>
            <w:r>
              <w:rPr>
                <w:rFonts w:ascii="Arial" w:eastAsia="等线" w:cs="Arial" w:hAnsi="Arial"/>
                <w:sz w:val="22"/>
              </w:rPr>
              <w:t>评分细则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snapToGrid w:val="0"/>
              <w:ind w:left="0"/>
              <w:jc w:val="center"/>
            </w:pPr>
            <w:r>
              <w:rPr>
                <w:rFonts w:ascii="Arial" w:eastAsia="等线" w:cs="Arial" w:hAnsi="Arial"/>
                <w:sz w:val="22"/>
              </w:rPr>
              <w:t>分数</w:t>
            </w:r>
          </w:p>
        </w:tc>
      </w:tr>
      <w:t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snapToGrid w:val="0"/>
              <w:ind w:left="0"/>
              <w:jc w:val="center"/>
            </w:pPr>
            <w:r>
              <w:rPr>
                <w:rFonts w:ascii="Arial" w:eastAsia="等线" w:cs="Arial" w:hAnsi="Arial"/>
                <w:sz w:val="22"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snapToGrid w:val="0"/>
              <w:ind w:left="0"/>
              <w:jc w:val="center"/>
            </w:pPr>
            <w:r>
              <w:rPr>
                <w:rFonts w:ascii="Arial" w:eastAsia="等线" w:cs="Arial" w:hAnsi="Arial"/>
                <w:sz w:val="22"/>
              </w:rPr>
              <w:t>技术方案</w:t>
            </w:r>
          </w:p>
        </w:tc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napToGrid w:val="0"/>
              <w:ind w:left="0"/>
              <w:jc w:val="left"/>
              <w:rPr>
                <w:rFonts w:ascii="Arial" w:eastAsia="等线" w:cs="Arial" w:hAnsi="Arial"/>
                <w:sz w:val="22"/>
              </w:rPr>
            </w:pPr>
            <w:r>
              <w:rPr>
                <w:rFonts w:ascii="Arial" w:eastAsia="等线" w:cs="Arial" w:hAnsi="Arial"/>
                <w:sz w:val="22"/>
              </w:rPr>
              <w:t>根据投标供应商提供的技术方案进行综合评价，需全面贴合本项目采购需求，具体评价要点如下：</w:t>
            </w:r>
          </w:p>
          <w:p>
            <w:pPr>
              <w:snapToGrid w:val="0"/>
              <w:ind w:left="0"/>
              <w:jc w:val="left"/>
              <w:rPr>
                <w:rFonts w:ascii="Arial" w:eastAsia="等线" w:cs="Arial" w:hAnsi="Arial"/>
                <w:sz w:val="22"/>
              </w:rPr>
            </w:pPr>
            <w:r>
              <w:rPr>
                <w:rFonts w:ascii="Arial" w:eastAsia="等线" w:cs="Arial" w:hAnsi="Arial"/>
                <w:sz w:val="22"/>
              </w:rPr>
              <w:t>1.  对本项目运维目标理解准确；</w:t>
            </w:r>
          </w:p>
          <w:p>
            <w:pPr>
              <w:snapToGrid w:val="0"/>
              <w:ind w:left="0"/>
              <w:jc w:val="left"/>
              <w:rPr>
                <w:rFonts w:ascii="Arial" w:eastAsia="等线" w:cs="Arial" w:hAnsi="Arial"/>
                <w:sz w:val="22"/>
              </w:rPr>
            </w:pPr>
            <w:r>
              <w:rPr>
                <w:rFonts w:ascii="Arial" w:eastAsia="等线" w:cs="Arial" w:hAnsi="Arial"/>
                <w:sz w:val="22"/>
              </w:rPr>
              <w:t>2.  需求分析覆盖网站运维全范围，贴合采购需求中具体运维内容；</w:t>
            </w:r>
          </w:p>
          <w:p>
            <w:pPr>
              <w:snapToGrid w:val="0"/>
              <w:ind w:left="0"/>
              <w:jc w:val="left"/>
              <w:rPr>
                <w:rFonts w:ascii="Arial" w:eastAsia="等线" w:cs="Arial" w:hAnsi="Arial"/>
                <w:sz w:val="22"/>
              </w:rPr>
            </w:pPr>
            <w:r>
              <w:rPr>
                <w:rFonts w:ascii="Arial" w:eastAsia="等线" w:cs="Arial" w:hAnsi="Arial"/>
                <w:sz w:val="22"/>
              </w:rPr>
              <w:t>3.  技术方案具备较强可行性，兼容网站现有技术架构，符合海关信息安全管理规定，包含完整的运维流程、安全防护方案、故障应急处置预案等；</w:t>
            </w:r>
          </w:p>
          <w:p>
            <w:pPr>
              <w:snapToGrid w:val="0"/>
              <w:ind w:left="0"/>
              <w:jc w:val="left"/>
              <w:rPr>
                <w:rFonts w:ascii="Arial" w:eastAsia="等线" w:cs="Arial" w:hAnsi="Arial"/>
                <w:sz w:val="22"/>
              </w:rPr>
            </w:pPr>
            <w:r>
              <w:rPr>
                <w:rFonts w:ascii="Arial" w:eastAsia="等线" w:cs="Arial" w:hAnsi="Arial"/>
                <w:sz w:val="22"/>
              </w:rPr>
              <w:t>4.  方案中明确体现对奇安信浏览器兼容性处理、国产化终端适配的具体措施，贴合技术要求；</w:t>
            </w:r>
          </w:p>
          <w:p>
            <w:pPr>
              <w:snapToGrid w:val="0"/>
              <w:ind w:left="0"/>
              <w:jc w:val="left"/>
              <w:rPr>
                <w:rFonts w:ascii="Arial" w:eastAsia="等线" w:cs="Arial" w:hAnsi="Arial"/>
                <w:sz w:val="22"/>
              </w:rPr>
            </w:pPr>
            <w:r>
              <w:rPr>
                <w:rFonts w:ascii="Arial" w:eastAsia="等线" w:cs="Arial" w:hAnsi="Arial"/>
                <w:sz w:val="22"/>
              </w:rPr>
              <w:t>优（25分）：完全满足上述所有要求，描述详细完整，措施具体可行，针对性强；</w:t>
            </w:r>
          </w:p>
          <w:p>
            <w:pPr>
              <w:snapToGrid w:val="0"/>
              <w:ind w:left="0"/>
              <w:jc w:val="left"/>
              <w:rPr>
                <w:rFonts w:ascii="Arial" w:eastAsia="等线" w:cs="Arial" w:hAnsi="Arial"/>
                <w:sz w:val="22"/>
              </w:rPr>
            </w:pPr>
            <w:r>
              <w:rPr>
                <w:rFonts w:ascii="Arial" w:eastAsia="等线" w:cs="Arial" w:hAnsi="Arial"/>
                <w:sz w:val="22"/>
              </w:rPr>
              <w:t>良（18分）：满足上述部分要求，描述较详细，措施基本可行，针对性较强；</w:t>
            </w:r>
          </w:p>
          <w:p>
            <w:pPr>
              <w:snapToGrid w:val="0"/>
              <w:ind w:left="0"/>
              <w:jc w:val="left"/>
              <w:rPr>
                <w:rFonts w:ascii="Arial" w:eastAsia="等线" w:cs="Arial" w:hAnsi="Arial"/>
                <w:sz w:val="22"/>
              </w:rPr>
            </w:pPr>
            <w:r>
              <w:rPr>
                <w:rFonts w:ascii="Arial" w:eastAsia="等线" w:cs="Arial" w:hAnsi="Arial"/>
                <w:sz w:val="22"/>
              </w:rPr>
              <w:t>一般（10分）：满足上述部分要求，描述简单，措施不够具体，针对性一般；</w:t>
            </w:r>
          </w:p>
          <w:p>
            <w:pPr>
              <w:snapToGrid w:val="0"/>
              <w:ind w:left="0"/>
              <w:jc w:val="left"/>
            </w:pPr>
            <w:r>
              <w:rPr>
                <w:rFonts w:ascii="Arial" w:eastAsia="等线" w:cs="Arial" w:hAnsi="Arial" w:hint="eastAsia"/>
                <w:sz w:val="22"/>
              </w:rPr>
              <w:t>不提供不得分。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snapToGrid w:val="0"/>
              <w:ind w:left="0"/>
              <w:jc w:val="center"/>
            </w:pPr>
            <w:r>
              <w:rPr>
                <w:rFonts w:ascii="Arial" w:eastAsia="等线" w:cs="Arial" w:hAnsi="Arial"/>
                <w:sz w:val="22"/>
              </w:rPr>
              <w:t>25</w:t>
            </w:r>
          </w:p>
        </w:tc>
      </w:tr>
      <w:tr>
        <w:trPr>
          <w:trHeight w:val="4247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snapToGrid w:val="0"/>
              <w:ind w:left="0"/>
              <w:jc w:val="center"/>
            </w:pPr>
            <w:r>
              <w:rPr>
                <w:rFonts w:ascii="Arial" w:eastAsia="等线" w:cs="Arial" w:hAnsi="Arial"/>
                <w:sz w:val="22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snapToGrid w:val="0"/>
              <w:ind w:left="0"/>
              <w:jc w:val="center"/>
            </w:pPr>
            <w:r>
              <w:rPr>
                <w:rFonts w:ascii="Arial" w:eastAsia="等线" w:cs="Arial" w:hAnsi="Arial"/>
                <w:sz w:val="22"/>
              </w:rPr>
              <w:t>服务团队</w:t>
            </w:r>
          </w:p>
        </w:tc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napToGrid w:val="0"/>
              <w:ind w:left="0"/>
              <w:jc w:val="left"/>
              <w:rPr>
                <w:rFonts w:ascii="Arial" w:eastAsia="等线" w:cs="Arial" w:hAnsi="Arial"/>
                <w:sz w:val="22"/>
              </w:rPr>
            </w:pPr>
            <w:r>
              <w:rPr>
                <w:rFonts w:ascii="Arial" w:eastAsia="等线" w:cs="Arial" w:hAnsi="Arial"/>
                <w:sz w:val="22"/>
              </w:rPr>
              <w:t>结合采购需求中技术人员资质及团队要求进行评价，具体要求如下：</w:t>
            </w:r>
          </w:p>
          <w:p>
            <w:pPr>
              <w:snapToGrid w:val="0"/>
              <w:ind w:left="0"/>
              <w:jc w:val="left"/>
              <w:rPr>
                <w:rFonts w:ascii="Arial" w:eastAsia="等线" w:cs="Arial" w:hAnsi="Arial"/>
                <w:sz w:val="22"/>
              </w:rPr>
            </w:pPr>
            <w:r>
              <w:rPr>
                <w:rFonts w:ascii="Arial" w:eastAsia="等线" w:cs="Arial" w:hAnsi="Arial"/>
                <w:sz w:val="22"/>
              </w:rPr>
              <w:t>1.  团队规模：运维技术支持团队人数不低于4人，在此基础上，团队人数≥9人得10分，7-8人得7分，5-6人得4分；</w:t>
            </w:r>
          </w:p>
          <w:p>
            <w:pPr>
              <w:snapToGrid w:val="0"/>
              <w:ind w:left="0"/>
              <w:jc w:val="left"/>
              <w:rPr>
                <w:rFonts w:ascii="Arial" w:eastAsia="等线" w:cs="Arial" w:hAnsi="Arial"/>
                <w:sz w:val="22"/>
              </w:rPr>
            </w:pPr>
            <w:r>
              <w:rPr>
                <w:rFonts w:ascii="Arial" w:eastAsia="等线" w:cs="Arial" w:hAnsi="Arial"/>
                <w:sz w:val="22"/>
              </w:rPr>
              <w:t>2.  人员资质：团队成员需具备计算机相关专业学历，在此基础上，具备大学本科以上学历，每满足1人得3分，最高6分；</w:t>
            </w:r>
          </w:p>
          <w:p>
            <w:pPr>
              <w:snapToGrid w:val="0"/>
              <w:ind w:left="0"/>
              <w:jc w:val="left"/>
              <w:rPr>
                <w:rFonts w:ascii="Arial" w:eastAsia="等线" w:cs="Arial" w:hAnsi="Arial"/>
                <w:sz w:val="22"/>
              </w:rPr>
            </w:pPr>
            <w:r>
              <w:rPr>
                <w:rFonts w:ascii="Arial" w:eastAsia="等线" w:cs="Arial" w:hAnsi="Arial"/>
                <w:sz w:val="22"/>
              </w:rPr>
              <w:t>3.  技术能力：具备信息系统项目管理、软件设计、网络安全运维等相关资质证书，每满足1项得2分，最高6分；</w:t>
            </w:r>
          </w:p>
          <w:p>
            <w:pPr>
              <w:snapToGrid w:val="0"/>
              <w:ind w:left="0"/>
              <w:jc w:val="left"/>
              <w:rPr>
                <w:rFonts w:ascii="Arial" w:eastAsia="等线" w:cs="Arial" w:hAnsi="Arial"/>
                <w:sz w:val="22"/>
              </w:rPr>
            </w:pPr>
            <w:r>
              <w:rPr>
                <w:rFonts w:ascii="Arial" w:eastAsia="等线" w:cs="Arial" w:hAnsi="Arial"/>
                <w:sz w:val="22"/>
              </w:rPr>
              <w:t>4.  团队管理：提供明确的团队管理制度、岗位职责分工及人员稳定性保障措施，每满足1项得1分，最高3分。</w:t>
            </w:r>
          </w:p>
          <w:p>
            <w:pPr>
              <w:snapToGrid w:val="0"/>
              <w:ind w:left="0"/>
              <w:jc w:val="left"/>
            </w:pPr>
            <w:r>
              <w:rPr>
                <w:rFonts w:ascii="Arial" w:eastAsia="等线" w:cs="Arial" w:hAnsi="Arial" w:hint="eastAsia"/>
                <w:sz w:val="22"/>
                <w:lang w:eastAsia="zh-CN"/>
              </w:rPr>
              <w:t>注：需提供上述人员所在投标人单位投标截止时间前连续6个月的社保机构出具的社保证明复印件加盖投标人公章。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snapToGrid w:val="0"/>
              <w:ind w:left="0"/>
              <w:jc w:val="center"/>
            </w:pPr>
            <w:r>
              <w:rPr>
                <w:rFonts w:ascii="Arial" w:eastAsia="等线" w:cs="Arial" w:hAnsi="Arial"/>
                <w:sz w:val="22"/>
              </w:rPr>
              <w:t>25</w:t>
            </w:r>
          </w:p>
        </w:tc>
      </w:tr>
      <w:t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snapToGrid w:val="0"/>
              <w:ind w:left="0"/>
              <w:jc w:val="center"/>
            </w:pPr>
            <w:r>
              <w:rPr>
                <w:rFonts w:ascii="Arial" w:eastAsia="等线" w:cs="Arial" w:hAnsi="Arial"/>
                <w:sz w:val="22"/>
              </w:rPr>
              <w:t>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snapToGrid w:val="0"/>
              <w:ind w:left="0"/>
              <w:jc w:val="center"/>
            </w:pPr>
            <w:r>
              <w:rPr>
                <w:rFonts w:ascii="Arial" w:eastAsia="等线" w:cs="Arial" w:hAnsi="Arial"/>
                <w:sz w:val="22"/>
              </w:rPr>
              <w:t>企业能力</w:t>
            </w:r>
          </w:p>
        </w:tc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napToGrid w:val="0"/>
              <w:ind w:left="0"/>
              <w:jc w:val="left"/>
              <w:rPr>
                <w:rFonts w:ascii="Arial" w:eastAsia="等线" w:cs="Arial" w:hAnsi="Arial"/>
                <w:sz w:val="22"/>
              </w:rPr>
            </w:pPr>
            <w:r>
              <w:rPr>
                <w:rFonts w:ascii="Arial" w:eastAsia="等线" w:cs="Arial" w:hAnsi="Arial"/>
                <w:sz w:val="22"/>
              </w:rPr>
              <w:t>根据投标供应商提供的相关证书进行评分，具体如下：</w:t>
            </w:r>
          </w:p>
          <w:p>
            <w:pPr>
              <w:snapToGrid w:val="0"/>
              <w:ind w:left="0"/>
              <w:jc w:val="left"/>
              <w:rPr>
                <w:rFonts w:ascii="Arial" w:eastAsia="等线" w:cs="Arial" w:hAnsi="Arial"/>
                <w:sz w:val="22"/>
              </w:rPr>
            </w:pPr>
            <w:r>
              <w:rPr>
                <w:rFonts w:ascii="Arial" w:eastAsia="等线" w:cs="Arial" w:hAnsi="Arial"/>
                <w:sz w:val="22"/>
              </w:rPr>
              <w:t>1.  信息技术服务管理认证证书（ISO20000）：得3分；</w:t>
            </w:r>
          </w:p>
          <w:p>
            <w:pPr>
              <w:snapToGrid w:val="0"/>
              <w:ind w:left="0"/>
              <w:jc w:val="left"/>
              <w:rPr>
                <w:rFonts w:ascii="Arial" w:eastAsia="等线" w:cs="Arial" w:hAnsi="Arial"/>
                <w:sz w:val="22"/>
              </w:rPr>
            </w:pPr>
            <w:r>
              <w:rPr>
                <w:rFonts w:ascii="Arial" w:eastAsia="等线" w:cs="Arial" w:hAnsi="Arial"/>
                <w:sz w:val="22"/>
              </w:rPr>
              <w:t>2.  计算机信息系统安全服务等级证书：得3分；</w:t>
            </w:r>
          </w:p>
          <w:p>
            <w:pPr>
              <w:snapToGrid w:val="0"/>
              <w:ind w:left="0"/>
              <w:jc w:val="left"/>
              <w:rPr>
                <w:rFonts w:ascii="Arial" w:eastAsia="等线" w:cs="Arial" w:hAnsi="Arial"/>
                <w:sz w:val="22"/>
              </w:rPr>
            </w:pPr>
            <w:r>
              <w:rPr>
                <w:rFonts w:ascii="Arial" w:eastAsia="等线" w:cs="Arial" w:hAnsi="Arial"/>
                <w:sz w:val="22"/>
              </w:rPr>
              <w:t>3.  CMMI三级或以上证书：得3分；</w:t>
            </w:r>
          </w:p>
          <w:p>
            <w:pPr>
              <w:snapToGrid w:val="0"/>
              <w:ind w:left="0"/>
              <w:jc w:val="left"/>
              <w:rPr>
                <w:rFonts w:ascii="Arial" w:eastAsia="等线" w:cs="Arial" w:hAnsi="Arial"/>
                <w:sz w:val="22"/>
              </w:rPr>
            </w:pPr>
            <w:r>
              <w:rPr>
                <w:rFonts w:ascii="Arial" w:eastAsia="等线" w:cs="Arial" w:hAnsi="Arial"/>
                <w:sz w:val="22"/>
              </w:rPr>
              <w:t>4.  服务质量评价体系认证证书：得3分；</w:t>
            </w:r>
          </w:p>
          <w:p>
            <w:pPr>
              <w:snapToGrid w:val="0"/>
              <w:ind w:left="0"/>
              <w:jc w:val="left"/>
              <w:rPr>
                <w:rFonts w:ascii="Arial" w:eastAsia="等线" w:cs="Arial" w:hAnsi="Arial"/>
                <w:sz w:val="22"/>
              </w:rPr>
            </w:pPr>
            <w:r>
              <w:rPr>
                <w:rFonts w:ascii="Arial" w:eastAsia="等线" w:cs="Arial" w:hAnsi="Arial"/>
                <w:sz w:val="22"/>
              </w:rPr>
              <w:t>5.  知识产权管理体系认证证书：得3分。</w:t>
            </w:r>
          </w:p>
          <w:p>
            <w:pPr>
              <w:snapToGrid w:val="0"/>
              <w:ind w:left="0"/>
              <w:jc w:val="left"/>
              <w:rPr>
                <w:rFonts w:ascii="Arial" w:eastAsia="等线" w:cs="Arial" w:hAnsi="Arial"/>
                <w:sz w:val="22"/>
              </w:rPr>
            </w:pPr>
            <w:r>
              <w:rPr>
                <w:rFonts w:ascii="Arial" w:eastAsia="等线" w:cs="Arial" w:hAnsi="Arial"/>
                <w:sz w:val="22"/>
              </w:rPr>
              <w:t>每提供一项有效证书得3分，本项最高得15分。</w:t>
            </w:r>
          </w:p>
          <w:p>
            <w:pPr>
              <w:snapToGrid w:val="0"/>
              <w:ind w:left="0"/>
              <w:jc w:val="left"/>
            </w:pPr>
            <w:r>
              <w:rPr>
                <w:rFonts w:ascii="Arial" w:eastAsia="等线" w:cs="Arial" w:hAnsi="Arial"/>
                <w:sz w:val="22"/>
              </w:rPr>
              <w:t>注：提供证书复印件加盖投标人公章，证书需在有效期内，过期或未加盖公章的视为无效，不得分。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snapToGrid w:val="0"/>
              <w:ind w:left="0"/>
              <w:jc w:val="center"/>
            </w:pPr>
            <w:r>
              <w:rPr>
                <w:rFonts w:ascii="Arial" w:eastAsia="等线" w:cs="Arial" w:hAnsi="Arial"/>
                <w:sz w:val="22"/>
              </w:rPr>
              <w:t>15</w:t>
            </w:r>
          </w:p>
        </w:tc>
      </w:tr>
      <w:t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snapToGrid w:val="0"/>
              <w:ind w:left="0"/>
              <w:jc w:val="center"/>
            </w:pPr>
            <w:r>
              <w:rPr>
                <w:rFonts w:ascii="Arial" w:eastAsia="等线" w:cs="Arial" w:hAnsi="Arial"/>
                <w:sz w:val="22"/>
              </w:rPr>
              <w:t>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snapToGrid w:val="0"/>
              <w:ind w:left="0"/>
              <w:jc w:val="center"/>
            </w:pPr>
            <w:r>
              <w:rPr>
                <w:rFonts w:ascii="Arial" w:eastAsia="等线" w:cs="Arial" w:hAnsi="Arial"/>
                <w:sz w:val="22"/>
              </w:rPr>
              <w:t>售后服务能力</w:t>
            </w:r>
          </w:p>
        </w:tc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napToGrid w:val="0"/>
              <w:ind w:left="0"/>
              <w:jc w:val="left"/>
              <w:rPr>
                <w:rFonts w:ascii="Arial" w:eastAsia="等线" w:cs="Arial" w:hAnsi="Arial"/>
                <w:sz w:val="22"/>
              </w:rPr>
            </w:pPr>
            <w:r>
              <w:rPr>
                <w:rFonts w:ascii="Arial" w:eastAsia="等线" w:cs="Arial" w:hAnsi="Arial"/>
                <w:sz w:val="22"/>
              </w:rPr>
              <w:t>结合采购需求中故障处理、响应时限等要求，对投标供应商售后服务能力进行综合评价：</w:t>
            </w:r>
          </w:p>
          <w:p>
            <w:pPr>
              <w:snapToGrid w:val="0"/>
              <w:ind w:left="0"/>
              <w:jc w:val="left"/>
              <w:rPr>
                <w:rFonts w:ascii="Arial" w:eastAsia="等线" w:cs="Arial" w:hAnsi="Arial"/>
                <w:sz w:val="22"/>
              </w:rPr>
            </w:pPr>
            <w:r>
              <w:rPr>
                <w:rFonts w:ascii="Arial" w:eastAsia="等线" w:cs="Arial" w:hAnsi="Arial"/>
                <w:sz w:val="22"/>
              </w:rPr>
              <w:t>1.  优（15分）：提供详细的售后服务方案及故障处置时限；提供完善的故障处理流程、维护保障流程及组织架构，建立故障处理台账，售后服务承诺优于采购需求；</w:t>
            </w:r>
          </w:p>
          <w:p>
            <w:pPr>
              <w:snapToGrid w:val="0"/>
              <w:ind w:left="0"/>
              <w:jc w:val="left"/>
              <w:rPr>
                <w:rFonts w:ascii="Arial" w:eastAsia="等线" w:cs="Arial" w:hAnsi="Arial"/>
                <w:sz w:val="22"/>
              </w:rPr>
            </w:pPr>
            <w:r>
              <w:rPr>
                <w:rFonts w:ascii="Arial" w:eastAsia="等线" w:cs="Arial" w:hAnsi="Arial"/>
                <w:sz w:val="22"/>
              </w:rPr>
              <w:t>2.  良（10分）：售后服务方案描述较详细，明确售后服务流程、响应时间、故障处置时限及故障处理流程、维护保障流程、组织架构，无明显疏漏；</w:t>
            </w:r>
          </w:p>
          <w:p>
            <w:pPr>
              <w:snapToGrid w:val="0"/>
              <w:ind w:left="0"/>
              <w:jc w:val="left"/>
              <w:rPr>
                <w:rFonts w:ascii="Arial" w:eastAsia="等线" w:cs="Arial" w:hAnsi="Arial"/>
                <w:sz w:val="22"/>
              </w:rPr>
            </w:pPr>
            <w:r>
              <w:rPr>
                <w:rFonts w:ascii="Arial" w:eastAsia="等线" w:cs="Arial" w:hAnsi="Arial"/>
                <w:sz w:val="22"/>
              </w:rPr>
              <w:t>3.  一般（5分）：提供简单售后服务承诺书，但未详细描述售后服务流程、响应时间、故障处置时限及相关保障机制；</w:t>
            </w:r>
          </w:p>
          <w:p>
            <w:pPr>
              <w:snapToGrid w:val="0"/>
              <w:ind w:left="0"/>
              <w:jc w:val="left"/>
            </w:pPr>
            <w:r>
              <w:rPr>
                <w:rFonts w:ascii="Arial" w:eastAsia="等线" w:cs="Arial" w:hAnsi="Arial"/>
                <w:sz w:val="22"/>
              </w:rPr>
              <w:t>不提供不得分。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snapToGrid w:val="0"/>
              <w:ind w:left="0"/>
              <w:jc w:val="center"/>
            </w:pPr>
            <w:r>
              <w:rPr>
                <w:rFonts w:ascii="Arial" w:eastAsia="等线" w:cs="Arial" w:hAnsi="Arial"/>
                <w:sz w:val="22"/>
              </w:rPr>
              <w:t>15</w:t>
            </w:r>
          </w:p>
        </w:tc>
      </w:tr>
      <w:t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snapToGrid w:val="0"/>
              <w:ind w:left="0"/>
              <w:jc w:val="center"/>
            </w:pPr>
            <w:r>
              <w:rPr>
                <w:rFonts w:ascii="Arial" w:eastAsia="等线" w:cs="Arial" w:hAnsi="Arial"/>
                <w:sz w:val="22"/>
              </w:rPr>
              <w:t>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snapToGrid w:val="0"/>
              <w:ind w:left="0"/>
              <w:jc w:val="center"/>
            </w:pPr>
            <w:r>
              <w:rPr>
                <w:rFonts w:ascii="Arial" w:eastAsia="等线" w:cs="Arial" w:hAnsi="Arial"/>
                <w:sz w:val="22"/>
              </w:rPr>
              <w:t>同类项目业绩</w:t>
            </w:r>
          </w:p>
        </w:tc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napToGrid w:val="0"/>
              <w:ind w:left="0"/>
              <w:jc w:val="left"/>
              <w:rPr>
                <w:rFonts w:ascii="Arial" w:eastAsia="等线" w:cs="Arial" w:hAnsi="Arial"/>
                <w:sz w:val="22"/>
              </w:rPr>
            </w:pPr>
            <w:r>
              <w:rPr>
                <w:rFonts w:ascii="Arial" w:eastAsia="等线" w:cs="Arial" w:hAnsi="Arial"/>
                <w:sz w:val="22"/>
              </w:rPr>
              <w:t>近五年承接过网站或信息系统运维服务项目，每提供1例有效案例得2分，满分10分。</w:t>
            </w:r>
          </w:p>
          <w:p>
            <w:pPr>
              <w:snapToGrid w:val="0"/>
              <w:ind w:left="0"/>
              <w:jc w:val="left"/>
            </w:pPr>
            <w:r>
              <w:rPr>
                <w:rFonts w:ascii="Arial" w:eastAsia="等线" w:cs="Arial" w:hAnsi="Arial"/>
                <w:sz w:val="22"/>
              </w:rPr>
              <w:t>注：提供合同复印件或合同关键页复印件加盖投标人公章，未提供或提供材料不全无法核实的，该案例视为无效，不得分。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snapToGrid w:val="0"/>
              <w:ind w:left="0"/>
              <w:jc w:val="center"/>
            </w:pPr>
            <w:r>
              <w:rPr>
                <w:rFonts w:ascii="Arial" w:eastAsia="等线" w:cs="Arial" w:hAnsi="Arial"/>
                <w:sz w:val="22"/>
              </w:rPr>
              <w:t>10</w:t>
            </w:r>
          </w:p>
        </w:tc>
      </w:tr>
      <w:t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snapToGrid w:val="0"/>
              <w:ind w:left="0"/>
              <w:jc w:val="center"/>
            </w:pPr>
            <w:r>
              <w:rPr>
                <w:rFonts w:ascii="Arial" w:eastAsia="等线" w:cs="Arial" w:hAnsi="Arial"/>
                <w:sz w:val="22"/>
              </w:rPr>
              <w:t>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snapToGrid w:val="0"/>
              <w:ind w:left="0"/>
              <w:jc w:val="center"/>
            </w:pPr>
            <w:r>
              <w:rPr>
                <w:rFonts w:ascii="Arial" w:eastAsia="等线" w:cs="Arial" w:hAnsi="Arial"/>
                <w:sz w:val="22"/>
              </w:rPr>
              <w:t>报价情况</w:t>
            </w:r>
          </w:p>
        </w:tc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napToGrid w:val="0"/>
              <w:ind w:left="0"/>
              <w:jc w:val="left"/>
              <w:rPr>
                <w:rFonts w:ascii="Arial" w:eastAsia="等线" w:cs="Arial" w:hAnsi="Arial"/>
                <w:sz w:val="22"/>
              </w:rPr>
            </w:pPr>
            <w:r>
              <w:rPr>
                <w:rFonts w:ascii="Arial" w:eastAsia="等线" w:cs="Arial" w:hAnsi="Arial"/>
                <w:sz w:val="22"/>
              </w:rPr>
              <w:t>1.  本项目响应报价不得高于最高限价，否则将被视为无效投标，不得分；</w:t>
            </w:r>
          </w:p>
          <w:p>
            <w:pPr>
              <w:snapToGrid w:val="0"/>
              <w:ind w:left="0"/>
              <w:jc w:val="left"/>
              <w:rPr>
                <w:rFonts w:ascii="Arial" w:eastAsia="等线" w:cs="Arial" w:hAnsi="Arial"/>
                <w:sz w:val="22"/>
              </w:rPr>
            </w:pPr>
            <w:r>
              <w:rPr>
                <w:rFonts w:ascii="Arial" w:eastAsia="等线" w:cs="Arial" w:hAnsi="Arial"/>
                <w:sz w:val="22"/>
              </w:rPr>
              <w:t>2.  有效响应报价中，报价最低的为评标基准价，其价格得分为满分10分；</w:t>
            </w:r>
          </w:p>
          <w:p>
            <w:pPr>
              <w:snapToGrid w:val="0"/>
              <w:ind w:left="0"/>
              <w:jc w:val="left"/>
              <w:rPr>
                <w:rFonts w:ascii="Arial" w:eastAsia="等线" w:cs="Arial" w:hAnsi="Arial"/>
                <w:sz w:val="22"/>
              </w:rPr>
            </w:pPr>
            <w:r>
              <w:rPr>
                <w:rFonts w:ascii="Arial" w:eastAsia="等线" w:cs="Arial" w:hAnsi="Arial"/>
                <w:sz w:val="22"/>
              </w:rPr>
              <w:t>3.  其他供应商的价格分统一按照下列公式计算：报价得分=（评标基准价/响应报价）×10；</w:t>
            </w:r>
          </w:p>
          <w:p>
            <w:pPr>
              <w:snapToGrid w:val="0"/>
              <w:ind w:left="0"/>
              <w:jc w:val="left"/>
            </w:pPr>
            <w:r>
              <w:rPr>
                <w:rFonts w:ascii="Arial" w:eastAsia="等线" w:cs="Arial" w:hAnsi="Arial"/>
                <w:sz w:val="22"/>
              </w:rPr>
              <w:t>注：响应报价得分四舍五入后，小数点后保留两位有效数字。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snapToGrid w:val="0"/>
              <w:ind w:left="0"/>
              <w:jc w:val="center"/>
            </w:pPr>
            <w:r>
              <w:rPr>
                <w:rFonts w:ascii="Arial" w:eastAsia="等线" w:cs="Arial" w:hAnsi="Arial"/>
                <w:sz w:val="22"/>
              </w:rPr>
              <w:t>10</w:t>
            </w:r>
          </w:p>
        </w:tc>
      </w:tr>
    </w:tbl>
    <w:p>
      <w:pPr>
        <w:spacing w:before="120" w:after="120" w:line="288" w:lineRule="auto"/>
        <w:ind w:left="0"/>
        <w:jc w:val="left"/>
      </w:pPr>
      <w:bookmarkStart w:id="0" w:name="_GoBack"/>
      <w:bookmarkEnd w:id="0"/>
    </w:p>
    <w:sectPr>
      <w:headerReference w:type="default" r:id="rId2"/>
      <w:footerReference w:type="default" r:id="rId3"/>
      <w:pgSz w:w="11907" w:h="16840"/>
      <w:pgMar w:top="1440" w:right="1083" w:bottom="1440" w:left="1083" w:header="851" w:footer="992" w:gutter="0"/>
      <w:docGrid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方正小标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2000019F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/>
</w:ftr>
</file>

<file path=word/header1.xml><?xml version="1.0" encoding="utf-8"?>
<w:hd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/>
</w:hd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98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1"/>
  <w:compat>
    <w:spaceForUL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spacing w:line="240" w:lineRule="auto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header"/>
    <w:basedOn w:val="0"/>
    <w:pPr>
      <w:pBdr>
        <w:bottom w:val="single" w:sz="6" w:space="1" w:color="auto"/>
      </w:pBdr>
      <w:tabs>
        <w:tab w:val="center" w:pos="4153"/>
        <w:tab w:val="right" w:pos="8307"/>
      </w:tabs>
      <w:snapToGrid w:val="0"/>
      <w:jc w:val="center"/>
    </w:pPr>
    <w:rPr>
      <w:sz w:val="18"/>
      <w:szCs w:val="18"/>
    </w:rPr>
  </w:style>
  <w:style w:type="paragraph" w:styleId="16">
    <w:name w:val="annotation text"/>
    <w:basedOn w:val="0"/>
    <w:pPr>
      <w:jc w:val="left"/>
    </w:pPr>
  </w:style>
  <w:style w:type="paragraph" w:styleId="17">
    <w:name w:val="index heading"/>
    <w:basedOn w:val="0"/>
    <w:rPr>
      <w:rFonts w:ascii="Arial" w:hAnsi="Arial"/>
      <w:b/>
    </w:rPr>
  </w:style>
  <w:style w:type="paragraph" w:customStyle="1" w:styleId="18">
    <w:name w:val="样式 14 10 磅"/>
    <w:next w:val="17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9">
    <w:name w:val="样式 10 磅"/>
    <w:pPr>
      <w:widowControl w:val="0"/>
      <w:spacing w:line="240" w:lineRule="auto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20">
    <w:name w:val="样式 1 10 磅"/>
    <w:pPr>
      <w:widowControl w:val="0"/>
      <w:spacing w:line="240" w:lineRule="auto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21">
    <w:name w:val="样式 1 小四"/>
    <w:next w:val="16"/>
    <w:rPr>
      <w:rFonts w:ascii="Times New Roman" w:eastAsia="宋体" w:cs="Times New Roman" w:hAnsi="Times New Roman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styles" Target="styles.xml"/><Relationship Id="rId5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353</TotalTime>
  <Application>Yozo_Office</Application>
  <Pages>2</Pages>
  <Words>1285</Words>
  <Characters>1335</Characters>
  <Lines>85</Lines>
  <Paragraphs>58</Paragraphs>
  <CharactersWithSpaces>1373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Apache POI</dc:creator>
  <cp:lastModifiedBy>董晓洁</cp:lastModifiedBy>
  <cp:revision>0</cp:revision>
  <dcterms:created xsi:type="dcterms:W3CDTF">2026-03-20T07:21:49Z</dcterms:created>
  <dcterms:modified xsi:type="dcterms:W3CDTF">2026-03-27T03:01:09Z</dcterms:modified>
</cp:coreProperties>
</file>