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widowControl/>
        <w:shd w:val="clear" w:color="auto" w:fill="FFFFFF"/>
        <w:spacing w:line="560" w:lineRule="exact"/>
        <w:jc w:val="center"/>
        <w:outlineLvl w:val="1"/>
        <w:rPr>
          <w:rFonts w:ascii="方正小标宋_GBK" w:eastAsia="方正小标宋_GBK" w:cs="宋体" w:hint="eastAsia"/>
          <w:color w:val="333333"/>
          <w:kern w:val="0"/>
          <w:sz w:val="44"/>
          <w:szCs w:val="44"/>
        </w:rPr>
      </w:pPr>
      <w:bookmarkStart w:id="0" w:name="_GoBack"/>
      <w:bookmarkEnd w:id="0"/>
      <w:r>
        <w:rPr>
          <w:rFonts w:ascii="方正小标宋_GBK" w:eastAsia="方正小标宋_GBK"/>
          <w:sz w:val="44"/>
          <w:szCs w:val="44"/>
        </w:rPr>
        <w:t>汕头国际旅行卫生保健中心（汕头海关口岸门诊部）</w:t>
      </w:r>
      <w:r>
        <w:rPr>
          <w:rFonts w:ascii="方正小标宋_GBK" w:eastAsia="方正小标宋_GBK" w:cs="宋体" w:hint="eastAsia"/>
          <w:color w:val="333333"/>
          <w:kern w:val="0"/>
          <w:sz w:val="44"/>
          <w:szCs w:val="44"/>
        </w:rPr>
        <w:t>法定检测业务试剂耗材采购项目信息公告</w:t>
      </w:r>
    </w:p>
    <w:p>
      <w:pPr>
        <w:widowControl/>
        <w:shd w:val="clear" w:color="auto" w:fill="FFFFFF"/>
        <w:spacing w:line="560" w:lineRule="exact"/>
        <w:jc w:val="center"/>
        <w:outlineLvl w:val="1"/>
        <w:rPr>
          <w:rFonts w:ascii="方正仿宋_GBK" w:eastAsia="方正仿宋_GBK" w:cs="宋体" w:hint="eastAsia"/>
          <w:color w:val="333333"/>
          <w:kern w:val="0"/>
          <w:sz w:val="32"/>
          <w:szCs w:val="32"/>
        </w:rPr>
      </w:pPr>
    </w:p>
    <w:p>
      <w:pPr>
        <w:spacing w:line="560" w:lineRule="exact"/>
        <w:ind w:firstLineChars="200" w:firstLine="640"/>
        <w:rPr>
          <w:rFonts w:ascii="Times New Roman" w:eastAsia="方正仿宋_GBK" w:hAnsi="Times New Roman" w:hint="eastAsia"/>
          <w:sz w:val="32"/>
          <w:szCs w:val="32"/>
        </w:rPr>
      </w:pPr>
      <w:r>
        <w:rPr>
          <w:rFonts w:ascii="Times New Roman" w:eastAsia="方正仿宋_GBK" w:hAnsi="Times New Roman" w:hint="eastAsia"/>
          <w:sz w:val="32"/>
          <w:szCs w:val="32"/>
        </w:rPr>
        <w:t>根据采购相关规定，现将汕头国际旅行卫生保健中心（汕头海关口岸门诊部）法定检测业务试剂耗材采购项目信息公告如下：</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hint="eastAsia"/>
          <w:b/>
          <w:bCs/>
          <w:sz w:val="32"/>
          <w:szCs w:val="32"/>
        </w:rPr>
        <w:t>一、采购单位名称</w:t>
      </w:r>
      <w:r>
        <w:rPr>
          <w:rFonts w:ascii="Times New Roman" w:eastAsia="方正仿宋_GBK" w:hAnsi="Times New Roman" w:hint="eastAsia"/>
          <w:sz w:val="32"/>
          <w:szCs w:val="32"/>
        </w:rPr>
        <w:t xml:space="preserve">：汕头国际旅行卫生保健中心（汕头海关口岸门诊部）　 </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hint="eastAsia"/>
          <w:b/>
          <w:bCs/>
          <w:sz w:val="32"/>
          <w:szCs w:val="32"/>
        </w:rPr>
        <w:t>二、采购单位地址</w:t>
      </w:r>
      <w:r>
        <w:rPr>
          <w:rFonts w:ascii="Times New Roman" w:eastAsia="方正仿宋_GBK" w:hAnsi="Times New Roman" w:hint="eastAsia"/>
          <w:sz w:val="32"/>
          <w:szCs w:val="32"/>
        </w:rPr>
        <w:t>：汕头市龙湖区金砂东路126号</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hint="eastAsia"/>
          <w:b/>
          <w:bCs/>
          <w:sz w:val="32"/>
          <w:szCs w:val="32"/>
        </w:rPr>
        <w:t>三、采购项目</w:t>
      </w:r>
      <w:r>
        <w:rPr>
          <w:rFonts w:ascii="Times New Roman" w:eastAsia="方正仿宋_GBK" w:hAnsi="Times New Roman" w:hint="eastAsia"/>
          <w:bCs/>
          <w:sz w:val="32"/>
          <w:szCs w:val="32"/>
        </w:rPr>
        <w:t>名称</w:t>
      </w:r>
      <w:r>
        <w:rPr>
          <w:rFonts w:ascii="Times New Roman" w:eastAsia="方正仿宋_GBK" w:hAnsi="Times New Roman" w:hint="eastAsia"/>
          <w:sz w:val="32"/>
          <w:szCs w:val="32"/>
        </w:rPr>
        <w:t>：法定检测业务试剂耗材采购项目</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hint="eastAsia"/>
          <w:b/>
          <w:bCs/>
          <w:sz w:val="32"/>
          <w:szCs w:val="32"/>
        </w:rPr>
        <w:t>四、项目内容</w:t>
      </w:r>
      <w:r>
        <w:rPr>
          <w:rFonts w:ascii="Times New Roman" w:eastAsia="方正仿宋_GBK" w:hAnsi="Times New Roman"/>
          <w:b/>
          <w:bCs/>
          <w:sz w:val="32"/>
          <w:szCs w:val="32"/>
        </w:rPr>
        <w:t>及要求</w:t>
      </w:r>
      <w:r>
        <w:rPr>
          <w:rFonts w:ascii="Times New Roman" w:eastAsia="方正仿宋_GBK" w:hAnsi="Times New Roman" w:hint="eastAsia"/>
          <w:sz w:val="32"/>
          <w:szCs w:val="32"/>
        </w:rPr>
        <w:t>：</w:t>
      </w:r>
    </w:p>
    <w:p>
      <w:pPr>
        <w:spacing w:line="560" w:lineRule="exact"/>
        <w:ind w:firstLine="634"/>
        <w:rPr>
          <w:rFonts w:ascii="Times New Roman" w:eastAsia="方正仿宋_GBK" w:hAnsi="Times New Roman"/>
          <w:sz w:val="32"/>
          <w:szCs w:val="32"/>
        </w:rPr>
      </w:pPr>
      <w:r>
        <w:rPr>
          <w:rFonts w:ascii="Times New Roman" w:eastAsia="方正仿宋_GBK" w:hAnsi="Times New Roman" w:hint="eastAsia"/>
          <w:sz w:val="32"/>
          <w:szCs w:val="32"/>
        </w:rPr>
        <w:t>采购法定检测业务试剂耗材</w:t>
      </w:r>
      <w:r>
        <w:rPr>
          <w:rFonts w:ascii="Times New Roman" w:eastAsia="方正仿宋_GBK" w:hAnsi="Times New Roman"/>
          <w:sz w:val="32"/>
          <w:szCs w:val="32"/>
        </w:rPr>
        <w:t>（</w:t>
      </w:r>
      <w:r>
        <w:rPr>
          <w:rFonts w:ascii="Times New Roman" w:eastAsia="方正仿宋_GBK" w:hAnsi="Times New Roman" w:hint="eastAsia"/>
          <w:sz w:val="32"/>
          <w:szCs w:val="32"/>
        </w:rPr>
        <w:t>详见附件1</w:t>
      </w:r>
      <w:r>
        <w:rPr>
          <w:rFonts w:ascii="Times New Roman" w:eastAsia="方正仿宋_GBK" w:hAnsi="Times New Roman"/>
          <w:sz w:val="32"/>
          <w:szCs w:val="32"/>
        </w:rPr>
        <w:t>）</w:t>
      </w:r>
    </w:p>
    <w:p>
      <w:pPr>
        <w:spacing w:line="560" w:lineRule="exact"/>
        <w:ind w:firstLine="634"/>
        <w:rPr>
          <w:rFonts w:ascii="Times New Roman" w:eastAsia="方正仿宋_GBK" w:hAnsi="Times New Roman" w:hint="eastAsia"/>
          <w:sz w:val="32"/>
          <w:szCs w:val="32"/>
        </w:rPr>
      </w:pPr>
      <w:r>
        <w:rPr>
          <w:rFonts w:ascii="Times New Roman" w:eastAsia="方正仿宋_GBK" w:hAnsi="Times New Roman" w:hint="eastAsia"/>
          <w:b/>
          <w:bCs/>
          <w:sz w:val="32"/>
          <w:szCs w:val="32"/>
        </w:rPr>
        <w:t>五、时限要求</w:t>
      </w:r>
      <w:r>
        <w:rPr>
          <w:rFonts w:ascii="Times New Roman" w:eastAsia="方正仿宋_GBK" w:hAnsi="Times New Roman" w:hint="eastAsia"/>
          <w:sz w:val="32"/>
          <w:szCs w:val="32"/>
        </w:rPr>
        <w:t>：</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sz w:val="32"/>
          <w:szCs w:val="32"/>
        </w:rPr>
        <w:t>自</w:t>
      </w:r>
      <w:r>
        <w:rPr>
          <w:rFonts w:ascii="Times New Roman" w:eastAsia="方正仿宋_GBK" w:hAnsi="Times New Roman" w:hint="eastAsia"/>
          <w:sz w:val="32"/>
          <w:szCs w:val="32"/>
        </w:rPr>
        <w:t>合同</w:t>
      </w:r>
      <w:r>
        <w:rPr>
          <w:rFonts w:ascii="Times New Roman" w:eastAsia="方正仿宋_GBK" w:hAnsi="Times New Roman"/>
          <w:sz w:val="32"/>
          <w:szCs w:val="32"/>
        </w:rPr>
        <w:t>签订</w:t>
      </w:r>
      <w:r>
        <w:rPr>
          <w:rFonts w:ascii="Times New Roman" w:eastAsia="方正仿宋_GBK" w:hAnsi="Times New Roman" w:hint="eastAsia"/>
          <w:sz w:val="32"/>
          <w:szCs w:val="32"/>
        </w:rPr>
        <w:t>之日起</w:t>
      </w:r>
      <w:r>
        <w:rPr>
          <w:rFonts w:ascii="Times New Roman" w:eastAsia="方正仿宋_GBK" w:hAnsi="Times New Roman"/>
          <w:sz w:val="32"/>
          <w:szCs w:val="32"/>
        </w:rPr>
        <w:t>90日以内完成</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hint="eastAsia"/>
          <w:b/>
          <w:bCs/>
          <w:sz w:val="32"/>
          <w:szCs w:val="32"/>
        </w:rPr>
        <w:t>六、预算金额</w:t>
      </w:r>
      <w:r>
        <w:rPr>
          <w:rFonts w:ascii="Times New Roman" w:eastAsia="方正仿宋_GBK" w:hAnsi="Times New Roman" w:hint="eastAsia"/>
          <w:sz w:val="32"/>
          <w:szCs w:val="32"/>
        </w:rPr>
        <w:t>：</w:t>
      </w:r>
      <w:r>
        <w:rPr>
          <w:rFonts w:ascii="Times New Roman" w:eastAsia="方正仿宋_GBK" w:hAnsi="Times New Roman"/>
          <w:sz w:val="32"/>
          <w:szCs w:val="32"/>
        </w:rPr>
        <w:t>¥94</w:t>
      </w:r>
      <w:r>
        <w:rPr>
          <w:rFonts w:ascii="Times New Roman" w:eastAsia="方正仿宋_GBK" w:hAnsi="Times New Roman" w:hint="eastAsia"/>
          <w:sz w:val="32"/>
          <w:szCs w:val="32"/>
        </w:rPr>
        <w:t>000</w:t>
      </w:r>
      <w:r>
        <w:rPr>
          <w:rFonts w:ascii="Times New Roman" w:eastAsia="方正仿宋_GBK" w:hAnsi="Times New Roman"/>
          <w:sz w:val="32"/>
          <w:szCs w:val="32"/>
        </w:rPr>
        <w:t>.00</w:t>
      </w:r>
      <w:r>
        <w:rPr>
          <w:rFonts w:ascii="Times New Roman" w:eastAsia="方正仿宋_GBK" w:hAnsi="Times New Roman" w:hint="eastAsia"/>
          <w:sz w:val="32"/>
          <w:szCs w:val="32"/>
        </w:rPr>
        <w:t>元</w:t>
      </w:r>
    </w:p>
    <w:p>
      <w:pPr>
        <w:spacing w:line="560" w:lineRule="exact"/>
        <w:ind w:firstLine="634"/>
        <w:rPr>
          <w:rFonts w:ascii="Times New Roman" w:eastAsia="方正仿宋_GBK" w:hAnsi="Times New Roman"/>
          <w:sz w:val="32"/>
          <w:szCs w:val="32"/>
        </w:rPr>
      </w:pPr>
      <w:r>
        <w:rPr>
          <w:rFonts w:ascii="Times New Roman" w:eastAsia="方正仿宋_GBK" w:hAnsi="Times New Roman" w:hint="eastAsia"/>
          <w:b/>
          <w:bCs/>
          <w:sz w:val="32"/>
          <w:szCs w:val="32"/>
        </w:rPr>
        <w:t>七、采购方式</w:t>
      </w:r>
      <w:r>
        <w:rPr>
          <w:rFonts w:ascii="Times New Roman" w:eastAsia="方正仿宋_GBK" w:hAnsi="Times New Roman" w:hint="eastAsia"/>
          <w:sz w:val="32"/>
          <w:szCs w:val="32"/>
        </w:rPr>
        <w:t>：比选采购</w:t>
      </w:r>
    </w:p>
    <w:p>
      <w:pPr>
        <w:spacing w:line="560" w:lineRule="exact"/>
        <w:ind w:left="0"/>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hint="eastAsia"/>
          <w:b/>
          <w:bCs/>
          <w:sz w:val="32"/>
          <w:szCs w:val="32"/>
        </w:rPr>
        <w:t>八、报名供应商有关要求</w:t>
      </w:r>
      <w:r>
        <w:rPr>
          <w:rFonts w:ascii="Times New Roman" w:eastAsia="方正仿宋_GBK" w:hAnsi="Times New Roman" w:hint="eastAsia"/>
          <w:sz w:val="32"/>
          <w:szCs w:val="32"/>
        </w:rPr>
        <w:t>：</w:t>
      </w:r>
    </w:p>
    <w:p>
      <w:pPr>
        <w:spacing w:line="560" w:lineRule="exact"/>
        <w:ind w:firstLine="629"/>
        <w:rPr>
          <w:rFonts w:ascii="Times New Roman" w:eastAsia="方正仿宋_GBK" w:hAnsi="Times New Roman"/>
          <w:sz w:val="32"/>
          <w:szCs w:val="32"/>
        </w:rPr>
      </w:pPr>
      <w:r>
        <w:rPr>
          <w:rFonts w:ascii="Times New Roman" w:eastAsia="方正仿宋_GBK" w:hAnsi="Times New Roman" w:hint="eastAsia"/>
          <w:sz w:val="32"/>
          <w:szCs w:val="32"/>
        </w:rPr>
        <w:t>1、报名供应商必须符合《中华人民共和国政府采购法》第二十二条规定的条件，取得合法企业工商营业执照</w:t>
      </w:r>
      <w:r>
        <w:rPr>
          <w:rFonts w:ascii="Times New Roman" w:eastAsia="方正仿宋_GBK" w:hAnsi="Times New Roman"/>
          <w:sz w:val="32"/>
          <w:szCs w:val="32"/>
        </w:rPr>
        <w:t>（经营范围包含经营医疗器械经营），并具备</w:t>
      </w:r>
      <w:r>
        <w:rPr>
          <w:rFonts w:ascii="Times New Roman" w:eastAsia="方正仿宋_GBK" w:hAnsi="Times New Roman" w:hint="eastAsia"/>
          <w:sz w:val="32"/>
          <w:szCs w:val="32"/>
        </w:rPr>
        <w:t>以下条件之一：①医疗器械经营许可或备案证明材料（如供应商为代理经销商）；②医疗器械生产许可证或备案证明材料（如供应商为制造商）。</w:t>
      </w:r>
    </w:p>
    <w:p>
      <w:pPr>
        <w:spacing w:line="560" w:lineRule="exact"/>
        <w:ind w:firstLineChars="246" w:firstLine="787"/>
        <w:rPr>
          <w:rFonts w:ascii="Times New Roman" w:eastAsia="方正仿宋_GBK" w:hAnsi="Times New Roman" w:hint="eastAsia"/>
          <w:sz w:val="32"/>
          <w:szCs w:val="32"/>
        </w:rPr>
      </w:pPr>
      <w:r>
        <w:rPr>
          <w:rFonts w:ascii="Times New Roman" w:eastAsia="方正仿宋_GBK" w:hAnsi="Times New Roman" w:hint="eastAsia"/>
          <w:sz w:val="32"/>
          <w:szCs w:val="32"/>
        </w:rPr>
        <w:t>2、报名供应商提供投标截止日期前一年内任意一个月依法缴纳税收和社会保障资金的相关材料作为证明材料，如依法免税或不需要缴纳社会保障资金的，请提供相应证明材料。</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3、报名供应商须提供参加政府采购活动前3年内在经营活动中没有重大违法记录的书面声明。（成立不足三年的单位只须提供成立至今在经营活动中没有重大违法记录的声明函）。</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4、报名供应商单位负责人为同一人或者存在直接控股、管理关系的不同供应商，不得参加同一合同项下的政府采购活动。</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5、供应商在报名时须提交通过“信用中国”网站（www.creditchina.gov.cn）与中国政府采购网（www.ccgp.gov.cn）查询到的供应商自身的信用记录截图复印件（加盖公章）作为信用信息查询记录证据存档。</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6、本项目不允许转包，不接受联合体投标。</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hint="eastAsia"/>
          <w:b/>
          <w:bCs/>
          <w:sz w:val="32"/>
          <w:szCs w:val="32"/>
        </w:rPr>
        <w:t>九、</w:t>
      </w:r>
      <w:r>
        <w:rPr>
          <w:rFonts w:ascii="Times New Roman" w:eastAsia="方正仿宋_GBK" w:hAnsi="Times New Roman" w:hint="eastAsia"/>
          <w:sz w:val="32"/>
          <w:szCs w:val="32"/>
        </w:rPr>
        <w:t>请有意向的供应商按照附件</w:t>
      </w:r>
      <w:r>
        <w:rPr>
          <w:rFonts w:ascii="Times New Roman" w:eastAsia="方正仿宋_GBK" w:hAnsi="Times New Roman"/>
          <w:sz w:val="32"/>
          <w:szCs w:val="32"/>
        </w:rPr>
        <w:t>2</w:t>
      </w:r>
      <w:r>
        <w:rPr>
          <w:rFonts w:ascii="Times New Roman" w:eastAsia="方正仿宋_GBK" w:hAnsi="Times New Roman" w:hint="eastAsia"/>
          <w:sz w:val="32"/>
          <w:szCs w:val="32"/>
        </w:rPr>
        <w:t>《报名资料目录表》的要求，将报名资料装订送至汕头国际旅行卫生保健中心（汕头海关口岸门诊部）（汕头市龙湖区金砂东路126号406房）办理报名手续。</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hint="eastAsia"/>
          <w:b/>
          <w:bCs/>
          <w:sz w:val="32"/>
          <w:szCs w:val="32"/>
        </w:rPr>
        <w:t>十、</w:t>
      </w:r>
      <w:r>
        <w:rPr>
          <w:rFonts w:ascii="Times New Roman" w:eastAsia="方正仿宋_GBK" w:hAnsi="Times New Roman" w:hint="eastAsia"/>
          <w:sz w:val="32"/>
          <w:szCs w:val="32"/>
        </w:rPr>
        <w:t>联系人：许同志 、蔡同志；联系电话：0754-88</w:t>
      </w:r>
      <w:r>
        <w:rPr>
          <w:rFonts w:ascii="Times New Roman" w:eastAsia="方正仿宋_GBK" w:hAnsi="Times New Roman"/>
          <w:sz w:val="32"/>
          <w:szCs w:val="32"/>
        </w:rPr>
        <w:t>19</w:t>
      </w:r>
      <w:r>
        <w:rPr>
          <w:rFonts w:ascii="Times New Roman" w:eastAsia="方正仿宋_GBK" w:hAnsi="Times New Roman" w:hint="eastAsia"/>
          <w:sz w:val="32"/>
          <w:szCs w:val="32"/>
        </w:rPr>
        <w:t>3538。</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w:t>
      </w:r>
      <w:r>
        <w:rPr>
          <w:rFonts w:ascii="Times New Roman" w:eastAsia="方正仿宋_GBK" w:hAnsi="Times New Roman" w:hint="eastAsia"/>
          <w:b/>
          <w:bCs/>
          <w:sz w:val="32"/>
          <w:szCs w:val="32"/>
        </w:rPr>
        <w:t>十一、</w:t>
      </w:r>
      <w:r>
        <w:rPr>
          <w:rFonts w:ascii="Times New Roman" w:eastAsia="方正仿宋_GBK" w:hAnsi="Times New Roman" w:hint="eastAsia"/>
          <w:sz w:val="32"/>
          <w:szCs w:val="32"/>
        </w:rPr>
        <w:t>报名截止时间：202</w:t>
      </w:r>
      <w:r>
        <w:rPr>
          <w:rFonts w:ascii="Times New Roman" w:eastAsia="方正仿宋_GBK" w:hAnsi="Times New Roman"/>
          <w:sz w:val="32"/>
          <w:szCs w:val="32"/>
        </w:rPr>
        <w:t>6</w:t>
      </w:r>
      <w:r>
        <w:rPr>
          <w:rFonts w:ascii="Times New Roman" w:eastAsia="方正仿宋_GBK" w:hAnsi="Times New Roman" w:hint="eastAsia"/>
          <w:sz w:val="32"/>
          <w:szCs w:val="32"/>
        </w:rPr>
        <w:t>年</w:t>
      </w:r>
      <w:r>
        <w:rPr>
          <w:rFonts w:ascii="Times New Roman" w:eastAsia="方正仿宋_GBK" w:hAnsi="Times New Roman"/>
          <w:sz w:val="32"/>
          <w:szCs w:val="32"/>
        </w:rPr>
        <w:t>4</w:t>
      </w:r>
      <w:r>
        <w:rPr>
          <w:rFonts w:ascii="Times New Roman" w:eastAsia="方正仿宋_GBK" w:hAnsi="Times New Roman" w:hint="eastAsia"/>
          <w:sz w:val="32"/>
          <w:szCs w:val="32"/>
        </w:rPr>
        <w:t>月</w:t>
      </w:r>
      <w:r>
        <w:rPr>
          <w:rFonts w:ascii="Times New Roman" w:eastAsia="方正仿宋_GBK" w:hAnsi="Times New Roman"/>
          <w:sz w:val="32"/>
          <w:szCs w:val="32"/>
        </w:rPr>
        <w:t>8</w:t>
      </w:r>
      <w:r>
        <w:rPr>
          <w:rFonts w:ascii="Times New Roman" w:eastAsia="方正仿宋_GBK" w:hAnsi="Times New Roman" w:hint="eastAsia"/>
          <w:sz w:val="32"/>
          <w:szCs w:val="32"/>
        </w:rPr>
        <w:t>日。</w:t>
      </w:r>
    </w:p>
    <w:p>
      <w:pPr>
        <w:spacing w:line="560" w:lineRule="exact"/>
        <w:jc w:val="right"/>
        <w:rPr>
          <w:rFonts w:ascii="Times New Roman" w:eastAsia="方正仿宋_GBK" w:hAnsi="Times New Roman" w:hint="eastAsia"/>
          <w:sz w:val="32"/>
          <w:szCs w:val="32"/>
        </w:rPr>
      </w:pPr>
      <w:r>
        <w:rPr>
          <w:rFonts w:ascii="Times New Roman" w:eastAsia="方正仿宋_GBK" w:hAnsi="Times New Roman" w:hint="eastAsia"/>
          <w:sz w:val="32"/>
          <w:szCs w:val="32"/>
        </w:rPr>
        <w:t>　</w:t>
      </w:r>
    </w:p>
    <w:p>
      <w:pPr>
        <w:spacing w:line="560" w:lineRule="exact"/>
        <w:jc w:val="right"/>
        <w:rPr>
          <w:rFonts w:ascii="Times New Roman" w:eastAsia="方正仿宋_GBK" w:hAnsi="Times New Roman" w:hint="eastAsia"/>
          <w:sz w:val="32"/>
          <w:szCs w:val="32"/>
        </w:rPr>
      </w:pPr>
      <w:r>
        <w:rPr>
          <w:rFonts w:ascii="Times New Roman" w:eastAsia="方正仿宋_GBK" w:hAnsi="Times New Roman" w:hint="eastAsia"/>
          <w:sz w:val="32"/>
          <w:szCs w:val="32"/>
        </w:rPr>
        <w:t>汕头国际旅行卫生保健中心</w:t>
      </w:r>
    </w:p>
    <w:p>
      <w:pPr>
        <w:spacing w:line="560" w:lineRule="exact"/>
        <w:ind w:firstLineChars="250" w:firstLine="800"/>
        <w:jc w:val="right"/>
        <w:rPr>
          <w:rFonts w:ascii="Times New Roman" w:eastAsia="方正仿宋_GBK" w:hAnsi="Times New Roman" w:hint="eastAsia"/>
          <w:sz w:val="32"/>
          <w:szCs w:val="32"/>
        </w:rPr>
      </w:pPr>
      <w:r>
        <w:rPr>
          <w:rFonts w:ascii="Times New Roman" w:eastAsia="方正仿宋_GBK" w:hAnsi="Times New Roman" w:hint="eastAsia"/>
          <w:sz w:val="32"/>
          <w:szCs w:val="32"/>
        </w:rPr>
        <w:t>（汕头海关口岸门诊部）</w:t>
      </w:r>
    </w:p>
    <w:p>
      <w:pPr>
        <w:spacing w:line="56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202</w:t>
      </w:r>
      <w:r>
        <w:rPr>
          <w:rFonts w:ascii="Times New Roman" w:eastAsia="方正仿宋_GBK" w:hAnsi="Times New Roman"/>
          <w:sz w:val="32"/>
          <w:szCs w:val="32"/>
        </w:rPr>
        <w:t>6</w:t>
      </w:r>
      <w:r>
        <w:rPr>
          <w:rFonts w:ascii="Times New Roman" w:eastAsia="方正仿宋_GBK" w:hAnsi="Times New Roman" w:hint="eastAsia"/>
          <w:sz w:val="32"/>
          <w:szCs w:val="32"/>
        </w:rPr>
        <w:t>年</w:t>
      </w:r>
      <w:r>
        <w:rPr>
          <w:rFonts w:ascii="Times New Roman" w:eastAsia="方正仿宋_GBK" w:hAnsi="Times New Roman"/>
          <w:sz w:val="32"/>
          <w:szCs w:val="32"/>
        </w:rPr>
        <w:t>4</w:t>
      </w:r>
      <w:r>
        <w:rPr>
          <w:rFonts w:ascii="Times New Roman" w:eastAsia="方正仿宋_GBK" w:hAnsi="Times New Roman" w:hint="eastAsia"/>
          <w:sz w:val="32"/>
          <w:szCs w:val="32"/>
        </w:rPr>
        <w:t>月</w:t>
      </w:r>
      <w:r>
        <w:rPr>
          <w:rFonts w:ascii="Times New Roman" w:eastAsia="方正仿宋_GBK" w:hAnsi="Times New Roman"/>
          <w:sz w:val="32"/>
          <w:szCs w:val="32"/>
        </w:rPr>
        <w:t>2</w:t>
      </w:r>
      <w:r>
        <w:rPr>
          <w:rFonts w:ascii="Times New Roman" w:eastAsia="方正仿宋_GBK" w:hAnsi="Times New Roman" w:hint="eastAsia"/>
          <w:sz w:val="32"/>
          <w:szCs w:val="32"/>
        </w:rPr>
        <w:t>日</w:t>
      </w:r>
    </w:p>
    <w:p>
      <w:pPr>
        <w:spacing w:line="560" w:lineRule="exact"/>
        <w:rPr>
          <w:rFonts w:ascii="Times New Roman" w:eastAsia="方正仿宋简体" w:hAnsi="Times New Roman"/>
          <w:sz w:val="32"/>
          <w:szCs w:val="32"/>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auto"/>
    <w:pitch w:val="variable"/>
    <w:sig w:usb0="00000A87" w:usb1="00000000" w:usb2="00000000" w:usb3="00000000" w:csb0="400001BF" w:csb1="DFF70000"/>
  </w:font>
  <w:font w:name="方正仿宋简体">
    <w:altName w:val="微软雅黑"/>
    <w:panose1 w:val="02010601030101010101"/>
    <w:charset w:val="86"/>
    <w:family w:val="auto"/>
    <w:pitch w:val="variable"/>
    <w:sig w:usb0="00000001" w:usb1="080E0000" w:usb2="00000010" w:usb3="00000000" w:csb0="00040000" w:csb1="00000000"/>
  </w:font>
  <w:font w:name="等线">
    <w:altName w:val="华文仿宋"/>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等线" w:eastAsia="等线" w:cs="Arial"/>
      <w:kern w:val="2"/>
      <w:sz w:val="21"/>
      <w:szCs w:val="22"/>
      <w:lang w:val="en-US" w:eastAsia="zh-CN" w:bidi="ar-SA"/>
    </w:rPr>
  </w:style>
  <w:style w:type="paragraph" w:styleId="2">
    <w:name w:val="heading 2"/>
    <w:basedOn w:val="0"/>
    <w:pPr>
      <w:widowControl/>
      <w:spacing w:before="100" w:beforeAutospacing="1" w:after="100" w:afterAutospacing="1"/>
      <w:jc w:val="left"/>
      <w:outlineLvl w:val="1"/>
    </w:pPr>
    <w:rPr>
      <w:rFonts w:ascii="宋体" w:eastAsia="宋体" w:cs="宋体"/>
      <w:b/>
      <w:bCs/>
      <w:kern w:val="0"/>
      <w:sz w:val="36"/>
      <w:szCs w:val="36"/>
    </w:rPr>
  </w:style>
  <w:style w:type="character" w:default="1" w:styleId="10">
    <w:name w:val="Default Paragraph Font"/>
  </w:style>
  <w:style w:type="character" w:styleId="15">
    <w:name w:val="Hyperlink"/>
    <w:basedOn w:val="10"/>
    <w:rPr>
      <w:color w:val="0563C1"/>
      <w:u w:val="single"/>
    </w:rPr>
  </w:style>
  <w:style w:type="character" w:customStyle="1" w:styleId="16">
    <w:name w:val="Unresolved Mention"/>
    <w:basedOn w:val="10"/>
    <w:rPr>
      <w:color w:val="605E5C"/>
      <w:shd w:val="clear" w:color="auto" w:fill="E1DFDD"/>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footer"/>
    <w:basedOn w:val="0"/>
    <w:pPr>
      <w:tabs>
        <w:tab w:val="center" w:pos="4153"/>
        <w:tab w:val="right" w:pos="8306"/>
      </w:tabs>
      <w:snapToGrid w:val="0"/>
      <w:jc w:val="left"/>
    </w:pPr>
    <w:rPr>
      <w:sz w:val="18"/>
      <w:szCs w:val="18"/>
    </w:rPr>
  </w:style>
  <w:style w:type="paragraph" w:customStyle="1" w:styleId="19">
    <w:name w:val="样式 10 磅"/>
    <w:pPr>
      <w:widowControl w:val="0"/>
      <w:jc w:val="both"/>
    </w:pPr>
    <w:rPr>
      <w:rFonts w:ascii="等线" w:eastAsia="等线" w:cs="Arial"/>
      <w:kern w:val="2"/>
      <w:sz w:val="21"/>
      <w:szCs w:val="22"/>
      <w:lang w:val="en-US" w:eastAsia="zh-CN" w:bidi="ar-SA"/>
    </w:rPr>
  </w:style>
  <w:style w:type="paragraph" w:customStyle="1" w:styleId="20">
    <w:name w:val="样式 1 10 磅"/>
    <w:pPr>
      <w:widowControl w:val="0"/>
      <w:jc w:val="both"/>
    </w:pPr>
    <w:rPr>
      <w:rFonts w:ascii="等线" w:eastAsia="等线" w:cs="Arial"/>
      <w:kern w:val="2"/>
      <w:sz w:val="21"/>
      <w:szCs w:val="22"/>
      <w:lang w:val="en-US" w:eastAsia="zh-CN" w:bidi="ar-SA"/>
    </w:rPr>
  </w:style>
  <w:style w:type="paragraph" w:customStyle="1" w:styleId="21">
    <w:name w:val="样式 2 10 磅"/>
    <w:pPr>
      <w:widowControl w:val="0"/>
      <w:jc w:val="both"/>
    </w:pPr>
    <w:rPr>
      <w:rFonts w:ascii="等线" w:eastAsia="等线" w:cs="Arial"/>
      <w:kern w:val="2"/>
      <w:sz w:val="21"/>
      <w:szCs w:val="22"/>
      <w:lang w:val="en-US" w:eastAsia="zh-CN" w:bidi="ar-SA"/>
    </w:rPr>
  </w:style>
  <w:style w:type="paragraph" w:customStyle="1" w:styleId="22">
    <w:name w:val="样式 69 三号"/>
    <w:next w:val="0"/>
    <w:pPr>
      <w:widowControl w:val="0"/>
      <w:jc w:val="both"/>
    </w:pPr>
    <w:rPr>
      <w:rFonts w:ascii="Times New Roman" w:eastAsia="宋体" w:cs="Times New Roman" w:hAnsi="Times New Roman"/>
      <w:kern w:val="2"/>
      <w:sz w:val="32"/>
      <w:szCs w:val="24"/>
      <w:lang w:val="en-US" w:eastAsia="zh-CN" w:bidi="ar-SA"/>
    </w:rPr>
  </w:style>
  <w:style w:type="paragraph" w:customStyle="1" w:styleId="23">
    <w:name w:val="样式 三号"/>
    <w:pPr>
      <w:widowControl w:val="0"/>
      <w:jc w:val="both"/>
    </w:pPr>
    <w:rPr>
      <w:rFonts w:ascii="Times New Roman" w:eastAsia="宋体" w:cs="Times New Roman" w:hAnsi="Times New Roman"/>
      <w:kern w:val="2"/>
      <w:sz w:val="32"/>
      <w:szCs w:val="24"/>
      <w:lang w:val="en-US" w:eastAsia="zh-CN" w:bidi="ar-SA"/>
    </w:rPr>
  </w:style>
  <w:style w:type="paragraph" w:customStyle="1" w:styleId="24">
    <w:name w:val="样式 3 10 磅"/>
    <w:pPr>
      <w:widowControl w:val="0"/>
      <w:jc w:val="both"/>
    </w:pPr>
    <w:rPr>
      <w:rFonts w:ascii="等线" w:eastAsia="等线" w:cs="Arial"/>
      <w:kern w:val="2"/>
      <w:sz w:val="21"/>
      <w:szCs w:val="22"/>
      <w:lang w:val="en-US" w:eastAsia="zh-CN" w:bidi="ar-SA"/>
    </w:rPr>
  </w:style>
  <w:style w:type="paragraph" w:customStyle="1" w:styleId="25">
    <w:name w:val="样式 4 10 磅"/>
    <w:pPr>
      <w:widowControl w:val="0"/>
      <w:jc w:val="both"/>
    </w:pPr>
    <w:rPr>
      <w:rFonts w:ascii="等线" w:eastAsia="等线" w:cs="Arial"/>
      <w:kern w:val="2"/>
      <w:sz w:val="21"/>
      <w:szCs w:val="22"/>
      <w:lang w:val="en-US" w:eastAsia="zh-CN" w:bidi="ar-SA"/>
    </w:rPr>
  </w:style>
  <w:style w:type="paragraph" w:customStyle="1" w:styleId="26">
    <w:name w:val="样式 5 10 磅"/>
    <w:pPr>
      <w:widowControl w:val="0"/>
      <w:jc w:val="both"/>
    </w:pPr>
    <w:rPr>
      <w:rFonts w:ascii="等线" w:eastAsia="等线" w:cs="Arial"/>
      <w:kern w:val="2"/>
      <w:sz w:val="21"/>
      <w:szCs w:val="22"/>
      <w:lang w:val="en-US" w:eastAsia="zh-CN" w:bidi="ar-SA"/>
    </w:rPr>
  </w:style>
  <w:style w:type="paragraph" w:customStyle="1" w:styleId="27">
    <w:name w:val="样式 1 三号"/>
    <w:pPr>
      <w:widowControl w:val="0"/>
      <w:jc w:val="both"/>
    </w:pPr>
    <w:rPr>
      <w:rFonts w:ascii="Times New Roman" w:eastAsia="宋体" w:cs="Times New Roman" w:hAnsi="Times New Roman"/>
      <w:kern w:val="2"/>
      <w:sz w:val="32"/>
      <w:szCs w:val="24"/>
      <w:lang w:val="en-US" w:eastAsia="zh-CN" w:bidi="ar-SA"/>
    </w:rPr>
  </w:style>
  <w:style w:type="paragraph" w:customStyle="1" w:styleId="28">
    <w:name w:val="样式 2 三号"/>
    <w:pPr>
      <w:widowControl w:val="0"/>
      <w:jc w:val="both"/>
    </w:pPr>
    <w:rPr>
      <w:rFonts w:ascii="Times New Roman" w:eastAsia="宋体" w:cs="Times New Roman" w:hAnsi="Times New Roman"/>
      <w:kern w:val="2"/>
      <w:sz w:val="32"/>
      <w:szCs w:val="24"/>
      <w:lang w:val="en-US" w:eastAsia="zh-CN" w:bidi="ar-SA"/>
    </w:rPr>
  </w:style>
  <w:style w:type="paragraph" w:customStyle="1" w:styleId="29">
    <w:name w:val="样式 3 三号"/>
    <w:pPr>
      <w:widowControl w:val="0"/>
      <w:jc w:val="both"/>
    </w:pPr>
    <w:rPr>
      <w:rFonts w:ascii="Times New Roman" w:eastAsia="宋体" w:cs="Times New Roman" w:hAnsi="Times New Roman"/>
      <w:kern w:val="2"/>
      <w:sz w:val="32"/>
      <w:szCs w:val="24"/>
      <w:lang w:val="en-US" w:eastAsia="zh-CN" w:bidi="ar-SA"/>
    </w:rPr>
  </w:style>
  <w:style w:type="paragraph" w:customStyle="1" w:styleId="30">
    <w:name w:val="样式 6 10 磅"/>
    <w:pPr>
      <w:widowControl w:val="0"/>
      <w:jc w:val="both"/>
    </w:pPr>
    <w:rPr>
      <w:rFonts w:ascii="等线" w:eastAsia="等线" w:cs="Times New Roman"/>
      <w:kern w:val="2"/>
      <w:sz w:val="21"/>
      <w:szCs w:val="22"/>
      <w:lang w:val="en-US" w:eastAsia="zh-CN" w:bidi="ar-SA"/>
    </w:rPr>
  </w:style>
  <w:style w:type="paragraph" w:customStyle="1" w:styleId="31">
    <w:name w:val="样式 7 10 磅"/>
    <w:pPr>
      <w:widowControl w:val="0"/>
      <w:jc w:val="both"/>
    </w:pPr>
    <w:rPr>
      <w:rFonts w:ascii="等线" w:eastAsia="等线" w:cs="Arial"/>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87</TotalTime>
  <Application>Yozo_Office</Application>
  <Pages>3</Pages>
  <Words>844</Words>
  <Characters>912</Characters>
  <Lines>50</Lines>
  <Paragraphs>24</Paragraphs>
  <CharactersWithSpaces>974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陈 莹</dc:creator>
  <cp:lastModifiedBy>许慨</cp:lastModifiedBy>
  <cp:revision>10</cp:revision>
  <dcterms:created xsi:type="dcterms:W3CDTF">2022-11-30T08:28:00Z</dcterms:created>
  <dcterms:modified xsi:type="dcterms:W3CDTF">2026-04-02T07:36:22Z</dcterms:modified>
</cp:coreProperties>
</file>